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horzAnchor="margin" w:tblpXSpec="center" w:tblpY="322"/>
        <w:tblW w:w="14850" w:type="dxa"/>
        <w:tblInd w:w="0" w:type="dxa"/>
        <w:tblLayout w:type="autofit"/>
        <w:tblCellMar>
          <w:top w:w="0" w:type="dxa"/>
          <w:left w:w="108" w:type="dxa"/>
          <w:bottom w:w="0" w:type="dxa"/>
          <w:right w:w="108" w:type="dxa"/>
        </w:tblCellMar>
      </w:tblPr>
      <w:tblGrid>
        <w:gridCol w:w="2943"/>
        <w:gridCol w:w="4536"/>
        <w:gridCol w:w="3544"/>
        <w:gridCol w:w="2410"/>
        <w:gridCol w:w="1417"/>
      </w:tblGrid>
      <w:tr>
        <w:tblPrEx>
          <w:tblCellMar>
            <w:top w:w="0" w:type="dxa"/>
            <w:left w:w="108" w:type="dxa"/>
            <w:bottom w:w="0" w:type="dxa"/>
            <w:right w:w="108" w:type="dxa"/>
          </w:tblCellMar>
        </w:tblPrEx>
        <w:trPr>
          <w:trHeight w:val="269" w:hRule="atLeast"/>
        </w:trPr>
        <w:tc>
          <w:tcPr>
            <w:tcW w:w="14850" w:type="dxa"/>
            <w:gridSpan w:val="5"/>
            <w:tcBorders>
              <w:top w:val="nil"/>
              <w:left w:val="nil"/>
              <w:bottom w:val="single" w:color="auto" w:sz="4" w:space="0"/>
              <w:right w:val="nil"/>
            </w:tcBorders>
          </w:tcPr>
          <w:p>
            <w:pPr>
              <w:widowControl/>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广州医保——门（急）诊统筹待遇</w:t>
            </w:r>
          </w:p>
        </w:tc>
      </w:tr>
      <w:tr>
        <w:tblPrEx>
          <w:tblCellMar>
            <w:top w:w="0" w:type="dxa"/>
            <w:left w:w="108" w:type="dxa"/>
            <w:bottom w:w="0" w:type="dxa"/>
            <w:right w:w="108" w:type="dxa"/>
          </w:tblCellMar>
        </w:tblPrEx>
        <w:trPr>
          <w:trHeight w:val="60" w:hRule="atLeast"/>
        </w:trPr>
        <w:tc>
          <w:tcPr>
            <w:tcW w:w="2943" w:type="dxa"/>
            <w:vMerge w:val="restart"/>
            <w:tcBorders>
              <w:top w:val="single" w:color="auto" w:sz="4" w:space="0"/>
              <w:left w:val="single" w:color="auto" w:sz="4" w:space="0"/>
              <w:bottom w:val="single" w:color="auto" w:sz="4" w:space="0"/>
              <w:right w:val="single" w:color="auto" w:sz="4" w:space="0"/>
            </w:tcBorders>
            <w:shd w:val="clear" w:color="auto" w:fill="00B0F0"/>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待遇类别</w:t>
            </w:r>
          </w:p>
        </w:tc>
        <w:tc>
          <w:tcPr>
            <w:tcW w:w="4536" w:type="dxa"/>
            <w:tcBorders>
              <w:top w:val="single" w:color="auto" w:sz="4" w:space="0"/>
              <w:left w:val="single" w:color="auto" w:sz="4" w:space="0"/>
              <w:bottom w:val="single" w:color="auto" w:sz="4" w:space="0"/>
              <w:right w:val="single" w:color="auto" w:sz="4" w:space="0"/>
            </w:tcBorders>
            <w:shd w:val="clear" w:color="auto" w:fill="00B0F0"/>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职工医保</w:t>
            </w:r>
          </w:p>
        </w:tc>
        <w:tc>
          <w:tcPr>
            <w:tcW w:w="7371" w:type="dxa"/>
            <w:gridSpan w:val="3"/>
            <w:tcBorders>
              <w:top w:val="single" w:color="auto" w:sz="4" w:space="0"/>
              <w:left w:val="single" w:color="auto" w:sz="4" w:space="0"/>
              <w:bottom w:val="single" w:color="auto" w:sz="4" w:space="0"/>
              <w:right w:val="single" w:color="auto" w:sz="4" w:space="0"/>
            </w:tcBorders>
            <w:shd w:val="clear" w:color="auto" w:fill="00B0F0"/>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城乡居民医保</w:t>
            </w:r>
          </w:p>
        </w:tc>
      </w:tr>
      <w:tr>
        <w:tblPrEx>
          <w:tblCellMar>
            <w:top w:w="0" w:type="dxa"/>
            <w:left w:w="108" w:type="dxa"/>
            <w:bottom w:w="0" w:type="dxa"/>
            <w:right w:w="108" w:type="dxa"/>
          </w:tblCellMar>
        </w:tblPrEx>
        <w:trPr>
          <w:trHeight w:val="60" w:hRule="atLeast"/>
        </w:trPr>
        <w:tc>
          <w:tcPr>
            <w:tcW w:w="2943" w:type="dxa"/>
            <w:vMerge w:val="continue"/>
            <w:tcBorders>
              <w:top w:val="single" w:color="auto" w:sz="4" w:space="0"/>
              <w:left w:val="single" w:color="auto" w:sz="4" w:space="0"/>
              <w:bottom w:val="single" w:color="auto" w:sz="4" w:space="0"/>
              <w:right w:val="single" w:color="auto" w:sz="4" w:space="0"/>
            </w:tcBorders>
            <w:shd w:val="clear" w:color="auto" w:fill="00B0F0"/>
            <w:vAlign w:val="center"/>
          </w:tcPr>
          <w:p>
            <w:pPr>
              <w:widowControl/>
              <w:jc w:val="left"/>
              <w:rPr>
                <w:rFonts w:ascii="宋体" w:hAnsi="宋体" w:eastAsia="宋体" w:cs="宋体"/>
                <w:b/>
                <w:color w:val="000000"/>
                <w:kern w:val="0"/>
                <w:sz w:val="18"/>
                <w:szCs w:val="18"/>
              </w:rPr>
            </w:pPr>
          </w:p>
        </w:tc>
        <w:tc>
          <w:tcPr>
            <w:tcW w:w="4536" w:type="dxa"/>
            <w:tcBorders>
              <w:top w:val="single" w:color="auto" w:sz="4" w:space="0"/>
              <w:left w:val="single" w:color="auto" w:sz="4" w:space="0"/>
              <w:bottom w:val="single" w:color="auto" w:sz="4" w:space="0"/>
              <w:right w:val="single" w:color="auto" w:sz="4" w:space="0"/>
            </w:tcBorders>
            <w:shd w:val="clear" w:color="auto" w:fill="00B0F0"/>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在职职工/退休人员</w:t>
            </w:r>
          </w:p>
        </w:tc>
        <w:tc>
          <w:tcPr>
            <w:tcW w:w="3544" w:type="dxa"/>
            <w:tcBorders>
              <w:top w:val="single" w:color="auto" w:sz="4" w:space="0"/>
              <w:left w:val="single" w:color="auto" w:sz="4" w:space="0"/>
              <w:bottom w:val="single" w:color="auto" w:sz="4" w:space="0"/>
              <w:right w:val="single" w:color="auto" w:sz="4" w:space="0"/>
            </w:tcBorders>
            <w:shd w:val="clear" w:color="auto" w:fill="00B0F0"/>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大中专学生</w:t>
            </w:r>
          </w:p>
        </w:tc>
        <w:tc>
          <w:tcPr>
            <w:tcW w:w="2410" w:type="dxa"/>
            <w:tcBorders>
              <w:top w:val="single" w:color="auto" w:sz="4" w:space="0"/>
              <w:left w:val="single" w:color="auto" w:sz="4" w:space="0"/>
              <w:bottom w:val="single" w:color="auto" w:sz="4" w:space="0"/>
              <w:right w:val="single" w:color="auto" w:sz="4" w:space="0"/>
            </w:tcBorders>
            <w:shd w:val="clear" w:color="auto" w:fill="00B0F0"/>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未成年人及在校学生</w:t>
            </w:r>
          </w:p>
        </w:tc>
        <w:tc>
          <w:tcPr>
            <w:tcW w:w="1417" w:type="dxa"/>
            <w:tcBorders>
              <w:top w:val="single" w:color="auto" w:sz="4" w:space="0"/>
              <w:left w:val="single" w:color="auto" w:sz="4" w:space="0"/>
              <w:bottom w:val="single" w:color="auto" w:sz="4" w:space="0"/>
              <w:right w:val="single" w:color="auto" w:sz="4" w:space="0"/>
            </w:tcBorders>
            <w:shd w:val="clear" w:color="auto" w:fill="00B0F0"/>
            <w:noWrap/>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其他城乡居民</w:t>
            </w:r>
          </w:p>
        </w:tc>
      </w:tr>
      <w:tr>
        <w:tblPrEx>
          <w:tblCellMar>
            <w:top w:w="0" w:type="dxa"/>
            <w:left w:w="108" w:type="dxa"/>
            <w:bottom w:w="0" w:type="dxa"/>
            <w:right w:w="108" w:type="dxa"/>
          </w:tblCellMar>
        </w:tblPrEx>
        <w:trPr>
          <w:trHeight w:val="60" w:hRule="atLeast"/>
        </w:trPr>
        <w:tc>
          <w:tcPr>
            <w:tcW w:w="2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统筹基金支付比例</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直接就医  45%</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普通门诊就医管理方式由学校统一选择</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直接就医   40%</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60" w:hRule="atLeast"/>
        </w:trPr>
        <w:tc>
          <w:tcPr>
            <w:tcW w:w="294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000000"/>
                <w:kern w:val="0"/>
                <w:sz w:val="18"/>
                <w:szCs w:val="18"/>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经基层医院转诊  55%</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经基层医院转诊  50%</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0" w:hRule="atLeast"/>
        </w:trPr>
        <w:tc>
          <w:tcPr>
            <w:tcW w:w="2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统筹基金最高支付限额</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300元/人•月</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在学校卫生室（指定医院）就医90%以上</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1000元/人•年</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60" w:hRule="atLeast"/>
        </w:trPr>
        <w:tc>
          <w:tcPr>
            <w:tcW w:w="2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color w:val="000000"/>
                <w:kern w:val="0"/>
                <w:sz w:val="18"/>
                <w:szCs w:val="18"/>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不滚存、不累计</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不滚存、不累计</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0" w:hRule="atLeast"/>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统筹基金支付范围</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门诊目录范围内的药费及诊疗费用</w:t>
            </w:r>
          </w:p>
        </w:tc>
        <w:tc>
          <w:tcPr>
            <w:tcW w:w="59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门诊药品目录范围内的药品费用</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60" w:hRule="atLeast"/>
        </w:trPr>
        <w:tc>
          <w:tcPr>
            <w:tcW w:w="2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产前门诊检查</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按生育保险有关规定</w:t>
            </w:r>
          </w:p>
        </w:tc>
        <w:tc>
          <w:tcPr>
            <w:tcW w:w="737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在符合计划生育政策规定的生育期内的，按50%记帐，限300元/孕次</w:t>
            </w:r>
          </w:p>
        </w:tc>
      </w:tr>
    </w:tbl>
    <w:p/>
    <w:p/>
    <w:p>
      <w:bookmarkStart w:id="0" w:name="_GoBack"/>
      <w:bookmarkEnd w:id="0"/>
    </w:p>
    <w:p>
      <w:pPr>
        <w:sectPr>
          <w:pgSz w:w="16838" w:h="11906" w:orient="landscape"/>
          <w:pgMar w:top="567" w:right="567" w:bottom="567" w:left="567" w:header="851" w:footer="992" w:gutter="0"/>
          <w:cols w:space="425" w:num="1"/>
          <w:docGrid w:type="lines" w:linePitch="312" w:charSpace="0"/>
        </w:sectPr>
      </w:pPr>
    </w:p>
    <w:tbl>
      <w:tblPr>
        <w:tblStyle w:val="5"/>
        <w:tblW w:w="15580" w:type="dxa"/>
        <w:tblInd w:w="91" w:type="dxa"/>
        <w:tblLayout w:type="autofit"/>
        <w:tblCellMar>
          <w:top w:w="0" w:type="dxa"/>
          <w:left w:w="108" w:type="dxa"/>
          <w:bottom w:w="0" w:type="dxa"/>
          <w:right w:w="108" w:type="dxa"/>
        </w:tblCellMar>
      </w:tblPr>
      <w:tblGrid>
        <w:gridCol w:w="500"/>
        <w:gridCol w:w="880"/>
        <w:gridCol w:w="3740"/>
        <w:gridCol w:w="1880"/>
        <w:gridCol w:w="1381"/>
        <w:gridCol w:w="1079"/>
        <w:gridCol w:w="1400"/>
        <w:gridCol w:w="1460"/>
        <w:gridCol w:w="1300"/>
        <w:gridCol w:w="1960"/>
      </w:tblGrid>
      <w:tr>
        <w:tblPrEx>
          <w:tblCellMar>
            <w:top w:w="0" w:type="dxa"/>
            <w:left w:w="108" w:type="dxa"/>
            <w:bottom w:w="0" w:type="dxa"/>
            <w:right w:w="108" w:type="dxa"/>
          </w:tblCellMar>
        </w:tblPrEx>
        <w:trPr>
          <w:trHeight w:val="417" w:hRule="atLeast"/>
        </w:trPr>
        <w:tc>
          <w:tcPr>
            <w:tcW w:w="15580" w:type="dxa"/>
            <w:gridSpan w:val="10"/>
            <w:tcBorders>
              <w:top w:val="nil"/>
              <w:left w:val="nil"/>
              <w:bottom w:val="single" w:color="auto" w:sz="4" w:space="0"/>
              <w:right w:val="nil"/>
            </w:tcBorders>
            <w:shd w:val="clear" w:color="auto" w:fill="auto"/>
            <w:noWrap/>
            <w:vAlign w:val="center"/>
          </w:tcPr>
          <w:p>
            <w:pPr>
              <w:widowControl/>
              <w:spacing w:line="240" w:lineRule="atLeas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广州医保——门特待遇（本院—上篇）</w:t>
            </w:r>
          </w:p>
        </w:tc>
      </w:tr>
      <w:tr>
        <w:tblPrEx>
          <w:tblCellMar>
            <w:top w:w="0" w:type="dxa"/>
            <w:left w:w="108" w:type="dxa"/>
            <w:bottom w:w="0" w:type="dxa"/>
            <w:right w:w="108" w:type="dxa"/>
          </w:tblCellMar>
        </w:tblPrEx>
        <w:trPr>
          <w:trHeight w:val="285" w:hRule="atLeast"/>
        </w:trPr>
        <w:tc>
          <w:tcPr>
            <w:tcW w:w="500" w:type="dxa"/>
            <w:vMerge w:val="restart"/>
            <w:tcBorders>
              <w:top w:val="nil"/>
              <w:left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序号</w:t>
            </w:r>
          </w:p>
        </w:tc>
        <w:tc>
          <w:tcPr>
            <w:tcW w:w="4620" w:type="dxa"/>
            <w:gridSpan w:val="2"/>
            <w:tcBorders>
              <w:top w:val="single" w:color="auto" w:sz="4" w:space="0"/>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门诊特定病种</w:t>
            </w:r>
          </w:p>
        </w:tc>
        <w:tc>
          <w:tcPr>
            <w:tcW w:w="1880"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审核确认有效期</w:t>
            </w:r>
          </w:p>
        </w:tc>
        <w:tc>
          <w:tcPr>
            <w:tcW w:w="1381" w:type="dxa"/>
            <w:vMerge w:val="restart"/>
            <w:tcBorders>
              <w:top w:val="nil"/>
              <w:left w:val="single" w:color="auto" w:sz="4" w:space="0"/>
              <w:bottom w:val="single" w:color="000000"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就医选点</w:t>
            </w:r>
          </w:p>
        </w:tc>
        <w:tc>
          <w:tcPr>
            <w:tcW w:w="1079" w:type="dxa"/>
            <w:vMerge w:val="restart"/>
            <w:tcBorders>
              <w:top w:val="nil"/>
              <w:left w:val="single" w:color="auto" w:sz="4" w:space="0"/>
              <w:bottom w:val="single" w:color="000000"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起付线</w:t>
            </w:r>
          </w:p>
        </w:tc>
        <w:tc>
          <w:tcPr>
            <w:tcW w:w="2860" w:type="dxa"/>
            <w:gridSpan w:val="2"/>
            <w:tcBorders>
              <w:top w:val="single" w:color="auto" w:sz="4" w:space="0"/>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统筹基金最高支付限额</w:t>
            </w:r>
          </w:p>
        </w:tc>
        <w:tc>
          <w:tcPr>
            <w:tcW w:w="1300"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统筹基金</w:t>
            </w:r>
            <w:r>
              <w:rPr>
                <w:rFonts w:hint="eastAsia" w:ascii="宋体" w:hAnsi="宋体" w:eastAsia="宋体" w:cs="宋体"/>
                <w:b/>
                <w:bCs/>
                <w:color w:val="000000"/>
                <w:kern w:val="0"/>
                <w:sz w:val="16"/>
                <w:szCs w:val="16"/>
              </w:rPr>
              <w:br w:type="textWrapping"/>
            </w:r>
            <w:r>
              <w:rPr>
                <w:rFonts w:hint="eastAsia" w:ascii="宋体" w:hAnsi="宋体" w:eastAsia="宋体" w:cs="宋体"/>
                <w:b/>
                <w:bCs/>
                <w:color w:val="000000"/>
                <w:kern w:val="0"/>
                <w:sz w:val="16"/>
                <w:szCs w:val="16"/>
              </w:rPr>
              <w:t>支付比例</w:t>
            </w:r>
          </w:p>
        </w:tc>
        <w:tc>
          <w:tcPr>
            <w:tcW w:w="1960"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其他规定</w:t>
            </w:r>
          </w:p>
        </w:tc>
      </w:tr>
      <w:tr>
        <w:tblPrEx>
          <w:tblCellMar>
            <w:top w:w="0" w:type="dxa"/>
            <w:left w:w="108" w:type="dxa"/>
            <w:bottom w:w="0" w:type="dxa"/>
            <w:right w:w="108" w:type="dxa"/>
          </w:tblCellMar>
        </w:tblPrEx>
        <w:trPr>
          <w:trHeight w:val="285" w:hRule="atLeast"/>
        </w:trPr>
        <w:tc>
          <w:tcPr>
            <w:tcW w:w="500" w:type="dxa"/>
            <w:vMerge w:val="continue"/>
            <w:tcBorders>
              <w:left w:val="single" w:color="auto" w:sz="4" w:space="0"/>
              <w:bottom w:val="single" w:color="auto" w:sz="4" w:space="0"/>
              <w:right w:val="single" w:color="auto" w:sz="4" w:space="0"/>
            </w:tcBorders>
            <w:shd w:val="clear" w:color="000000" w:fill="DBEEF3"/>
            <w:vAlign w:val="center"/>
          </w:tcPr>
          <w:p>
            <w:pPr>
              <w:widowControl/>
              <w:spacing w:line="260" w:lineRule="exact"/>
              <w:jc w:val="left"/>
              <w:rPr>
                <w:rFonts w:ascii="宋体" w:hAnsi="宋体" w:eastAsia="宋体" w:cs="宋体"/>
                <w:b/>
                <w:bCs/>
                <w:color w:val="000000"/>
                <w:kern w:val="0"/>
                <w:sz w:val="16"/>
                <w:szCs w:val="16"/>
              </w:rPr>
            </w:pPr>
          </w:p>
        </w:tc>
        <w:tc>
          <w:tcPr>
            <w:tcW w:w="880"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分类</w:t>
            </w:r>
          </w:p>
        </w:tc>
        <w:tc>
          <w:tcPr>
            <w:tcW w:w="3740"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病种名称</w:t>
            </w:r>
          </w:p>
        </w:tc>
        <w:tc>
          <w:tcPr>
            <w:tcW w:w="188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400"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职工医保</w:t>
            </w:r>
          </w:p>
        </w:tc>
        <w:tc>
          <w:tcPr>
            <w:tcW w:w="1460"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城居医保</w:t>
            </w: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96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高血压病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不受选点限制</w:t>
            </w:r>
          </w:p>
        </w:tc>
        <w:tc>
          <w:tcPr>
            <w:tcW w:w="107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200元/月</w:t>
            </w:r>
          </w:p>
        </w:tc>
        <w:tc>
          <w:tcPr>
            <w:tcW w:w="1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50元/月</w:t>
            </w:r>
          </w:p>
        </w:tc>
        <w:tc>
          <w:tcPr>
            <w:tcW w:w="130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65%</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①患有多种一类门诊特定病种的参保病人，最多选择其中</w:t>
            </w:r>
            <w:r>
              <w:rPr>
                <w:rFonts w:hint="eastAsia" w:ascii="宋体" w:hAnsi="宋体" w:eastAsia="宋体" w:cs="宋体"/>
                <w:b/>
                <w:bCs/>
                <w:color w:val="000000"/>
                <w:kern w:val="0"/>
                <w:sz w:val="16"/>
                <w:szCs w:val="16"/>
              </w:rPr>
              <w:t>3个病种</w:t>
            </w:r>
            <w:r>
              <w:rPr>
                <w:rFonts w:hint="eastAsia" w:ascii="宋体" w:hAnsi="宋体" w:eastAsia="宋体" w:cs="宋体"/>
                <w:color w:val="000000"/>
                <w:kern w:val="0"/>
                <w:sz w:val="16"/>
                <w:szCs w:val="16"/>
              </w:rPr>
              <w:t>享受相应的门诊特定病种医疗保险待遇。</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②病种一经选定，在一个年度内原则上不予变更。</w:t>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br w:type="textWrapping"/>
            </w:r>
            <w:r>
              <w:rPr>
                <w:rFonts w:hint="eastAsia" w:ascii="宋体" w:hAnsi="宋体" w:eastAsia="宋体" w:cs="宋体"/>
                <w:color w:val="000000"/>
                <w:kern w:val="0"/>
                <w:sz w:val="16"/>
                <w:szCs w:val="16"/>
              </w:rPr>
              <w:t>③参保病人患病</w:t>
            </w:r>
            <w:r>
              <w:rPr>
                <w:rFonts w:hint="eastAsia" w:ascii="宋体" w:hAnsi="宋体" w:eastAsia="宋体" w:cs="宋体"/>
                <w:b/>
                <w:bCs/>
                <w:color w:val="000000"/>
                <w:kern w:val="0"/>
                <w:sz w:val="16"/>
                <w:szCs w:val="16"/>
              </w:rPr>
              <w:t>住院期间不得</w:t>
            </w:r>
            <w:r>
              <w:rPr>
                <w:rFonts w:hint="eastAsia" w:ascii="宋体" w:hAnsi="宋体" w:eastAsia="宋体" w:cs="宋体"/>
                <w:color w:val="000000"/>
                <w:kern w:val="0"/>
                <w:sz w:val="16"/>
                <w:szCs w:val="16"/>
              </w:rPr>
              <w:t>同时</w:t>
            </w:r>
            <w:r>
              <w:rPr>
                <w:rFonts w:hint="eastAsia" w:ascii="宋体" w:hAnsi="宋体" w:eastAsia="宋体" w:cs="宋体"/>
                <w:b/>
                <w:bCs/>
                <w:color w:val="000000"/>
                <w:kern w:val="0"/>
                <w:sz w:val="16"/>
                <w:szCs w:val="16"/>
              </w:rPr>
              <w:t>享受一类门诊特定</w:t>
            </w:r>
            <w:r>
              <w:rPr>
                <w:rFonts w:hint="eastAsia" w:ascii="宋体" w:hAnsi="宋体" w:eastAsia="宋体" w:cs="宋体"/>
                <w:color w:val="000000"/>
                <w:kern w:val="0"/>
                <w:sz w:val="16"/>
                <w:szCs w:val="16"/>
              </w:rPr>
              <w:t>病种医疗保险待遇。</w:t>
            </w: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糖尿病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高脂血症</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冠状动脉粥样硬化性心脏病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慢性心力衰竭（心功能Ⅲ级以上）</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脑血管病后遗症</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支气管哮喘</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慢性阻塞性肺疾病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心脏瓣膜替换手术后抗凝治疗</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类风湿关节炎</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骨关节炎</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甲状腺功能减退症</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银屑病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肝豆状核变性病（铜代谢障碍）</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肌萎缩侧索硬化症</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系统性红斑狼疮</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400元/月</w:t>
            </w: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帕金森病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阿尔茨海默氏病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癫痫</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慢性肾功能不全（非透析）</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慢性肾小球肾炎</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肝硬化</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强直性脊柱炎</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溃疡性结肠炎</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克罗恩病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普拉德-威利综合征</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27</w:t>
            </w:r>
          </w:p>
        </w:tc>
        <w:tc>
          <w:tcPr>
            <w:tcW w:w="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一类</w:t>
            </w:r>
          </w:p>
        </w:tc>
        <w:tc>
          <w:tcPr>
            <w:tcW w:w="3740" w:type="dxa"/>
            <w:tcBorders>
              <w:top w:val="nil"/>
              <w:left w:val="nil"/>
              <w:bottom w:val="single" w:color="auto" w:sz="4" w:space="0"/>
              <w:right w:val="single" w:color="auto" w:sz="4" w:space="0"/>
            </w:tcBorders>
            <w:shd w:val="clear" w:color="000000" w:fill="F2F2F2"/>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淋巴结核</w:t>
            </w:r>
          </w:p>
        </w:tc>
        <w:tc>
          <w:tcPr>
            <w:tcW w:w="1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8580" w:type="dxa"/>
            <w:gridSpan w:val="6"/>
            <w:tcBorders>
              <w:top w:val="single" w:color="auto" w:sz="4" w:space="0"/>
              <w:left w:val="nil"/>
              <w:bottom w:val="single" w:color="auto" w:sz="4" w:space="0"/>
              <w:right w:val="single" w:color="000000" w:sz="4" w:space="0"/>
            </w:tcBorders>
            <w:shd w:val="clear" w:color="000000" w:fill="F2F2F2"/>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我院非指定医院</w:t>
            </w: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分裂情感性障碍</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不受选点限制</w:t>
            </w:r>
          </w:p>
        </w:tc>
        <w:tc>
          <w:tcPr>
            <w:tcW w:w="107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500元/月</w:t>
            </w:r>
          </w:p>
        </w:tc>
        <w:tc>
          <w:tcPr>
            <w:tcW w:w="14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400元/月</w:t>
            </w:r>
          </w:p>
        </w:tc>
        <w:tc>
          <w:tcPr>
            <w:tcW w:w="13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按参保人相应住院基本医疗费的支付比例确定</w:t>
            </w:r>
          </w:p>
        </w:tc>
        <w:tc>
          <w:tcPr>
            <w:tcW w:w="1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参保病人进行二类门诊特定病种治疗</w:t>
            </w:r>
            <w:r>
              <w:rPr>
                <w:rFonts w:hint="eastAsia" w:ascii="宋体" w:hAnsi="宋体" w:eastAsia="宋体" w:cs="宋体"/>
                <w:b/>
                <w:bCs/>
                <w:color w:val="000000"/>
                <w:kern w:val="0"/>
                <w:sz w:val="16"/>
                <w:szCs w:val="16"/>
              </w:rPr>
              <w:t>不受病种选定数量限制</w:t>
            </w:r>
            <w:r>
              <w:rPr>
                <w:rFonts w:hint="eastAsia" w:ascii="宋体" w:hAnsi="宋体" w:eastAsia="宋体" w:cs="宋体"/>
                <w:color w:val="000000"/>
                <w:kern w:val="0"/>
                <w:sz w:val="16"/>
                <w:szCs w:val="16"/>
              </w:rPr>
              <w:t>。</w:t>
            </w: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精神发育迟滞</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精神分裂症</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偏执性精神病</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双相情感障碍</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5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3740"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癫痫所致精神障碍</w:t>
            </w:r>
          </w:p>
        </w:tc>
        <w:tc>
          <w:tcPr>
            <w:tcW w:w="1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381"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07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0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4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3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96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bl>
    <w:p>
      <w:pPr>
        <w:spacing w:line="260" w:lineRule="exact"/>
        <w:rPr>
          <w:sz w:val="16"/>
          <w:szCs w:val="16"/>
        </w:rPr>
      </w:pPr>
    </w:p>
    <w:p/>
    <w:tbl>
      <w:tblPr>
        <w:tblStyle w:val="5"/>
        <w:tblpPr w:leftFromText="180" w:rightFromText="180" w:vertAnchor="text" w:tblpXSpec="right" w:tblpY="1"/>
        <w:tblOverlap w:val="never"/>
        <w:tblW w:w="15580" w:type="dxa"/>
        <w:tblInd w:w="0" w:type="dxa"/>
        <w:tblLayout w:type="autofit"/>
        <w:tblCellMar>
          <w:top w:w="0" w:type="dxa"/>
          <w:left w:w="108" w:type="dxa"/>
          <w:bottom w:w="0" w:type="dxa"/>
          <w:right w:w="108" w:type="dxa"/>
        </w:tblCellMar>
      </w:tblPr>
      <w:tblGrid>
        <w:gridCol w:w="500"/>
        <w:gridCol w:w="880"/>
        <w:gridCol w:w="5249"/>
        <w:gridCol w:w="1559"/>
        <w:gridCol w:w="1134"/>
        <w:gridCol w:w="1559"/>
        <w:gridCol w:w="1276"/>
        <w:gridCol w:w="1276"/>
        <w:gridCol w:w="1039"/>
        <w:gridCol w:w="1108"/>
      </w:tblGrid>
      <w:tr>
        <w:tblPrEx>
          <w:tblCellMar>
            <w:top w:w="0" w:type="dxa"/>
            <w:left w:w="108" w:type="dxa"/>
            <w:bottom w:w="0" w:type="dxa"/>
            <w:right w:w="108" w:type="dxa"/>
          </w:tblCellMar>
        </w:tblPrEx>
        <w:trPr>
          <w:trHeight w:val="450" w:hRule="atLeast"/>
        </w:trPr>
        <w:tc>
          <w:tcPr>
            <w:tcW w:w="15580" w:type="dxa"/>
            <w:gridSpan w:val="10"/>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广州医保——门特待遇（本院—下篇）</w:t>
            </w:r>
          </w:p>
        </w:tc>
      </w:tr>
      <w:tr>
        <w:tblPrEx>
          <w:tblCellMar>
            <w:top w:w="0" w:type="dxa"/>
            <w:left w:w="108" w:type="dxa"/>
            <w:bottom w:w="0" w:type="dxa"/>
            <w:right w:w="108" w:type="dxa"/>
          </w:tblCellMar>
        </w:tblPrEx>
        <w:trPr>
          <w:trHeight w:val="270" w:hRule="atLeast"/>
        </w:trPr>
        <w:tc>
          <w:tcPr>
            <w:tcW w:w="500"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序号</w:t>
            </w:r>
          </w:p>
        </w:tc>
        <w:tc>
          <w:tcPr>
            <w:tcW w:w="6129" w:type="dxa"/>
            <w:gridSpan w:val="2"/>
            <w:tcBorders>
              <w:top w:val="single" w:color="auto" w:sz="4" w:space="0"/>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门诊特定病种</w:t>
            </w:r>
          </w:p>
        </w:tc>
        <w:tc>
          <w:tcPr>
            <w:tcW w:w="1559"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审核确认有效期</w:t>
            </w:r>
          </w:p>
        </w:tc>
        <w:tc>
          <w:tcPr>
            <w:tcW w:w="1134" w:type="dxa"/>
            <w:vMerge w:val="restart"/>
            <w:tcBorders>
              <w:top w:val="nil"/>
              <w:left w:val="single" w:color="auto" w:sz="4" w:space="0"/>
              <w:bottom w:val="single" w:color="000000"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就医选点</w:t>
            </w:r>
          </w:p>
        </w:tc>
        <w:tc>
          <w:tcPr>
            <w:tcW w:w="1559" w:type="dxa"/>
            <w:vMerge w:val="restart"/>
            <w:tcBorders>
              <w:top w:val="nil"/>
              <w:left w:val="single" w:color="auto" w:sz="4" w:space="0"/>
              <w:bottom w:val="single" w:color="000000"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起付线</w:t>
            </w:r>
          </w:p>
        </w:tc>
        <w:tc>
          <w:tcPr>
            <w:tcW w:w="2552" w:type="dxa"/>
            <w:gridSpan w:val="2"/>
            <w:tcBorders>
              <w:top w:val="single" w:color="auto" w:sz="4" w:space="0"/>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统筹基金最高支付限额</w:t>
            </w:r>
          </w:p>
        </w:tc>
        <w:tc>
          <w:tcPr>
            <w:tcW w:w="1039"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统筹基金</w:t>
            </w:r>
            <w:r>
              <w:rPr>
                <w:rFonts w:hint="eastAsia" w:ascii="宋体" w:hAnsi="宋体" w:eastAsia="宋体" w:cs="宋体"/>
                <w:b/>
                <w:bCs/>
                <w:color w:val="000000"/>
                <w:kern w:val="0"/>
                <w:sz w:val="16"/>
                <w:szCs w:val="16"/>
              </w:rPr>
              <w:br w:type="textWrapping"/>
            </w:r>
            <w:r>
              <w:rPr>
                <w:rFonts w:hint="eastAsia" w:ascii="宋体" w:hAnsi="宋体" w:eastAsia="宋体" w:cs="宋体"/>
                <w:b/>
                <w:bCs/>
                <w:color w:val="000000"/>
                <w:kern w:val="0"/>
                <w:sz w:val="16"/>
                <w:szCs w:val="16"/>
              </w:rPr>
              <w:t>支付比例</w:t>
            </w:r>
          </w:p>
        </w:tc>
        <w:tc>
          <w:tcPr>
            <w:tcW w:w="1108" w:type="dxa"/>
            <w:vMerge w:val="restart"/>
            <w:tcBorders>
              <w:top w:val="nil"/>
              <w:left w:val="single" w:color="auto" w:sz="4" w:space="0"/>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其他规定</w:t>
            </w:r>
          </w:p>
        </w:tc>
      </w:tr>
      <w:tr>
        <w:tblPrEx>
          <w:tblCellMar>
            <w:top w:w="0" w:type="dxa"/>
            <w:left w:w="108" w:type="dxa"/>
            <w:bottom w:w="0" w:type="dxa"/>
            <w:right w:w="108" w:type="dxa"/>
          </w:tblCellMar>
        </w:tblPrEx>
        <w:trPr>
          <w:trHeight w:val="270" w:hRule="atLeast"/>
        </w:trPr>
        <w:tc>
          <w:tcPr>
            <w:tcW w:w="500"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880"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分类</w:t>
            </w:r>
          </w:p>
        </w:tc>
        <w:tc>
          <w:tcPr>
            <w:tcW w:w="5249"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病种名称</w:t>
            </w:r>
          </w:p>
        </w:tc>
        <w:tc>
          <w:tcPr>
            <w:tcW w:w="1559"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276"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职工医保</w:t>
            </w:r>
          </w:p>
        </w:tc>
        <w:tc>
          <w:tcPr>
            <w:tcW w:w="1276" w:type="dxa"/>
            <w:tcBorders>
              <w:top w:val="nil"/>
              <w:left w:val="nil"/>
              <w:bottom w:val="single" w:color="auto" w:sz="4" w:space="0"/>
              <w:right w:val="single" w:color="auto" w:sz="4" w:space="0"/>
            </w:tcBorders>
            <w:shd w:val="clear" w:color="000000" w:fill="DBEEF3"/>
            <w:vAlign w:val="center"/>
          </w:tcPr>
          <w:p>
            <w:pPr>
              <w:widowControl/>
              <w:spacing w:line="260" w:lineRule="exact"/>
              <w:jc w:val="center"/>
              <w:rPr>
                <w:rFonts w:ascii="宋体" w:hAnsi="宋体" w:eastAsia="宋体" w:cs="宋体"/>
                <w:b/>
                <w:bCs/>
                <w:color w:val="000000"/>
                <w:kern w:val="0"/>
                <w:sz w:val="16"/>
                <w:szCs w:val="16"/>
              </w:rPr>
            </w:pPr>
            <w:r>
              <w:rPr>
                <w:rFonts w:hint="eastAsia" w:ascii="宋体" w:hAnsi="宋体" w:eastAsia="宋体" w:cs="宋体"/>
                <w:b/>
                <w:bCs/>
                <w:color w:val="000000"/>
                <w:kern w:val="0"/>
                <w:sz w:val="16"/>
                <w:szCs w:val="16"/>
              </w:rPr>
              <w:t>城居医保</w:t>
            </w:r>
          </w:p>
        </w:tc>
        <w:tc>
          <w:tcPr>
            <w:tcW w:w="1039"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c>
          <w:tcPr>
            <w:tcW w:w="1108" w:type="dxa"/>
            <w:vMerge w:val="continue"/>
            <w:tcBorders>
              <w:top w:val="nil"/>
              <w:left w:val="single" w:color="auto" w:sz="4" w:space="0"/>
              <w:bottom w:val="single" w:color="auto" w:sz="4" w:space="0"/>
              <w:right w:val="single" w:color="auto" w:sz="4" w:space="0"/>
            </w:tcBorders>
            <w:vAlign w:val="center"/>
          </w:tcPr>
          <w:p>
            <w:pPr>
              <w:widowControl/>
              <w:spacing w:line="260" w:lineRule="exact"/>
              <w:jc w:val="left"/>
              <w:rPr>
                <w:rFonts w:ascii="宋体" w:hAnsi="宋体" w:eastAsia="宋体" w:cs="宋体"/>
                <w:b/>
                <w:bCs/>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慢性乙型肝炎</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两年</w:t>
            </w:r>
          </w:p>
        </w:tc>
        <w:tc>
          <w:tcPr>
            <w:tcW w:w="1134" w:type="dxa"/>
            <w:vMerge w:val="restart"/>
            <w:tcBorders>
              <w:top w:val="nil"/>
              <w:left w:val="single" w:color="auto" w:sz="4" w:space="0"/>
              <w:bottom w:val="nil"/>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选定1家作为门诊治疗的定点医院</w:t>
            </w:r>
          </w:p>
        </w:tc>
        <w:tc>
          <w:tcPr>
            <w:tcW w:w="155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600元/月</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480元/月</w:t>
            </w:r>
          </w:p>
        </w:tc>
        <w:tc>
          <w:tcPr>
            <w:tcW w:w="10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按参保人相应住院基本医疗费的支付比例确定</w:t>
            </w:r>
          </w:p>
        </w:tc>
        <w:tc>
          <w:tcPr>
            <w:tcW w:w="1108"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参保病人进行二类门诊特定病种治疗</w:t>
            </w:r>
            <w:r>
              <w:rPr>
                <w:rFonts w:hint="eastAsia" w:ascii="宋体" w:hAnsi="宋体" w:eastAsia="宋体" w:cs="宋体"/>
                <w:b/>
                <w:bCs/>
                <w:color w:val="000000"/>
                <w:kern w:val="0"/>
                <w:sz w:val="16"/>
                <w:szCs w:val="16"/>
              </w:rPr>
              <w:t>不受病种选定数量限制。</w:t>
            </w: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心房颤动抗凝治疗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600元/月</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6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36</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恶性肿瘤镇痛治疗（非化学治疗、生物靶向药物治疗、放射治疗期间）</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800元/月</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640元/月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37</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小儿脑性瘫痪</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640元/月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38</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重型β地中海贫血</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94"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慢性丙型肝炎</w:t>
            </w:r>
          </w:p>
        </w:tc>
        <w:tc>
          <w:tcPr>
            <w:tcW w:w="15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6个月</w:t>
            </w: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40</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慢性再生障碍性贫血</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两年</w:t>
            </w: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肺脏移植术后抗排异治疗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肝脏移植术后抗排异治疗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骨髓移植术后抗排异治疗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肾脏移植术后抗排异治疗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心脏移植术后抗排异治疗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46</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多发性硬化症</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7100元/月</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47</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湿性年龄相关性黄斑变性</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18000元/年</w:t>
            </w:r>
          </w:p>
        </w:tc>
        <w:tc>
          <w:tcPr>
            <w:tcW w:w="127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14400元/年</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恶性肿瘤放射治疗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49</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恶性肿瘤化学治疗（含生物靶向药物治疗）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6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50</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恶性肿瘤辅助治疗（放射治疗、化学治疗及生物靶向药物治疗期间）</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51</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尿毒症腹膜透析治疗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52</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尿毒症血液透析治疗</w:t>
            </w: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53</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血友病</w:t>
            </w:r>
          </w:p>
        </w:tc>
        <w:tc>
          <w:tcPr>
            <w:tcW w:w="15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1134" w:type="dxa"/>
            <w:vMerge w:val="continue"/>
            <w:tcBorders>
              <w:top w:val="nil"/>
              <w:left w:val="single" w:color="auto" w:sz="4" w:space="0"/>
              <w:bottom w:val="nil"/>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2552"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c>
          <w:tcPr>
            <w:tcW w:w="1108"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宋体" w:hAnsi="宋体" w:eastAsia="宋体" w:cs="宋体"/>
                <w:color w:val="000000"/>
                <w:kern w:val="0"/>
                <w:sz w:val="16"/>
                <w:szCs w:val="16"/>
              </w:rPr>
            </w:pPr>
          </w:p>
        </w:tc>
      </w:tr>
      <w:tr>
        <w:tblPrEx>
          <w:tblCellMar>
            <w:top w:w="0" w:type="dxa"/>
            <w:left w:w="108" w:type="dxa"/>
            <w:bottom w:w="0" w:type="dxa"/>
            <w:right w:w="108" w:type="dxa"/>
          </w:tblCellMar>
        </w:tblPrEx>
        <w:trPr>
          <w:trHeight w:val="352" w:hRule="atLeast"/>
        </w:trPr>
        <w:tc>
          <w:tcPr>
            <w:tcW w:w="500"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54</w:t>
            </w:r>
          </w:p>
        </w:tc>
        <w:tc>
          <w:tcPr>
            <w:tcW w:w="880"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急诊留院观察</w:t>
            </w:r>
          </w:p>
        </w:tc>
        <w:tc>
          <w:tcPr>
            <w:tcW w:w="155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不受选</w:t>
            </w:r>
          </w:p>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点限制</w:t>
            </w:r>
          </w:p>
        </w:tc>
        <w:tc>
          <w:tcPr>
            <w:tcW w:w="1559" w:type="dxa"/>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按三级定点医院住院起付标准，每一保险年度计算1次。</w:t>
            </w:r>
          </w:p>
        </w:tc>
        <w:tc>
          <w:tcPr>
            <w:tcW w:w="2552"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无</w:t>
            </w:r>
          </w:p>
        </w:tc>
        <w:tc>
          <w:tcPr>
            <w:tcW w:w="103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起付线以上基本医疗费按参保人相应住院基本医疗费的支付比例确定</w:t>
            </w:r>
          </w:p>
        </w:tc>
        <w:tc>
          <w:tcPr>
            <w:tcW w:w="1108" w:type="dxa"/>
            <w:tcBorders>
              <w:top w:val="nil"/>
              <w:left w:val="nil"/>
              <w:bottom w:val="nil"/>
              <w:right w:val="single" w:color="auto" w:sz="4" w:space="0"/>
            </w:tcBorders>
            <w:shd w:val="clear" w:color="auto" w:fill="auto"/>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w:t>
            </w:r>
          </w:p>
        </w:tc>
        <w:tc>
          <w:tcPr>
            <w:tcW w:w="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000000" w:fill="F2F2F2"/>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艾滋病病毒感染</w:t>
            </w:r>
          </w:p>
        </w:tc>
        <w:tc>
          <w:tcPr>
            <w:tcW w:w="1559"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长期</w:t>
            </w:r>
          </w:p>
        </w:tc>
        <w:tc>
          <w:tcPr>
            <w:tcW w:w="7392" w:type="dxa"/>
            <w:gridSpan w:val="6"/>
            <w:tcBorders>
              <w:top w:val="single" w:color="auto" w:sz="4" w:space="0"/>
              <w:left w:val="nil"/>
              <w:bottom w:val="single" w:color="auto" w:sz="4" w:space="0"/>
              <w:right w:val="single" w:color="000000" w:sz="4" w:space="0"/>
            </w:tcBorders>
            <w:shd w:val="clear" w:color="000000" w:fill="F2F2F2"/>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我院非指定医院</w:t>
            </w: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56</w:t>
            </w:r>
          </w:p>
        </w:tc>
        <w:tc>
          <w:tcPr>
            <w:tcW w:w="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000000" w:fill="F2F2F2"/>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活动性肺结核</w:t>
            </w:r>
          </w:p>
        </w:tc>
        <w:tc>
          <w:tcPr>
            <w:tcW w:w="1559"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一年</w:t>
            </w:r>
          </w:p>
        </w:tc>
        <w:tc>
          <w:tcPr>
            <w:tcW w:w="7392" w:type="dxa"/>
            <w:gridSpan w:val="6"/>
            <w:tcBorders>
              <w:top w:val="single" w:color="auto" w:sz="4" w:space="0"/>
              <w:left w:val="nil"/>
              <w:bottom w:val="single" w:color="auto" w:sz="4" w:space="0"/>
              <w:right w:val="single" w:color="000000" w:sz="4" w:space="0"/>
            </w:tcBorders>
            <w:shd w:val="clear" w:color="000000" w:fill="F2F2F2"/>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我院非指定医院</w:t>
            </w:r>
          </w:p>
        </w:tc>
      </w:tr>
      <w:tr>
        <w:tblPrEx>
          <w:tblCellMar>
            <w:top w:w="0" w:type="dxa"/>
            <w:left w:w="108" w:type="dxa"/>
            <w:bottom w:w="0" w:type="dxa"/>
            <w:right w:w="108" w:type="dxa"/>
          </w:tblCellMar>
        </w:tblPrEx>
        <w:trPr>
          <w:trHeight w:val="60" w:hRule="atLeast"/>
        </w:trPr>
        <w:tc>
          <w:tcPr>
            <w:tcW w:w="500" w:type="dxa"/>
            <w:tcBorders>
              <w:top w:val="nil"/>
              <w:left w:val="single" w:color="auto" w:sz="4" w:space="0"/>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57</w:t>
            </w:r>
          </w:p>
        </w:tc>
        <w:tc>
          <w:tcPr>
            <w:tcW w:w="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000000" w:fill="F2F2F2"/>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耐多药肺结核</w:t>
            </w:r>
          </w:p>
        </w:tc>
        <w:tc>
          <w:tcPr>
            <w:tcW w:w="1559"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两年</w:t>
            </w:r>
          </w:p>
        </w:tc>
        <w:tc>
          <w:tcPr>
            <w:tcW w:w="7392" w:type="dxa"/>
            <w:gridSpan w:val="6"/>
            <w:tcBorders>
              <w:top w:val="single" w:color="auto" w:sz="4" w:space="0"/>
              <w:left w:val="nil"/>
              <w:bottom w:val="single" w:color="auto" w:sz="4" w:space="0"/>
              <w:right w:val="single" w:color="000000" w:sz="4" w:space="0"/>
            </w:tcBorders>
            <w:shd w:val="clear" w:color="000000" w:fill="F2F2F2"/>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我院非指定医院</w:t>
            </w:r>
          </w:p>
        </w:tc>
      </w:tr>
      <w:tr>
        <w:tblPrEx>
          <w:tblCellMar>
            <w:top w:w="0" w:type="dxa"/>
            <w:left w:w="108" w:type="dxa"/>
            <w:bottom w:w="0" w:type="dxa"/>
            <w:right w:w="108" w:type="dxa"/>
          </w:tblCellMar>
        </w:tblPrEx>
        <w:trPr>
          <w:trHeight w:val="270" w:hRule="atLeast"/>
        </w:trPr>
        <w:tc>
          <w:tcPr>
            <w:tcW w:w="500" w:type="dxa"/>
            <w:tcBorders>
              <w:top w:val="nil"/>
              <w:left w:val="single" w:color="auto" w:sz="4" w:space="0"/>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58</w:t>
            </w:r>
          </w:p>
        </w:tc>
        <w:tc>
          <w:tcPr>
            <w:tcW w:w="880"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二类</w:t>
            </w:r>
          </w:p>
        </w:tc>
        <w:tc>
          <w:tcPr>
            <w:tcW w:w="5249" w:type="dxa"/>
            <w:tcBorders>
              <w:top w:val="nil"/>
              <w:left w:val="nil"/>
              <w:bottom w:val="single" w:color="auto" w:sz="4" w:space="0"/>
              <w:right w:val="single" w:color="auto" w:sz="4" w:space="0"/>
            </w:tcBorders>
            <w:shd w:val="clear" w:color="000000" w:fill="F2F2F2"/>
            <w:vAlign w:val="center"/>
          </w:tcPr>
          <w:p>
            <w:pPr>
              <w:widowControl/>
              <w:spacing w:line="260" w:lineRule="exact"/>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家庭病床</w:t>
            </w:r>
          </w:p>
        </w:tc>
        <w:tc>
          <w:tcPr>
            <w:tcW w:w="1559" w:type="dxa"/>
            <w:tcBorders>
              <w:top w:val="nil"/>
              <w:left w:val="nil"/>
              <w:bottom w:val="single" w:color="auto" w:sz="4" w:space="0"/>
              <w:right w:val="single" w:color="auto" w:sz="4" w:space="0"/>
            </w:tcBorders>
            <w:shd w:val="clear" w:color="000000" w:fill="F2F2F2"/>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90天</w:t>
            </w:r>
          </w:p>
        </w:tc>
        <w:tc>
          <w:tcPr>
            <w:tcW w:w="7392" w:type="dxa"/>
            <w:gridSpan w:val="6"/>
            <w:tcBorders>
              <w:top w:val="single" w:color="auto" w:sz="4" w:space="0"/>
              <w:left w:val="nil"/>
              <w:bottom w:val="single" w:color="auto" w:sz="4" w:space="0"/>
              <w:right w:val="single" w:color="000000" w:sz="4" w:space="0"/>
            </w:tcBorders>
            <w:shd w:val="clear" w:color="000000" w:fill="F2F2F2"/>
            <w:noWrap/>
            <w:vAlign w:val="center"/>
          </w:tcPr>
          <w:p>
            <w:pPr>
              <w:widowControl/>
              <w:spacing w:line="26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我院无开展</w:t>
            </w:r>
          </w:p>
        </w:tc>
      </w:tr>
    </w:tbl>
    <w:p>
      <w:pPr>
        <w:rPr>
          <w:b/>
        </w:rPr>
      </w:pPr>
    </w:p>
    <w:p/>
    <w:sectPr>
      <w:pgSz w:w="16838" w:h="11906" w:orient="landscape"/>
      <w:pgMar w:top="680" w:right="680" w:bottom="680" w:left="6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541B"/>
    <w:rsid w:val="000003B4"/>
    <w:rsid w:val="00016786"/>
    <w:rsid w:val="0001741E"/>
    <w:rsid w:val="000234A0"/>
    <w:rsid w:val="00025FED"/>
    <w:rsid w:val="00085893"/>
    <w:rsid w:val="00086B80"/>
    <w:rsid w:val="00090BEB"/>
    <w:rsid w:val="00092D5D"/>
    <w:rsid w:val="000A5E7B"/>
    <w:rsid w:val="000D0896"/>
    <w:rsid w:val="0010313F"/>
    <w:rsid w:val="00117493"/>
    <w:rsid w:val="00136EB1"/>
    <w:rsid w:val="001431A1"/>
    <w:rsid w:val="001505D9"/>
    <w:rsid w:val="001B0B5C"/>
    <w:rsid w:val="001D2FCC"/>
    <w:rsid w:val="00206054"/>
    <w:rsid w:val="00212CE4"/>
    <w:rsid w:val="00261D6D"/>
    <w:rsid w:val="002F3E95"/>
    <w:rsid w:val="002F7A70"/>
    <w:rsid w:val="0031684A"/>
    <w:rsid w:val="0036507A"/>
    <w:rsid w:val="00382307"/>
    <w:rsid w:val="00383CDC"/>
    <w:rsid w:val="00385C0C"/>
    <w:rsid w:val="00393E68"/>
    <w:rsid w:val="0039665F"/>
    <w:rsid w:val="003A53E7"/>
    <w:rsid w:val="003A6223"/>
    <w:rsid w:val="003D79B6"/>
    <w:rsid w:val="003F7A7D"/>
    <w:rsid w:val="00407F63"/>
    <w:rsid w:val="004106E9"/>
    <w:rsid w:val="00425C6D"/>
    <w:rsid w:val="004A1E10"/>
    <w:rsid w:val="004B5452"/>
    <w:rsid w:val="00521DB9"/>
    <w:rsid w:val="00554ED6"/>
    <w:rsid w:val="00590C35"/>
    <w:rsid w:val="00591C20"/>
    <w:rsid w:val="005B4FD2"/>
    <w:rsid w:val="005C239D"/>
    <w:rsid w:val="005F2CCD"/>
    <w:rsid w:val="00617A18"/>
    <w:rsid w:val="00641EC6"/>
    <w:rsid w:val="00674D8F"/>
    <w:rsid w:val="00680F6D"/>
    <w:rsid w:val="006A0820"/>
    <w:rsid w:val="006A0D29"/>
    <w:rsid w:val="006B4150"/>
    <w:rsid w:val="006C216A"/>
    <w:rsid w:val="00720777"/>
    <w:rsid w:val="00732DC7"/>
    <w:rsid w:val="007466D2"/>
    <w:rsid w:val="007478B0"/>
    <w:rsid w:val="00754C0D"/>
    <w:rsid w:val="00760861"/>
    <w:rsid w:val="007A2CA2"/>
    <w:rsid w:val="007B5AD4"/>
    <w:rsid w:val="00803B6B"/>
    <w:rsid w:val="0082154B"/>
    <w:rsid w:val="008302B6"/>
    <w:rsid w:val="00837CE8"/>
    <w:rsid w:val="0088635D"/>
    <w:rsid w:val="008C541B"/>
    <w:rsid w:val="008E61D9"/>
    <w:rsid w:val="008F28AD"/>
    <w:rsid w:val="00906B46"/>
    <w:rsid w:val="00920B85"/>
    <w:rsid w:val="009232A4"/>
    <w:rsid w:val="009728FD"/>
    <w:rsid w:val="00973A33"/>
    <w:rsid w:val="00976AF6"/>
    <w:rsid w:val="009F1D34"/>
    <w:rsid w:val="009F5F31"/>
    <w:rsid w:val="00A857D2"/>
    <w:rsid w:val="00A94E74"/>
    <w:rsid w:val="00AB5DF8"/>
    <w:rsid w:val="00AD032C"/>
    <w:rsid w:val="00AD23B4"/>
    <w:rsid w:val="00B473EF"/>
    <w:rsid w:val="00B52BA8"/>
    <w:rsid w:val="00B769C2"/>
    <w:rsid w:val="00BB6D0A"/>
    <w:rsid w:val="00BB7A23"/>
    <w:rsid w:val="00BC5362"/>
    <w:rsid w:val="00C063CB"/>
    <w:rsid w:val="00C13B71"/>
    <w:rsid w:val="00C62857"/>
    <w:rsid w:val="00C67A59"/>
    <w:rsid w:val="00C76E3B"/>
    <w:rsid w:val="00C87979"/>
    <w:rsid w:val="00CB7AA5"/>
    <w:rsid w:val="00CE128F"/>
    <w:rsid w:val="00D2604B"/>
    <w:rsid w:val="00D55C85"/>
    <w:rsid w:val="00D70B04"/>
    <w:rsid w:val="00D87D4E"/>
    <w:rsid w:val="00D9214D"/>
    <w:rsid w:val="00DA0508"/>
    <w:rsid w:val="00DC7C84"/>
    <w:rsid w:val="00DD184D"/>
    <w:rsid w:val="00DD74F7"/>
    <w:rsid w:val="00DF4D4D"/>
    <w:rsid w:val="00E40434"/>
    <w:rsid w:val="00E4353C"/>
    <w:rsid w:val="00E75A73"/>
    <w:rsid w:val="00E818EB"/>
    <w:rsid w:val="00E84CD4"/>
    <w:rsid w:val="00EB49B0"/>
    <w:rsid w:val="00ED1354"/>
    <w:rsid w:val="00EE7AA9"/>
    <w:rsid w:val="00EF522A"/>
    <w:rsid w:val="00F00149"/>
    <w:rsid w:val="00F14C56"/>
    <w:rsid w:val="00F16839"/>
    <w:rsid w:val="00FB220F"/>
    <w:rsid w:val="00FD0835"/>
    <w:rsid w:val="00FE6B80"/>
    <w:rsid w:val="00FE71BB"/>
    <w:rsid w:val="00FF6BCD"/>
    <w:rsid w:val="2937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character" w:customStyle="1" w:styleId="10">
    <w:name w:val="批注框文本 Char"/>
    <w:basedOn w:val="6"/>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2E60D-C18A-4A4A-BAC8-84AADC62B4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440</Words>
  <Characters>2511</Characters>
  <Lines>20</Lines>
  <Paragraphs>5</Paragraphs>
  <TotalTime>932</TotalTime>
  <ScaleCrop>false</ScaleCrop>
  <LinksUpToDate>false</LinksUpToDate>
  <CharactersWithSpaces>2946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2016-01-28T13:03:00Z</dcterms:created>
  <dc:creator>Mac</dc:creator>
  <cp:lastModifiedBy>Major</cp:lastModifiedBy>
  <dcterms:modified xsi:type="dcterms:W3CDTF">2020-10-12T00:26:52Z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