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C36D80">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LYY-20210819</w:t>
            </w:r>
          </w:p>
        </w:tc>
      </w:tr>
      <w:tr w:rsidR="00C36D80">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left"/>
              <w:rPr>
                <w:rFonts w:ascii="宋体" w:eastAsia="宋体" w:hAnsi="宋体" w:cs="宋体"/>
                <w:kern w:val="0"/>
                <w:sz w:val="24"/>
                <w:szCs w:val="24"/>
              </w:rPr>
            </w:pPr>
            <w:r>
              <w:rPr>
                <w:rFonts w:ascii="华文仿宋" w:eastAsia="华文仿宋" w:hAnsi="华文仿宋" w:cs="华文仿宋" w:hint="eastAsia"/>
                <w:kern w:val="0"/>
                <w:sz w:val="28"/>
                <w:szCs w:val="28"/>
              </w:rPr>
              <w:t>服务类招标</w:t>
            </w:r>
          </w:p>
        </w:tc>
      </w:tr>
      <w:tr w:rsidR="00C36D80">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left"/>
              <w:rPr>
                <w:rFonts w:ascii="宋体" w:eastAsia="宋体" w:hAnsi="宋体" w:cs="宋体"/>
                <w:kern w:val="0"/>
                <w:sz w:val="24"/>
                <w:szCs w:val="24"/>
              </w:rPr>
            </w:pPr>
            <w:r>
              <w:rPr>
                <w:rFonts w:ascii="华文仿宋" w:eastAsia="华文仿宋" w:hAnsi="华文仿宋" w:cs="华文仿宋" w:hint="eastAsia"/>
                <w:kern w:val="0"/>
                <w:sz w:val="28"/>
                <w:szCs w:val="28"/>
              </w:rPr>
              <w:t>实验室废试剂（危化品）处理服务</w:t>
            </w:r>
          </w:p>
        </w:tc>
      </w:tr>
      <w:tr w:rsidR="00C36D80">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C36D80" w:rsidRDefault="001F60EA">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C36D80" w:rsidRDefault="001F60EA">
            <w:pPr>
              <w:spacing w:line="440" w:lineRule="exact"/>
              <w:rPr>
                <w:rFonts w:ascii="华文仿宋" w:eastAsia="华文仿宋" w:hAnsi="华文仿宋" w:cs="华文仿宋"/>
                <w:color w:val="000000" w:themeColor="text1"/>
                <w:sz w:val="28"/>
                <w:szCs w:val="28"/>
              </w:rPr>
            </w:pPr>
            <w:proofErr w:type="gramStart"/>
            <w:r>
              <w:rPr>
                <w:rFonts w:ascii="华文仿宋" w:eastAsia="华文仿宋" w:hAnsi="华文仿宋" w:cs="华文仿宋" w:hint="eastAsia"/>
                <w:b/>
                <w:bCs/>
                <w:sz w:val="28"/>
                <w:szCs w:val="28"/>
              </w:rPr>
              <w:t>一</w:t>
            </w:r>
            <w:proofErr w:type="gramEnd"/>
            <w:r>
              <w:rPr>
                <w:rFonts w:ascii="华文仿宋" w:eastAsia="华文仿宋" w:hAnsi="华文仿宋" w:cs="华文仿宋" w:hint="eastAsia"/>
                <w:b/>
                <w:bCs/>
                <w:sz w:val="28"/>
                <w:szCs w:val="28"/>
              </w:rPr>
              <w:t xml:space="preserve"> 、服务范围：</w:t>
            </w:r>
            <w:r>
              <w:rPr>
                <w:rFonts w:ascii="华文仿宋" w:eastAsia="华文仿宋" w:hAnsi="华文仿宋" w:cs="华文仿宋" w:hint="eastAsia"/>
                <w:color w:val="000000" w:themeColor="text1"/>
                <w:sz w:val="28"/>
                <w:szCs w:val="28"/>
              </w:rPr>
              <w:t>各院区实验室。</w:t>
            </w:r>
          </w:p>
          <w:p w:rsidR="00C36D80" w:rsidRDefault="001F60EA">
            <w:pPr>
              <w:spacing w:line="440" w:lineRule="exact"/>
              <w:rPr>
                <w:rFonts w:ascii="华文仿宋" w:eastAsia="华文仿宋" w:hAnsi="华文仿宋" w:cs="华文仿宋"/>
                <w:sz w:val="28"/>
                <w:szCs w:val="28"/>
              </w:rPr>
            </w:pPr>
            <w:r>
              <w:rPr>
                <w:rFonts w:ascii="华文仿宋" w:eastAsia="华文仿宋" w:hAnsi="华文仿宋" w:cs="华文仿宋" w:hint="eastAsia"/>
                <w:b/>
                <w:bCs/>
                <w:sz w:val="28"/>
                <w:szCs w:val="28"/>
              </w:rPr>
              <w:t>二、服务要求：</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1、根据环保相关法律法规，要求服务方须具有环保部门认可处理危险废物的服务资质，包括处理危化品所需具备的专业技术、人员、设备、设施、许可证和执照。</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2、承运车辆必须为专用的危险废物运输车辆，车辆必须符合国家相关环保规定。</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3、上岗服务人员要严格遵守操作规程，负责</w:t>
            </w:r>
            <w:proofErr w:type="gramStart"/>
            <w:r>
              <w:rPr>
                <w:rFonts w:ascii="华文仿宋" w:eastAsia="华文仿宋" w:hAnsi="华文仿宋" w:cs="华文仿宋" w:hint="eastAsia"/>
                <w:sz w:val="28"/>
                <w:szCs w:val="28"/>
              </w:rPr>
              <w:t>按危险</w:t>
            </w:r>
            <w:proofErr w:type="gramEnd"/>
            <w:r>
              <w:rPr>
                <w:rFonts w:ascii="华文仿宋" w:eastAsia="华文仿宋" w:hAnsi="华文仿宋" w:cs="华文仿宋" w:hint="eastAsia"/>
                <w:sz w:val="28"/>
                <w:szCs w:val="28"/>
              </w:rPr>
              <w:t>废物易燃、易爆、有毒、腐蚀等特性分类并张贴相应物品标签。</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4、处理过程中保证防燃、防爆、防腐蚀、防中毒，以防污染环境及发生任何事故。</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5、服务方在运输过程中不得沿途丢弃、遗撒危险废物。</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6、服务方在危险废物无害化处理过程中应该符合国家法律法规的环保和消防要求或标准，并接受甲方的监督和指导。</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7、服务</w:t>
            </w:r>
            <w:proofErr w:type="gramStart"/>
            <w:r>
              <w:rPr>
                <w:rFonts w:ascii="华文仿宋" w:eastAsia="华文仿宋" w:hAnsi="华文仿宋" w:cs="华文仿宋" w:hint="eastAsia"/>
                <w:sz w:val="28"/>
                <w:szCs w:val="28"/>
              </w:rPr>
              <w:t>方运输</w:t>
            </w:r>
            <w:proofErr w:type="gramEnd"/>
            <w:r>
              <w:rPr>
                <w:rFonts w:ascii="华文仿宋" w:eastAsia="华文仿宋" w:hAnsi="华文仿宋" w:cs="华文仿宋" w:hint="eastAsia"/>
                <w:sz w:val="28"/>
                <w:szCs w:val="28"/>
              </w:rPr>
              <w:t>前后按《广东省固体废物环境监管信息平台》要求在平台完成填写相关转移联单。</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8、服务方自收运日起5个工作日内必须对危险废物进行检验处理，且出具相应对账单给我院。</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9、收集、分拣、运输、处理过程引起任何责任事故，服务方应承担全部责任。</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10、具体清单详见附件。</w:t>
            </w:r>
          </w:p>
          <w:p w:rsidR="00C36D80" w:rsidRDefault="001F60EA">
            <w:pPr>
              <w:spacing w:line="440" w:lineRule="exact"/>
              <w:ind w:firstLine="570"/>
              <w:rPr>
                <w:rFonts w:ascii="华文仿宋" w:eastAsia="华文仿宋" w:hAnsi="华文仿宋" w:cs="华文仿宋"/>
                <w:sz w:val="28"/>
                <w:szCs w:val="28"/>
              </w:rPr>
            </w:pPr>
            <w:r>
              <w:rPr>
                <w:rFonts w:ascii="华文仿宋" w:eastAsia="华文仿宋" w:hAnsi="华文仿宋" w:cs="华文仿宋" w:hint="eastAsia"/>
                <w:sz w:val="28"/>
                <w:szCs w:val="28"/>
              </w:rPr>
              <w:t>11、本项目最高限价：含税：46000元</w:t>
            </w:r>
          </w:p>
          <w:p w:rsidR="00C36D80" w:rsidRDefault="00C36D80">
            <w:pPr>
              <w:spacing w:line="440" w:lineRule="exact"/>
              <w:rPr>
                <w:rFonts w:ascii="华文仿宋" w:eastAsia="华文仿宋" w:hAnsi="华文仿宋" w:cs="华文仿宋"/>
                <w:kern w:val="0"/>
                <w:sz w:val="28"/>
                <w:szCs w:val="28"/>
              </w:rPr>
            </w:pPr>
          </w:p>
          <w:p w:rsidR="00C36D80" w:rsidRDefault="001F60EA">
            <w:pPr>
              <w:spacing w:line="44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院本部地址：广州市越秀区沿江西路107号</w:t>
            </w:r>
          </w:p>
          <w:p w:rsidR="00C36D80" w:rsidRDefault="001F60EA">
            <w:pPr>
              <w:spacing w:line="44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南院区地址：广州市海珠</w:t>
            </w:r>
            <w:proofErr w:type="gramStart"/>
            <w:r>
              <w:rPr>
                <w:rFonts w:ascii="华文仿宋" w:eastAsia="华文仿宋" w:hAnsi="华文仿宋" w:cs="华文仿宋" w:hint="eastAsia"/>
                <w:kern w:val="0"/>
                <w:sz w:val="28"/>
                <w:szCs w:val="28"/>
              </w:rPr>
              <w:t>区盈丰</w:t>
            </w:r>
            <w:proofErr w:type="gramEnd"/>
            <w:r>
              <w:rPr>
                <w:rFonts w:ascii="华文仿宋" w:eastAsia="华文仿宋" w:hAnsi="华文仿宋" w:cs="华文仿宋" w:hint="eastAsia"/>
                <w:kern w:val="0"/>
                <w:sz w:val="28"/>
                <w:szCs w:val="28"/>
              </w:rPr>
              <w:t>路33号</w:t>
            </w:r>
          </w:p>
        </w:tc>
      </w:tr>
      <w:tr w:rsidR="00C36D80">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C36D80" w:rsidRDefault="001F60EA">
            <w:pPr>
              <w:widowControl/>
              <w:spacing w:line="520" w:lineRule="exact"/>
              <w:jc w:val="left"/>
              <w:rPr>
                <w:rFonts w:ascii="宋体" w:eastAsia="宋体" w:hAnsi="宋体" w:cs="宋体"/>
                <w:kern w:val="0"/>
                <w:sz w:val="24"/>
                <w:szCs w:val="24"/>
              </w:rPr>
            </w:pPr>
            <w:r>
              <w:rPr>
                <w:rFonts w:ascii="宋体" w:eastAsia="宋体" w:hAnsi="宋体" w:cs="Arial Unicode MS" w:hint="eastAsia"/>
                <w:kern w:val="0"/>
                <w:sz w:val="28"/>
                <w:szCs w:val="28"/>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1、公司营业执照、组织机构代码、税务登记证（三证合一）及经营范围</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2、公司简介</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3、方案</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4、</w:t>
            </w:r>
            <w:r>
              <w:rPr>
                <w:rFonts w:ascii="华文仿宋" w:eastAsia="华文仿宋" w:hAnsi="华文仿宋" w:cs="华文仿宋" w:hint="eastAsia"/>
                <w:sz w:val="28"/>
                <w:szCs w:val="28"/>
              </w:rPr>
              <w:t>工作人员资质证件</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5、其他公司成交记录（医院优先）（发票复印件或合同复印件）</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6、报价表</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7、法定代表人资格证明书及身份证复印件（若法人委托他人办理，请务必携带法定代表人授权委托书及被授权人身份证复印件）</w:t>
            </w:r>
          </w:p>
          <w:p w:rsidR="00C36D80" w:rsidRDefault="001F60EA">
            <w:pPr>
              <w:widowControl/>
              <w:spacing w:line="360" w:lineRule="exact"/>
              <w:ind w:left="360" w:hanging="360"/>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8、不接受邮寄投标。</w:t>
            </w:r>
          </w:p>
          <w:p w:rsidR="00C36D80" w:rsidRDefault="001F60EA">
            <w:pPr>
              <w:widowControl/>
              <w:spacing w:line="360" w:lineRule="exact"/>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9、请将要求的项目等相关资料密封，一式四份，交越秀区沿江西路107号中山楼803房总务科办公室钟老师020-81332503，并在封面上注明招标编号、公司名称、联系人及电话。</w:t>
            </w:r>
          </w:p>
          <w:p w:rsidR="00C36D80" w:rsidRDefault="001F60EA">
            <w:pPr>
              <w:widowControl/>
              <w:spacing w:line="360" w:lineRule="exact"/>
              <w:jc w:val="left"/>
              <w:rPr>
                <w:rFonts w:ascii="宋体" w:eastAsia="宋体" w:hAnsi="宋体" w:cs="宋体"/>
                <w:kern w:val="0"/>
                <w:sz w:val="24"/>
                <w:szCs w:val="24"/>
              </w:rPr>
            </w:pPr>
            <w:r>
              <w:rPr>
                <w:rFonts w:ascii="华文仿宋" w:eastAsia="华文仿宋" w:hAnsi="华文仿宋" w:cs="华文仿宋" w:hint="eastAsia"/>
                <w:kern w:val="0"/>
                <w:sz w:val="28"/>
                <w:szCs w:val="28"/>
              </w:rPr>
              <w:t>10、评标方式：采用二次报价方式，满足用户需求的提前下，最低价中标原则。</w:t>
            </w:r>
          </w:p>
        </w:tc>
      </w:tr>
      <w:tr w:rsidR="00C36D80">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36D80" w:rsidRDefault="001F60EA">
            <w:pPr>
              <w:widowControl/>
              <w:spacing w:line="360" w:lineRule="exact"/>
              <w:jc w:val="left"/>
              <w:rPr>
                <w:rFonts w:ascii="宋体" w:eastAsia="宋体" w:hAnsi="宋体" w:cs="宋体"/>
                <w:kern w:val="0"/>
                <w:sz w:val="24"/>
                <w:szCs w:val="24"/>
              </w:rPr>
            </w:pPr>
            <w:r w:rsidRPr="001F60EA">
              <w:rPr>
                <w:rFonts w:ascii="华文仿宋" w:eastAsia="华文仿宋" w:hAnsi="华文仿宋" w:cs="华文仿宋" w:hint="eastAsia"/>
                <w:kern w:val="0"/>
                <w:sz w:val="28"/>
                <w:szCs w:val="28"/>
              </w:rPr>
              <w:t>2021年</w:t>
            </w:r>
            <w:r w:rsidR="00811385">
              <w:rPr>
                <w:rFonts w:ascii="华文仿宋" w:eastAsia="华文仿宋" w:hAnsi="华文仿宋" w:cs="华文仿宋"/>
                <w:kern w:val="0"/>
                <w:sz w:val="28"/>
                <w:szCs w:val="28"/>
              </w:rPr>
              <w:t>8</w:t>
            </w:r>
            <w:r w:rsidRPr="001F60EA">
              <w:rPr>
                <w:rFonts w:ascii="华文仿宋" w:eastAsia="华文仿宋" w:hAnsi="华文仿宋" w:cs="华文仿宋" w:hint="eastAsia"/>
                <w:kern w:val="0"/>
                <w:sz w:val="28"/>
                <w:szCs w:val="28"/>
              </w:rPr>
              <w:t>月</w:t>
            </w:r>
            <w:r w:rsidR="00811385">
              <w:rPr>
                <w:rFonts w:ascii="华文仿宋" w:eastAsia="华文仿宋" w:hAnsi="华文仿宋" w:cs="华文仿宋"/>
                <w:kern w:val="0"/>
                <w:sz w:val="28"/>
                <w:szCs w:val="28"/>
              </w:rPr>
              <w:t>26</w:t>
            </w:r>
            <w:bookmarkStart w:id="0" w:name="_GoBack"/>
            <w:bookmarkEnd w:id="0"/>
            <w:r w:rsidRPr="001F60EA">
              <w:rPr>
                <w:rFonts w:ascii="华文仿宋" w:eastAsia="华文仿宋" w:hAnsi="华文仿宋" w:cs="华文仿宋" w:hint="eastAsia"/>
                <w:kern w:val="0"/>
                <w:sz w:val="28"/>
                <w:szCs w:val="28"/>
              </w:rPr>
              <w:t>日</w:t>
            </w:r>
          </w:p>
        </w:tc>
      </w:tr>
    </w:tbl>
    <w:p w:rsidR="00C36D80" w:rsidRDefault="00C36D80"/>
    <w:p w:rsidR="00C36D80" w:rsidRDefault="001F60EA">
      <w:pPr>
        <w:rPr>
          <w:b/>
          <w:sz w:val="32"/>
          <w:szCs w:val="32"/>
        </w:rPr>
      </w:pPr>
      <w:r>
        <w:rPr>
          <w:rFonts w:hint="eastAsia"/>
          <w:b/>
          <w:sz w:val="32"/>
          <w:szCs w:val="32"/>
        </w:rPr>
        <w:t>附件：报价表清单</w:t>
      </w:r>
    </w:p>
    <w:sectPr w:rsidR="00C36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36"/>
    <w:rsid w:val="0000783A"/>
    <w:rsid w:val="000D281F"/>
    <w:rsid w:val="00156829"/>
    <w:rsid w:val="001D118F"/>
    <w:rsid w:val="001F60EA"/>
    <w:rsid w:val="002412A0"/>
    <w:rsid w:val="0026296F"/>
    <w:rsid w:val="00322F46"/>
    <w:rsid w:val="004F3ABC"/>
    <w:rsid w:val="005102B0"/>
    <w:rsid w:val="005B5153"/>
    <w:rsid w:val="0061095F"/>
    <w:rsid w:val="00664405"/>
    <w:rsid w:val="006D5E79"/>
    <w:rsid w:val="00721299"/>
    <w:rsid w:val="007B4717"/>
    <w:rsid w:val="00811385"/>
    <w:rsid w:val="00834F6A"/>
    <w:rsid w:val="008650B0"/>
    <w:rsid w:val="008B5DD4"/>
    <w:rsid w:val="00936024"/>
    <w:rsid w:val="009E6036"/>
    <w:rsid w:val="009F6D74"/>
    <w:rsid w:val="00A3757F"/>
    <w:rsid w:val="00A715B3"/>
    <w:rsid w:val="00AF1C87"/>
    <w:rsid w:val="00AF33FC"/>
    <w:rsid w:val="00B10431"/>
    <w:rsid w:val="00B5623C"/>
    <w:rsid w:val="00B8083B"/>
    <w:rsid w:val="00BB770E"/>
    <w:rsid w:val="00BC7850"/>
    <w:rsid w:val="00BF1943"/>
    <w:rsid w:val="00C03EEE"/>
    <w:rsid w:val="00C36D80"/>
    <w:rsid w:val="00D76E9C"/>
    <w:rsid w:val="00DB68DD"/>
    <w:rsid w:val="00E0052A"/>
    <w:rsid w:val="00EB0FED"/>
    <w:rsid w:val="00F14C1E"/>
    <w:rsid w:val="00F16DE3"/>
    <w:rsid w:val="00F52F5C"/>
    <w:rsid w:val="00F63A3B"/>
    <w:rsid w:val="00F70C92"/>
    <w:rsid w:val="03DF05A6"/>
    <w:rsid w:val="19D97D62"/>
    <w:rsid w:val="213E570D"/>
    <w:rsid w:val="2147415C"/>
    <w:rsid w:val="38692C67"/>
    <w:rsid w:val="3D1237AA"/>
    <w:rsid w:val="57354D95"/>
    <w:rsid w:val="5E437301"/>
    <w:rsid w:val="6E65650D"/>
    <w:rsid w:val="748C03E9"/>
    <w:rsid w:val="7ED2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9D1C"/>
  <w15:docId w15:val="{E9135C1F-EA8E-4555-9717-1BD28AB2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23</cp:revision>
  <cp:lastPrinted>2021-08-18T07:28:00Z</cp:lastPrinted>
  <dcterms:created xsi:type="dcterms:W3CDTF">2017-11-14T01:01:00Z</dcterms:created>
  <dcterms:modified xsi:type="dcterms:W3CDTF">2021-08-20T02:41:00Z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666241ABB6DE4602B423C89269D76A3F</vt:lpwstr>
  </property>
</Properties>
</file>