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02"/>
        <w:gridCol w:w="7781"/>
      </w:tblGrid>
      <w:tr w:rsidR="0090259F">
        <w:trPr>
          <w:trHeight w:val="396"/>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0259F" w:rsidRDefault="009E1F40">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采购编号：</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0259F" w:rsidRDefault="00D8708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W</w:t>
            </w:r>
            <w:r>
              <w:rPr>
                <w:rFonts w:ascii="宋体" w:eastAsia="宋体" w:hAnsi="宋体" w:cs="宋体"/>
                <w:kern w:val="0"/>
                <w:sz w:val="24"/>
                <w:szCs w:val="24"/>
              </w:rPr>
              <w:t>XQ-20220321</w:t>
            </w:r>
          </w:p>
        </w:tc>
      </w:tr>
      <w:tr w:rsidR="0090259F">
        <w:trPr>
          <w:trHeight w:val="402"/>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0259F" w:rsidRDefault="009E1F40">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采购类别：</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0259F" w:rsidRDefault="009E1F40">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t>服务类采购</w:t>
            </w:r>
          </w:p>
        </w:tc>
      </w:tr>
      <w:tr w:rsidR="0090259F">
        <w:trPr>
          <w:trHeight w:val="521"/>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0259F" w:rsidRDefault="009E1F40">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项目名称：</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0259F" w:rsidRDefault="00D87086" w:rsidP="00525FBA">
            <w:pPr>
              <w:widowControl/>
              <w:spacing w:line="360" w:lineRule="auto"/>
              <w:jc w:val="left"/>
              <w:rPr>
                <w:rFonts w:ascii="宋体" w:eastAsia="宋体" w:hAnsi="宋体" w:cs="宋体"/>
                <w:kern w:val="0"/>
                <w:sz w:val="24"/>
                <w:szCs w:val="24"/>
              </w:rPr>
            </w:pPr>
            <w:r>
              <w:rPr>
                <w:rFonts w:ascii="Times New Roman" w:eastAsia="宋体" w:hAnsi="Times New Roman" w:cs="Times New Roman" w:hint="eastAsia"/>
                <w:sz w:val="24"/>
                <w:szCs w:val="24"/>
              </w:rPr>
              <w:t>中山大学孙逸仙纪念医院</w:t>
            </w:r>
            <w:r w:rsidR="00597C2F" w:rsidRPr="00597C2F">
              <w:rPr>
                <w:rFonts w:ascii="Times New Roman" w:eastAsia="宋体" w:hAnsi="Times New Roman" w:cs="Times New Roman" w:hint="eastAsia"/>
                <w:sz w:val="24"/>
                <w:szCs w:val="24"/>
              </w:rPr>
              <w:t>岭南楼负二楼中央空调</w:t>
            </w:r>
            <w:r w:rsidR="00597C2F" w:rsidRPr="00597C2F">
              <w:rPr>
                <w:rFonts w:ascii="Times New Roman" w:eastAsia="宋体" w:hAnsi="Times New Roman" w:cs="Times New Roman"/>
                <w:sz w:val="24"/>
                <w:szCs w:val="24"/>
              </w:rPr>
              <w:t>2#</w:t>
            </w:r>
            <w:r w:rsidR="00597C2F" w:rsidRPr="00597C2F">
              <w:rPr>
                <w:rFonts w:ascii="Times New Roman" w:eastAsia="宋体" w:hAnsi="Times New Roman" w:cs="Times New Roman"/>
                <w:sz w:val="24"/>
                <w:szCs w:val="24"/>
              </w:rPr>
              <w:t>开利主机进水大修</w:t>
            </w:r>
          </w:p>
        </w:tc>
      </w:tr>
      <w:tr w:rsidR="0090259F">
        <w:trPr>
          <w:trHeight w:val="50"/>
          <w:jc w:val="center"/>
        </w:trPr>
        <w:tc>
          <w:tcPr>
            <w:tcW w:w="1702" w:type="dxa"/>
            <w:tcBorders>
              <w:top w:val="single" w:sz="12" w:space="0" w:color="000000"/>
              <w:left w:val="single" w:sz="12" w:space="0" w:color="000000"/>
              <w:bottom w:val="single" w:sz="4" w:space="0" w:color="auto"/>
              <w:right w:val="single" w:sz="12" w:space="0" w:color="000000"/>
            </w:tcBorders>
            <w:shd w:val="clear" w:color="auto" w:fill="auto"/>
            <w:vAlign w:val="center"/>
          </w:tcPr>
          <w:p w:rsidR="0090259F" w:rsidRDefault="009E1F40">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用户需求：</w:t>
            </w:r>
          </w:p>
        </w:tc>
        <w:tc>
          <w:tcPr>
            <w:tcW w:w="7781" w:type="dxa"/>
            <w:tcBorders>
              <w:top w:val="single" w:sz="12" w:space="0" w:color="000000"/>
              <w:left w:val="single" w:sz="12" w:space="0" w:color="000000"/>
              <w:bottom w:val="single" w:sz="4" w:space="0" w:color="auto"/>
              <w:right w:val="single" w:sz="12" w:space="0" w:color="000000"/>
            </w:tcBorders>
            <w:shd w:val="clear" w:color="auto" w:fill="auto"/>
          </w:tcPr>
          <w:p w:rsidR="0090259F" w:rsidRDefault="009E1F40">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、投标人资格：</w:t>
            </w:r>
          </w:p>
          <w:p w:rsidR="0090259F" w:rsidRDefault="009E1F40">
            <w:pPr>
              <w:spacing w:line="440" w:lineRule="exact"/>
              <w:ind w:firstLine="57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具备独立承担民事责任能力的在中华人民共和国境内合法注册的独立法人企业，持有有效的营业执照副本复印件（如非“三证合一”证照，同时提供有效的税务登记证及组织机构代码证副本复印件）（加盖公章）。</w:t>
            </w:r>
          </w:p>
          <w:p w:rsidR="0090259F" w:rsidRDefault="009E1F40">
            <w:pPr>
              <w:spacing w:line="440" w:lineRule="exact"/>
              <w:ind w:firstLine="57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、投标人营业范围需</w:t>
            </w:r>
            <w:r w:rsidR="00D87086">
              <w:rPr>
                <w:rFonts w:ascii="Times New Roman" w:eastAsia="宋体" w:hAnsi="Times New Roman" w:cs="Times New Roman" w:hint="eastAsia"/>
                <w:sz w:val="24"/>
                <w:szCs w:val="24"/>
              </w:rPr>
              <w:t>（</w:t>
            </w:r>
            <w:r>
              <w:rPr>
                <w:rFonts w:ascii="宋体" w:eastAsia="宋体" w:hAnsi="宋体" w:cs="宋体" w:hint="eastAsia"/>
                <w:sz w:val="24"/>
                <w:szCs w:val="24"/>
              </w:rPr>
              <w:t>包括制冷、空调设备制造;机电设备安装服务;水处理安装服务,机械配件;润滑油;机械设备专业服务</w:t>
            </w:r>
            <w:r w:rsidR="00D87086">
              <w:rPr>
                <w:rFonts w:ascii="宋体" w:eastAsia="宋体" w:hAnsi="宋体" w:cs="宋体" w:hint="eastAsia"/>
                <w:sz w:val="24"/>
                <w:szCs w:val="24"/>
              </w:rPr>
              <w:t>）</w:t>
            </w:r>
            <w:r>
              <w:rPr>
                <w:rFonts w:ascii="宋体" w:eastAsia="宋体" w:hAnsi="宋体" w:cs="宋体" w:hint="eastAsia"/>
                <w:sz w:val="24"/>
                <w:szCs w:val="24"/>
              </w:rPr>
              <w:t>。具有集中式制冷空调设备维修安装A类</w:t>
            </w:r>
            <w:r>
              <w:rPr>
                <w:rFonts w:ascii="微软雅黑" w:eastAsia="微软雅黑" w:hAnsi="微软雅黑" w:cs="微软雅黑" w:hint="eastAsia"/>
                <w:sz w:val="24"/>
                <w:szCs w:val="24"/>
              </w:rPr>
              <w:t>Ⅱ</w:t>
            </w:r>
            <w:r>
              <w:rPr>
                <w:rFonts w:ascii="宋体" w:eastAsia="宋体" w:hAnsi="宋体" w:cs="宋体" w:hint="eastAsia"/>
                <w:sz w:val="24"/>
                <w:szCs w:val="24"/>
              </w:rPr>
              <w:t>级及以上，空调维修保养</w:t>
            </w:r>
            <w:r>
              <w:rPr>
                <w:rFonts w:ascii="微软雅黑" w:eastAsia="微软雅黑" w:hAnsi="微软雅黑" w:cs="微软雅黑" w:hint="eastAsia"/>
                <w:sz w:val="24"/>
                <w:szCs w:val="24"/>
              </w:rPr>
              <w:t>Ⅰ</w:t>
            </w:r>
            <w:r>
              <w:rPr>
                <w:rFonts w:ascii="宋体" w:eastAsia="宋体" w:hAnsi="宋体" w:cs="宋体" w:hint="eastAsia"/>
                <w:sz w:val="24"/>
                <w:szCs w:val="24"/>
              </w:rPr>
              <w:t>级及以上的</w:t>
            </w:r>
            <w:r w:rsidR="00F72645">
              <w:rPr>
                <w:rFonts w:ascii="Times New Roman" w:eastAsia="宋体" w:hAnsi="Times New Roman" w:cs="Times New Roman" w:hint="eastAsia"/>
                <w:sz w:val="24"/>
                <w:szCs w:val="24"/>
              </w:rPr>
              <w:t>专业相关能力资质。</w:t>
            </w:r>
            <w:r>
              <w:rPr>
                <w:rFonts w:ascii="Times New Roman" w:eastAsia="宋体" w:hAnsi="Times New Roman" w:cs="Times New Roman" w:hint="eastAsia"/>
                <w:sz w:val="24"/>
                <w:szCs w:val="24"/>
              </w:rPr>
              <w:t>同时投标人需出示制冷空调设备安装维修及保养服务所涉及的环境管理活动的环境管理体系认证证书。</w:t>
            </w:r>
          </w:p>
          <w:p w:rsidR="0090259F" w:rsidRDefault="009E1F40">
            <w:pPr>
              <w:spacing w:line="440" w:lineRule="exact"/>
              <w:ind w:firstLine="57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、本项目不接受联合体投标，投标人在中标后不得将本项目以任何形式进行转包或分包。</w:t>
            </w:r>
          </w:p>
          <w:p w:rsidR="0090259F" w:rsidRDefault="009E1F40">
            <w:pPr>
              <w:spacing w:line="440" w:lineRule="exact"/>
              <w:rPr>
                <w:rFonts w:ascii="宋体" w:eastAsia="宋体" w:hAnsi="宋体" w:cs="宋体"/>
                <w:sz w:val="24"/>
                <w:szCs w:val="24"/>
              </w:rPr>
            </w:pPr>
            <w:r>
              <w:rPr>
                <w:rFonts w:ascii="宋体" w:eastAsia="宋体" w:hAnsi="宋体" w:cs="宋体" w:hint="eastAsia"/>
                <w:b/>
                <w:bCs/>
                <w:sz w:val="24"/>
                <w:szCs w:val="24"/>
              </w:rPr>
              <w:t>二、</w:t>
            </w:r>
            <w:r>
              <w:rPr>
                <w:rFonts w:ascii="宋体" w:eastAsia="宋体" w:hAnsi="宋体" w:cs="宋体" w:hint="eastAsia"/>
                <w:color w:val="333333"/>
                <w:sz w:val="24"/>
                <w:szCs w:val="24"/>
                <w:shd w:val="clear" w:color="auto" w:fill="FFFFFF"/>
              </w:rPr>
              <w:t>用户需求书</w:t>
            </w:r>
            <w:r>
              <w:rPr>
                <w:rFonts w:ascii="宋体" w:eastAsia="宋体" w:hAnsi="宋体" w:cs="宋体" w:hint="eastAsia"/>
                <w:b/>
                <w:bCs/>
                <w:sz w:val="24"/>
                <w:szCs w:val="24"/>
              </w:rPr>
              <w:t>：</w:t>
            </w:r>
          </w:p>
          <w:p w:rsidR="0090259F" w:rsidRDefault="009E1F40">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、项目概况：</w:t>
            </w:r>
          </w:p>
          <w:p w:rsidR="0090259F" w:rsidRDefault="00D87086">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本项目为中山大学孙逸仙纪念医院院本部</w:t>
            </w:r>
            <w:r w:rsidR="009E1F40">
              <w:rPr>
                <w:rFonts w:ascii="Times New Roman" w:eastAsia="宋体" w:hAnsi="Times New Roman" w:cs="Times New Roman" w:hint="eastAsia"/>
                <w:sz w:val="24"/>
                <w:szCs w:val="24"/>
              </w:rPr>
              <w:t>岭南楼负二楼中央空调主机维修，型号为（开利</w:t>
            </w:r>
            <w:r w:rsidR="009E1F40" w:rsidRPr="00D87086">
              <w:rPr>
                <w:rFonts w:ascii="Times New Roman" w:eastAsia="宋体" w:hAnsi="Times New Roman" w:cs="Times New Roman" w:hint="eastAsia"/>
                <w:sz w:val="24"/>
                <w:szCs w:val="24"/>
              </w:rPr>
              <w:t>19XL-4242436CN</w:t>
            </w:r>
            <w:r w:rsidR="009E1F40" w:rsidRPr="00D87086">
              <w:rPr>
                <w:rFonts w:ascii="Times New Roman" w:eastAsia="宋体" w:hAnsi="Times New Roman" w:cs="Times New Roman" w:hint="eastAsia"/>
                <w:sz w:val="24"/>
                <w:szCs w:val="24"/>
              </w:rPr>
              <w:t>离心机组）。现主机制冷系统已穿孔进水，压缩机及高低压系统已被水污染，冷冻油与水混合，需进行拆解维修，维修完成后需提供一年的质保服务。</w:t>
            </w:r>
          </w:p>
          <w:p w:rsidR="0090259F" w:rsidRDefault="009E1F40">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、招标方式</w:t>
            </w:r>
          </w:p>
          <w:p w:rsidR="0090259F" w:rsidRDefault="009E1F40">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采用竞争性谈判方式进行采购</w:t>
            </w:r>
          </w:p>
          <w:p w:rsidR="0090259F" w:rsidRDefault="009E1F40">
            <w:pPr>
              <w:numPr>
                <w:ilvl w:val="0"/>
                <w:numId w:val="2"/>
              </w:num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采购清单及报价格式：</w:t>
            </w:r>
          </w:p>
          <w:p w:rsidR="0090259F" w:rsidRDefault="009E1F40">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见附件报价表。报价采用最高限价方式，项目整体费用不得高于</w:t>
            </w:r>
            <w:r>
              <w:rPr>
                <w:rFonts w:ascii="Times New Roman" w:eastAsia="宋体" w:hAnsi="Times New Roman" w:cs="Times New Roman" w:hint="eastAsia"/>
                <w:sz w:val="24"/>
                <w:szCs w:val="24"/>
              </w:rPr>
              <w:t xml:space="preserve">183020.00 </w:t>
            </w:r>
            <w:r>
              <w:rPr>
                <w:rFonts w:ascii="Times New Roman" w:eastAsia="宋体" w:hAnsi="Times New Roman" w:cs="Times New Roman" w:hint="eastAsia"/>
                <w:sz w:val="24"/>
                <w:szCs w:val="24"/>
              </w:rPr>
              <w:t>元。再根据列项单价以实际工程量结算。</w:t>
            </w:r>
          </w:p>
          <w:p w:rsidR="0090259F" w:rsidRDefault="009E1F40">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4</w:t>
            </w:r>
            <w:r>
              <w:rPr>
                <w:rFonts w:ascii="Times New Roman" w:eastAsia="宋体" w:hAnsi="Times New Roman" w:cs="Times New Roman" w:hint="eastAsia"/>
                <w:sz w:val="24"/>
                <w:szCs w:val="24"/>
              </w:rPr>
              <w:t>、服务要求：</w:t>
            </w:r>
          </w:p>
          <w:p w:rsidR="0090259F" w:rsidRDefault="009E1F40">
            <w:pPr>
              <w:spacing w:line="440" w:lineRule="exact"/>
              <w:rPr>
                <w:rFonts w:ascii="宋体" w:eastAsia="宋体" w:hAnsi="宋体" w:cs="宋体"/>
                <w:kern w:val="0"/>
                <w:sz w:val="24"/>
                <w:szCs w:val="24"/>
              </w:rPr>
            </w:pPr>
            <w:r w:rsidRPr="00D87086">
              <w:rPr>
                <w:rFonts w:ascii="宋体" w:eastAsia="宋体" w:hAnsi="宋体" w:cs="宋体" w:hint="eastAsia"/>
                <w:kern w:val="0"/>
                <w:sz w:val="24"/>
                <w:szCs w:val="24"/>
              </w:rPr>
              <w:t>（1）对已进水的开利19XL-4242436CN离心机组整机进行全面打包</w:t>
            </w:r>
            <w:r>
              <w:rPr>
                <w:rFonts w:ascii="宋体" w:eastAsia="宋体" w:hAnsi="宋体" w:cs="宋体" w:hint="eastAsia"/>
                <w:kern w:val="0"/>
                <w:sz w:val="24"/>
                <w:szCs w:val="24"/>
              </w:rPr>
              <w:t>维修（包含所有零配件与主线路板的更换），不得另行收费。</w:t>
            </w:r>
          </w:p>
          <w:p w:rsidR="0090259F" w:rsidRDefault="009E1F40">
            <w:pPr>
              <w:spacing w:line="440" w:lineRule="exact"/>
              <w:rPr>
                <w:rFonts w:ascii="宋体" w:eastAsia="宋体" w:hAnsi="宋体" w:cs="宋体"/>
                <w:kern w:val="0"/>
                <w:sz w:val="24"/>
                <w:szCs w:val="24"/>
              </w:rPr>
            </w:pPr>
            <w:r>
              <w:rPr>
                <w:rFonts w:ascii="宋体" w:eastAsia="宋体" w:hAnsi="宋体" w:cs="宋体" w:hint="eastAsia"/>
                <w:kern w:val="0"/>
                <w:sz w:val="24"/>
                <w:szCs w:val="24"/>
              </w:rPr>
              <w:t>（2）需拆解压缩机更换内部被水污染的零部件，并对不可更换的配件（压缩机机壳、盖板等）进行洁净清理。</w:t>
            </w:r>
          </w:p>
          <w:p w:rsidR="0090259F" w:rsidRDefault="009E1F40">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）需寻找主机系统的穿孔位置，予以修补（包括蒸发器、冷凝器等），</w:t>
            </w:r>
            <w:r>
              <w:rPr>
                <w:rFonts w:ascii="Times New Roman" w:eastAsia="宋体" w:hAnsi="Times New Roman" w:cs="Times New Roman" w:hint="eastAsia"/>
                <w:sz w:val="24"/>
                <w:szCs w:val="24"/>
              </w:rPr>
              <w:lastRenderedPageBreak/>
              <w:t>并干燥烘干制冷系统与电气部分，去除系统水分。</w:t>
            </w:r>
          </w:p>
          <w:p w:rsidR="0090259F" w:rsidRDefault="009E1F40">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）维修时包含多次更换全部原厂机油，整体灌注制冷剂，不得另行收费。</w:t>
            </w:r>
          </w:p>
          <w:p w:rsidR="0090259F" w:rsidRDefault="009E1F40">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）所有更换配件必须使用开利原厂配件，不得使用替代品。</w:t>
            </w:r>
          </w:p>
          <w:p w:rsidR="0090259F" w:rsidRDefault="009E1F40">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）投标人需在开标前到施工现场实地勘探并作出相关合理的维修方案。</w:t>
            </w:r>
          </w:p>
          <w:p w:rsidR="0090259F" w:rsidRDefault="009E1F40">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）由于本机组是旧款机型，已投入使用</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年，投标人需按照报价清单准备好所需更换的配件，并出具可提供本机型的原厂配件的证明。</w:t>
            </w:r>
          </w:p>
          <w:p w:rsidR="0090259F" w:rsidRDefault="009E1F40">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）维修施工时间为</w:t>
            </w: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天，包含相关配件货期。</w:t>
            </w:r>
          </w:p>
        </w:tc>
      </w:tr>
      <w:tr w:rsidR="0090259F">
        <w:trPr>
          <w:trHeight w:val="2123"/>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tcPr>
          <w:p w:rsidR="0090259F" w:rsidRDefault="009E1F40">
            <w:pPr>
              <w:widowControl/>
              <w:spacing w:line="520" w:lineRule="exact"/>
              <w:jc w:val="left"/>
              <w:rPr>
                <w:rFonts w:ascii="宋体" w:eastAsia="宋体" w:hAnsi="宋体" w:cs="Arial Unicode MS"/>
                <w:kern w:val="0"/>
                <w:sz w:val="24"/>
                <w:szCs w:val="24"/>
              </w:rPr>
            </w:pPr>
            <w:r>
              <w:rPr>
                <w:rFonts w:ascii="宋体" w:eastAsia="宋体" w:hAnsi="宋体" w:cs="Arial Unicode MS" w:hint="eastAsia"/>
                <w:kern w:val="0"/>
                <w:sz w:val="24"/>
                <w:szCs w:val="24"/>
              </w:rPr>
              <w:lastRenderedPageBreak/>
              <w:t>备注：</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tcPr>
          <w:p w:rsidR="0090259F" w:rsidRDefault="009E1F40">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hint="eastAsia"/>
                <w:kern w:val="0"/>
                <w:sz w:val="24"/>
                <w:szCs w:val="24"/>
              </w:rPr>
              <w:t>1、公司营业执照、组织机构代码、税务登记证（三</w:t>
            </w:r>
            <w:r>
              <w:rPr>
                <w:rFonts w:ascii="宋体" w:eastAsia="宋体" w:hAnsi="宋体" w:cs="Arial Unicode MS"/>
                <w:kern w:val="0"/>
                <w:sz w:val="24"/>
                <w:szCs w:val="24"/>
              </w:rPr>
              <w:t>证合一）</w:t>
            </w:r>
            <w:r>
              <w:rPr>
                <w:rFonts w:ascii="宋体" w:eastAsia="宋体" w:hAnsi="宋体" w:cs="Arial Unicode MS" w:hint="eastAsia"/>
                <w:kern w:val="0"/>
                <w:sz w:val="24"/>
                <w:szCs w:val="24"/>
              </w:rPr>
              <w:t>及经营范围</w:t>
            </w:r>
          </w:p>
          <w:p w:rsidR="0090259F" w:rsidRDefault="009E1F40">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hint="eastAsia"/>
                <w:kern w:val="0"/>
                <w:sz w:val="24"/>
                <w:szCs w:val="24"/>
              </w:rPr>
              <w:t>2、公司简介</w:t>
            </w:r>
          </w:p>
          <w:p w:rsidR="0090259F" w:rsidRDefault="009E1F40">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3</w:t>
            </w:r>
            <w:r>
              <w:rPr>
                <w:rFonts w:ascii="宋体" w:eastAsia="宋体" w:hAnsi="宋体" w:cs="Arial Unicode MS" w:hint="eastAsia"/>
                <w:kern w:val="0"/>
                <w:sz w:val="24"/>
                <w:szCs w:val="24"/>
              </w:rPr>
              <w:t>、方案</w:t>
            </w:r>
          </w:p>
          <w:p w:rsidR="0090259F" w:rsidRDefault="009E1F40">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4</w:t>
            </w:r>
            <w:r>
              <w:rPr>
                <w:rFonts w:ascii="宋体" w:eastAsia="宋体" w:hAnsi="宋体" w:cs="Arial Unicode MS" w:hint="eastAsia"/>
                <w:kern w:val="0"/>
                <w:sz w:val="24"/>
                <w:szCs w:val="24"/>
              </w:rPr>
              <w:t>、工作人员</w:t>
            </w:r>
            <w:r>
              <w:rPr>
                <w:rFonts w:ascii="宋体" w:eastAsia="宋体" w:hAnsi="宋体" w:cs="Arial Unicode MS"/>
                <w:kern w:val="0"/>
                <w:sz w:val="24"/>
                <w:szCs w:val="24"/>
              </w:rPr>
              <w:t>资质证件</w:t>
            </w:r>
          </w:p>
          <w:p w:rsidR="0090259F" w:rsidRDefault="009E1F40">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5</w:t>
            </w:r>
            <w:r>
              <w:rPr>
                <w:rFonts w:ascii="宋体" w:eastAsia="宋体" w:hAnsi="宋体" w:cs="Arial Unicode MS" w:hint="eastAsia"/>
                <w:kern w:val="0"/>
                <w:sz w:val="24"/>
                <w:szCs w:val="24"/>
              </w:rPr>
              <w:t>、其他公司成交记录（医院优先）（发票复印件或合同复印件）</w:t>
            </w:r>
          </w:p>
          <w:p w:rsidR="0090259F" w:rsidRDefault="009E1F40">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6</w:t>
            </w:r>
            <w:r>
              <w:rPr>
                <w:rFonts w:ascii="宋体" w:eastAsia="宋体" w:hAnsi="宋体" w:cs="Arial Unicode MS" w:hint="eastAsia"/>
                <w:kern w:val="0"/>
                <w:sz w:val="24"/>
                <w:szCs w:val="24"/>
              </w:rPr>
              <w:t>、报价表</w:t>
            </w:r>
          </w:p>
          <w:p w:rsidR="0090259F" w:rsidRDefault="009E1F40">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7</w:t>
            </w:r>
            <w:r>
              <w:rPr>
                <w:rFonts w:ascii="宋体" w:eastAsia="宋体" w:hAnsi="宋体" w:cs="Arial Unicode MS" w:hint="eastAsia"/>
                <w:kern w:val="0"/>
                <w:sz w:val="24"/>
                <w:szCs w:val="24"/>
              </w:rPr>
              <w:t>、法定代表人资格证明书及身份证复印件（若法人委托他人办理，请务必携带法定代表人授权委托书及被授权人</w:t>
            </w:r>
            <w:r>
              <w:rPr>
                <w:rFonts w:ascii="宋体" w:eastAsia="宋体" w:hAnsi="宋体" w:cs="Arial Unicode MS"/>
                <w:kern w:val="0"/>
                <w:sz w:val="24"/>
                <w:szCs w:val="24"/>
              </w:rPr>
              <w:t>身份证复印件）</w:t>
            </w:r>
          </w:p>
          <w:p w:rsidR="0090259F" w:rsidRDefault="009E1F40">
            <w:pPr>
              <w:widowControl/>
              <w:spacing w:line="360" w:lineRule="exact"/>
              <w:ind w:left="360" w:hanging="360"/>
              <w:jc w:val="left"/>
              <w:rPr>
                <w:rFonts w:ascii="宋体" w:eastAsia="宋体" w:hAnsi="宋体" w:cs="Arial Unicode MS"/>
                <w:kern w:val="0"/>
                <w:sz w:val="24"/>
                <w:szCs w:val="24"/>
              </w:rPr>
            </w:pPr>
            <w:r>
              <w:rPr>
                <w:rFonts w:ascii="宋体" w:eastAsia="宋体" w:hAnsi="宋体" w:cs="Arial Unicode MS"/>
                <w:kern w:val="0"/>
                <w:sz w:val="24"/>
                <w:szCs w:val="24"/>
              </w:rPr>
              <w:t>8</w:t>
            </w:r>
            <w:r>
              <w:rPr>
                <w:rFonts w:ascii="宋体" w:eastAsia="宋体" w:hAnsi="宋体" w:cs="Arial Unicode MS" w:hint="eastAsia"/>
                <w:kern w:val="0"/>
                <w:sz w:val="24"/>
                <w:szCs w:val="24"/>
              </w:rPr>
              <w:t>、不接受邮寄投标。</w:t>
            </w:r>
          </w:p>
          <w:p w:rsidR="0090259F" w:rsidRDefault="009E1F40">
            <w:pPr>
              <w:widowControl/>
              <w:spacing w:line="360" w:lineRule="exact"/>
              <w:jc w:val="left"/>
              <w:rPr>
                <w:rFonts w:ascii="宋体" w:eastAsia="宋体" w:hAnsi="宋体" w:cs="Arial Unicode MS"/>
                <w:kern w:val="0"/>
                <w:sz w:val="24"/>
                <w:szCs w:val="24"/>
              </w:rPr>
            </w:pPr>
            <w:r>
              <w:rPr>
                <w:rFonts w:ascii="宋体" w:eastAsia="宋体" w:hAnsi="宋体" w:cs="Arial Unicode MS"/>
                <w:kern w:val="0"/>
                <w:sz w:val="24"/>
                <w:szCs w:val="24"/>
              </w:rPr>
              <w:t>9</w:t>
            </w:r>
            <w:r>
              <w:rPr>
                <w:rFonts w:ascii="宋体" w:eastAsia="宋体" w:hAnsi="宋体" w:cs="Arial Unicode MS" w:hint="eastAsia"/>
                <w:kern w:val="0"/>
                <w:sz w:val="24"/>
                <w:szCs w:val="24"/>
              </w:rPr>
              <w:t>、请将要求的项目等相关资料密封，一式四份，交越秀区沿江西路107号中山楼803房总务科办公室钟老师020-8</w:t>
            </w:r>
            <w:bookmarkStart w:id="0" w:name="_GoBack"/>
            <w:bookmarkEnd w:id="0"/>
            <w:r>
              <w:rPr>
                <w:rFonts w:ascii="宋体" w:eastAsia="宋体" w:hAnsi="宋体" w:cs="Arial Unicode MS" w:hint="eastAsia"/>
                <w:kern w:val="0"/>
                <w:sz w:val="24"/>
                <w:szCs w:val="24"/>
              </w:rPr>
              <w:t>1332503，并在封面上注明招标编号、公司名称、联系人及电话。</w:t>
            </w:r>
          </w:p>
          <w:p w:rsidR="0090259F" w:rsidRDefault="009E1F40">
            <w:pPr>
              <w:widowControl/>
              <w:spacing w:line="360" w:lineRule="exact"/>
              <w:jc w:val="left"/>
              <w:rPr>
                <w:rFonts w:ascii="宋体" w:eastAsia="宋体" w:hAnsi="宋体" w:cs="Arial Unicode MS"/>
                <w:kern w:val="0"/>
                <w:sz w:val="24"/>
                <w:szCs w:val="24"/>
              </w:rPr>
            </w:pPr>
            <w:r>
              <w:rPr>
                <w:rFonts w:ascii="宋体" w:eastAsia="宋体" w:hAnsi="宋体" w:cs="Arial Unicode MS" w:hint="eastAsia"/>
                <w:kern w:val="0"/>
                <w:sz w:val="24"/>
                <w:szCs w:val="24"/>
              </w:rPr>
              <w:t>1</w:t>
            </w:r>
            <w:r>
              <w:rPr>
                <w:rFonts w:ascii="宋体" w:eastAsia="宋体" w:hAnsi="宋体" w:cs="Arial Unicode MS"/>
                <w:kern w:val="0"/>
                <w:sz w:val="24"/>
                <w:szCs w:val="24"/>
              </w:rPr>
              <w:t>0</w:t>
            </w:r>
            <w:r>
              <w:rPr>
                <w:rFonts w:ascii="宋体" w:eastAsia="宋体" w:hAnsi="宋体" w:cs="Arial Unicode MS" w:hint="eastAsia"/>
                <w:kern w:val="0"/>
                <w:sz w:val="24"/>
                <w:szCs w:val="24"/>
              </w:rPr>
              <w:t>、评标方式：采用二次报价方式，满足用户需求的提前下，最低价中标原则。</w:t>
            </w:r>
          </w:p>
          <w:p w:rsidR="0090259F" w:rsidRDefault="009E1F40">
            <w:pPr>
              <w:widowControl/>
              <w:spacing w:line="360" w:lineRule="exact"/>
              <w:jc w:val="left"/>
              <w:rPr>
                <w:rFonts w:ascii="宋体" w:eastAsia="宋体" w:hAnsi="宋体" w:cs="Arial Unicode MS"/>
                <w:kern w:val="0"/>
                <w:sz w:val="24"/>
                <w:szCs w:val="24"/>
              </w:rPr>
            </w:pPr>
            <w:r>
              <w:rPr>
                <w:rFonts w:ascii="宋体" w:eastAsia="宋体" w:hAnsi="宋体" w:cs="Arial Unicode MS"/>
                <w:kern w:val="0"/>
                <w:sz w:val="24"/>
                <w:szCs w:val="24"/>
              </w:rPr>
              <w:t>11、公告与报价表详见附件。</w:t>
            </w:r>
          </w:p>
        </w:tc>
      </w:tr>
      <w:tr w:rsidR="0090259F">
        <w:trPr>
          <w:trHeight w:val="638"/>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0259F" w:rsidRDefault="009E1F40">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t>截止日期：</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0259F" w:rsidRDefault="00950ED8" w:rsidP="00950ED8">
            <w:pPr>
              <w:widowControl/>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022</w:t>
            </w:r>
            <w:r w:rsidR="00F72645">
              <w:rPr>
                <w:rFonts w:ascii="宋体" w:eastAsia="宋体" w:hAnsi="宋体" w:cs="宋体" w:hint="eastAsia"/>
                <w:kern w:val="0"/>
                <w:sz w:val="24"/>
                <w:szCs w:val="24"/>
              </w:rPr>
              <w:t>年</w:t>
            </w:r>
            <w:r>
              <w:rPr>
                <w:rFonts w:ascii="宋体" w:eastAsia="宋体" w:hAnsi="宋体" w:cs="宋体"/>
                <w:kern w:val="0"/>
                <w:sz w:val="24"/>
                <w:szCs w:val="24"/>
              </w:rPr>
              <w:t>3</w:t>
            </w:r>
            <w:r w:rsidR="00F72645">
              <w:rPr>
                <w:rFonts w:ascii="宋体" w:eastAsia="宋体" w:hAnsi="宋体" w:cs="宋体" w:hint="eastAsia"/>
                <w:kern w:val="0"/>
                <w:sz w:val="24"/>
                <w:szCs w:val="24"/>
              </w:rPr>
              <w:t>月</w:t>
            </w:r>
            <w:r>
              <w:rPr>
                <w:rFonts w:ascii="宋体" w:eastAsia="宋体" w:hAnsi="宋体" w:cs="宋体"/>
                <w:kern w:val="0"/>
                <w:sz w:val="24"/>
                <w:szCs w:val="24"/>
              </w:rPr>
              <w:t>29</w:t>
            </w:r>
            <w:r w:rsidR="00F72645">
              <w:rPr>
                <w:rFonts w:ascii="宋体" w:eastAsia="宋体" w:hAnsi="宋体" w:cs="宋体" w:hint="eastAsia"/>
                <w:kern w:val="0"/>
                <w:sz w:val="24"/>
                <w:szCs w:val="24"/>
              </w:rPr>
              <w:t>日</w:t>
            </w:r>
          </w:p>
        </w:tc>
      </w:tr>
    </w:tbl>
    <w:p w:rsidR="0090259F" w:rsidRDefault="0090259F"/>
    <w:p w:rsidR="0090259F" w:rsidRDefault="009E1F40">
      <w:pPr>
        <w:rPr>
          <w:b/>
          <w:sz w:val="32"/>
          <w:szCs w:val="32"/>
        </w:rPr>
      </w:pPr>
      <w:r>
        <w:rPr>
          <w:rFonts w:hint="eastAsia"/>
          <w:b/>
          <w:sz w:val="32"/>
          <w:szCs w:val="32"/>
        </w:rPr>
        <w:t>附件：报价表清单</w:t>
      </w:r>
    </w:p>
    <w:sectPr w:rsidR="009025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288" w:rsidRDefault="00642288" w:rsidP="00597C2F">
      <w:r>
        <w:separator/>
      </w:r>
    </w:p>
  </w:endnote>
  <w:endnote w:type="continuationSeparator" w:id="0">
    <w:p w:rsidR="00642288" w:rsidRDefault="00642288" w:rsidP="0059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roman"/>
    <w:pitch w:val="default"/>
    <w:sig w:usb0="00000000"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288" w:rsidRDefault="00642288" w:rsidP="00597C2F">
      <w:r>
        <w:separator/>
      </w:r>
    </w:p>
  </w:footnote>
  <w:footnote w:type="continuationSeparator" w:id="0">
    <w:p w:rsidR="00642288" w:rsidRDefault="00642288" w:rsidP="00597C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E5F"/>
    <w:multiLevelType w:val="multilevel"/>
    <w:tmpl w:val="08DA4E5F"/>
    <w:lvl w:ilvl="0">
      <w:start w:val="1"/>
      <w:numFmt w:val="japaneseCounting"/>
      <w:pStyle w:val="CharCharCharChar"/>
      <w:lvlText w:val="%1，"/>
      <w:lvlJc w:val="left"/>
      <w:pPr>
        <w:ind w:left="1290" w:hanging="720"/>
      </w:pPr>
      <w:rPr>
        <w:rFonts w:asciiTheme="minorHAnsi" w:eastAsiaTheme="minorEastAsia" w:hAnsiTheme="minorHAnsi" w:cs="Arial Unicode MS"/>
        <w:b/>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 w15:restartNumberingAfterBreak="0">
    <w:nsid w:val="7255EACD"/>
    <w:multiLevelType w:val="singleLevel"/>
    <w:tmpl w:val="7255EACD"/>
    <w:lvl w:ilvl="0">
      <w:start w:val="3"/>
      <w:numFmt w:val="decimal"/>
      <w:suff w:val="nothing"/>
      <w:lvlText w:val="%1、"/>
      <w:lvlJc w:val="left"/>
      <w:pPr>
        <w:ind w:left="36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36"/>
    <w:rsid w:val="0000783A"/>
    <w:rsid w:val="00096935"/>
    <w:rsid w:val="000D281F"/>
    <w:rsid w:val="00156829"/>
    <w:rsid w:val="001D118F"/>
    <w:rsid w:val="002412A0"/>
    <w:rsid w:val="0026296F"/>
    <w:rsid w:val="00322F46"/>
    <w:rsid w:val="004F3ABC"/>
    <w:rsid w:val="005102B0"/>
    <w:rsid w:val="00525FBA"/>
    <w:rsid w:val="00597C2F"/>
    <w:rsid w:val="005B5153"/>
    <w:rsid w:val="0061095F"/>
    <w:rsid w:val="00642288"/>
    <w:rsid w:val="00664405"/>
    <w:rsid w:val="006D5E79"/>
    <w:rsid w:val="0070511F"/>
    <w:rsid w:val="00721299"/>
    <w:rsid w:val="007B4717"/>
    <w:rsid w:val="00834F6A"/>
    <w:rsid w:val="00836ACE"/>
    <w:rsid w:val="00840969"/>
    <w:rsid w:val="008B5DD4"/>
    <w:rsid w:val="0090259F"/>
    <w:rsid w:val="00936024"/>
    <w:rsid w:val="00950ED8"/>
    <w:rsid w:val="009E1F40"/>
    <w:rsid w:val="009E6036"/>
    <w:rsid w:val="009F6D74"/>
    <w:rsid w:val="00A3757F"/>
    <w:rsid w:val="00A715B3"/>
    <w:rsid w:val="00AF1C87"/>
    <w:rsid w:val="00AF33FC"/>
    <w:rsid w:val="00B10431"/>
    <w:rsid w:val="00B11F20"/>
    <w:rsid w:val="00B5623C"/>
    <w:rsid w:val="00B8083B"/>
    <w:rsid w:val="00BB770E"/>
    <w:rsid w:val="00BC7850"/>
    <w:rsid w:val="00BF1943"/>
    <w:rsid w:val="00C03EEE"/>
    <w:rsid w:val="00C601E8"/>
    <w:rsid w:val="00D76E9C"/>
    <w:rsid w:val="00D87086"/>
    <w:rsid w:val="00DB68DD"/>
    <w:rsid w:val="00E0052A"/>
    <w:rsid w:val="00EB0FED"/>
    <w:rsid w:val="00F14C1E"/>
    <w:rsid w:val="00F16DE3"/>
    <w:rsid w:val="00F3382C"/>
    <w:rsid w:val="00F52F5C"/>
    <w:rsid w:val="00F63A3B"/>
    <w:rsid w:val="00F70C92"/>
    <w:rsid w:val="00F72645"/>
    <w:rsid w:val="059002A0"/>
    <w:rsid w:val="1B0E6C75"/>
    <w:rsid w:val="202B59B8"/>
    <w:rsid w:val="33FD538A"/>
    <w:rsid w:val="37666C48"/>
    <w:rsid w:val="3FAF6DBE"/>
    <w:rsid w:val="41AE4FFA"/>
    <w:rsid w:val="55A67879"/>
    <w:rsid w:val="67B42447"/>
    <w:rsid w:val="67C14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84D90"/>
  <w15:docId w15:val="{DBAB1B33-5544-4218-AE69-1D7E267B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 w:type="paragraph" w:customStyle="1" w:styleId="CharCharCharChar">
    <w:name w:val="Char Char Char Char"/>
    <w:basedOn w:val="a"/>
    <w:qFormat/>
    <w:pPr>
      <w:numPr>
        <w:numId w:val="1"/>
      </w:numPr>
      <w:tabs>
        <w:tab w:val="left" w:pos="1095"/>
      </w:tabs>
    </w:pPr>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Administrator</cp:lastModifiedBy>
  <cp:revision>30</cp:revision>
  <cp:lastPrinted>2017-11-14T01:52:00Z</cp:lastPrinted>
  <dcterms:created xsi:type="dcterms:W3CDTF">2017-11-14T01:01:00Z</dcterms:created>
  <dcterms:modified xsi:type="dcterms:W3CDTF">2022-03-22T00:34:00Z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03C95F669199449C8AA5687FA34D8F73</vt:lpwstr>
  </property>
</Properties>
</file>