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b/>
          <w:sz w:val="36"/>
          <w:szCs w:val="36"/>
        </w:rPr>
      </w:pPr>
      <w:r>
        <w:rPr>
          <w:rFonts w:hint="eastAsia" w:ascii="黑体" w:hAnsi="黑体" w:eastAsia="黑体"/>
          <w:b/>
          <w:sz w:val="36"/>
          <w:szCs w:val="36"/>
        </w:rPr>
        <w:t>中山大学孙逸仙纪念医院</w:t>
      </w:r>
    </w:p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6"/>
          <w:szCs w:val="36"/>
        </w:rPr>
        <w:t>逸仙医学教育平台进修申请操作指引</w:t>
      </w:r>
    </w:p>
    <w:p>
      <w:pPr>
        <w:jc w:val="center"/>
        <w:rPr>
          <w:b/>
          <w:sz w:val="44"/>
          <w:szCs w:val="36"/>
        </w:rPr>
      </w:pPr>
    </w:p>
    <w:sdt>
      <w:sdtPr>
        <w:rPr>
          <w:rFonts w:asciiTheme="minorHAnsi" w:hAnsiTheme="minorHAnsi" w:eastAsiaTheme="minorEastAsia" w:cstheme="minorBidi"/>
          <w:b w:val="0"/>
          <w:bCs w:val="0"/>
          <w:color w:val="auto"/>
          <w:kern w:val="2"/>
          <w:sz w:val="24"/>
          <w:szCs w:val="24"/>
          <w:lang w:val="zh-CN"/>
        </w:rPr>
        <w:id w:val="-1458793626"/>
        <w:docPartObj>
          <w:docPartGallery w:val="Table of Contents"/>
          <w:docPartUnique/>
        </w:docPartObj>
      </w:sdtPr>
      <w:sdtEndPr>
        <w:rPr>
          <w:rFonts w:asciiTheme="minorHAnsi" w:hAnsiTheme="minorHAnsi" w:eastAsiaTheme="minorEastAsia" w:cstheme="minorBidi"/>
          <w:b w:val="0"/>
          <w:bCs w:val="0"/>
          <w:color w:val="auto"/>
          <w:kern w:val="2"/>
          <w:sz w:val="24"/>
          <w:szCs w:val="24"/>
          <w:lang w:val="zh-CN"/>
        </w:rPr>
      </w:sdtEndPr>
      <w:sdtContent>
        <w:p>
          <w:pPr>
            <w:pStyle w:val="22"/>
          </w:pPr>
          <w:r>
            <w:rPr>
              <w:lang w:val="zh-CN"/>
            </w:rPr>
            <w:t>目录</w:t>
          </w:r>
        </w:p>
        <w:p>
          <w:pPr>
            <w:pStyle w:val="9"/>
            <w:tabs>
              <w:tab w:val="right" w:leader="dot" w:pos="8290"/>
            </w:tabs>
            <w:rPr>
              <w:kern w:val="2"/>
              <w:sz w:val="21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r>
            <w:fldChar w:fldCharType="begin"/>
          </w:r>
          <w:r>
            <w:instrText xml:space="preserve"> HYPERLINK \l "_Toc22839549" </w:instrText>
          </w:r>
          <w:r>
            <w:fldChar w:fldCharType="separate"/>
          </w:r>
          <w:r>
            <w:rPr>
              <w:rStyle w:val="15"/>
              <w:rFonts w:hint="eastAsia"/>
            </w:rPr>
            <w:t>一、进修申请填报</w:t>
          </w:r>
          <w:r>
            <w:tab/>
          </w:r>
          <w:r>
            <w:fldChar w:fldCharType="begin"/>
          </w:r>
          <w:r>
            <w:instrText xml:space="preserve"> PAGEREF _Toc22839549 \h </w:instrText>
          </w:r>
          <w:r>
            <w:fldChar w:fldCharType="separate"/>
          </w:r>
          <w:r>
            <w:t>2</w:t>
          </w:r>
          <w:r>
            <w:fldChar w:fldCharType="end"/>
          </w:r>
          <w:r>
            <w:fldChar w:fldCharType="end"/>
          </w:r>
        </w:p>
        <w:p>
          <w:pPr>
            <w:pStyle w:val="11"/>
            <w:tabs>
              <w:tab w:val="left" w:pos="840"/>
              <w:tab w:val="right" w:leader="dot" w:pos="8290"/>
            </w:tabs>
            <w:rPr>
              <w:kern w:val="2"/>
              <w:sz w:val="21"/>
            </w:rPr>
          </w:pPr>
          <w:r>
            <w:fldChar w:fldCharType="begin"/>
          </w:r>
          <w:r>
            <w:instrText xml:space="preserve"> HYPERLINK \l "_Toc22839550" </w:instrText>
          </w:r>
          <w:r>
            <w:fldChar w:fldCharType="separate"/>
          </w:r>
          <w:r>
            <w:rPr>
              <w:rStyle w:val="15"/>
              <w:rFonts w:hint="eastAsia" w:eastAsia="宋体"/>
            </w:rPr>
            <w:t>1、</w:t>
          </w:r>
          <w:r>
            <w:rPr>
              <w:kern w:val="2"/>
              <w:sz w:val="21"/>
            </w:rPr>
            <w:tab/>
          </w:r>
          <w:r>
            <w:rPr>
              <w:rStyle w:val="15"/>
              <w:rFonts w:hint="eastAsia" w:eastAsia="宋体"/>
            </w:rPr>
            <w:t>登录“逸仙医学教育”平台</w:t>
          </w:r>
          <w:r>
            <w:tab/>
          </w:r>
          <w:r>
            <w:fldChar w:fldCharType="begin"/>
          </w:r>
          <w:r>
            <w:instrText xml:space="preserve"> PAGEREF _Toc22839550 \h </w:instrText>
          </w:r>
          <w:r>
            <w:fldChar w:fldCharType="separate"/>
          </w:r>
          <w:r>
            <w:t>2</w:t>
          </w:r>
          <w:r>
            <w:fldChar w:fldCharType="end"/>
          </w:r>
          <w:r>
            <w:fldChar w:fldCharType="end"/>
          </w:r>
        </w:p>
        <w:p>
          <w:pPr>
            <w:pStyle w:val="11"/>
            <w:tabs>
              <w:tab w:val="left" w:pos="840"/>
              <w:tab w:val="right" w:leader="dot" w:pos="8290"/>
            </w:tabs>
            <w:rPr>
              <w:kern w:val="2"/>
              <w:sz w:val="21"/>
            </w:rPr>
          </w:pPr>
          <w:r>
            <w:fldChar w:fldCharType="begin"/>
          </w:r>
          <w:r>
            <w:instrText xml:space="preserve"> HYPERLINK \l "_Toc22839551" </w:instrText>
          </w:r>
          <w:r>
            <w:fldChar w:fldCharType="separate"/>
          </w:r>
          <w:r>
            <w:rPr>
              <w:rStyle w:val="15"/>
              <w:rFonts w:hint="eastAsia" w:eastAsia="宋体"/>
            </w:rPr>
            <w:t>2、</w:t>
          </w:r>
          <w:r>
            <w:rPr>
              <w:kern w:val="2"/>
              <w:sz w:val="21"/>
            </w:rPr>
            <w:tab/>
          </w:r>
          <w:r>
            <w:rPr>
              <w:rStyle w:val="15"/>
              <w:rFonts w:hint="eastAsia" w:eastAsia="宋体"/>
            </w:rPr>
            <w:t>申请流程</w:t>
          </w:r>
          <w:r>
            <w:tab/>
          </w:r>
          <w:r>
            <w:fldChar w:fldCharType="begin"/>
          </w:r>
          <w:r>
            <w:instrText xml:space="preserve"> PAGEREF _Toc22839551 \h </w:instrText>
          </w:r>
          <w:r>
            <w:fldChar w:fldCharType="separate"/>
          </w:r>
          <w:r>
            <w:t>2</w:t>
          </w:r>
          <w:r>
            <w:fldChar w:fldCharType="end"/>
          </w:r>
          <w:r>
            <w:fldChar w:fldCharType="end"/>
          </w:r>
        </w:p>
        <w:p>
          <w:pPr>
            <w:pStyle w:val="9"/>
            <w:tabs>
              <w:tab w:val="right" w:leader="dot" w:pos="8290"/>
            </w:tabs>
            <w:rPr>
              <w:kern w:val="2"/>
              <w:sz w:val="21"/>
            </w:rPr>
          </w:pPr>
          <w:r>
            <w:fldChar w:fldCharType="begin"/>
          </w:r>
          <w:r>
            <w:instrText xml:space="preserve"> HYPERLINK \l "_Toc22839552" </w:instrText>
          </w:r>
          <w:r>
            <w:fldChar w:fldCharType="separate"/>
          </w:r>
          <w:r>
            <w:rPr>
              <w:rStyle w:val="15"/>
              <w:rFonts w:hint="eastAsia"/>
            </w:rPr>
            <w:t>二、</w:t>
          </w:r>
          <w:r>
            <w:rPr>
              <w:rStyle w:val="15"/>
              <w:rFonts w:hint="eastAsia" w:eastAsia="宋体"/>
            </w:rPr>
            <w:t>进修申请</w:t>
          </w:r>
          <w:r>
            <w:rPr>
              <w:rStyle w:val="15"/>
              <w:rFonts w:hint="eastAsia"/>
            </w:rPr>
            <w:t>结果查询</w:t>
          </w:r>
          <w:r>
            <w:tab/>
          </w:r>
          <w:r>
            <w:fldChar w:fldCharType="begin"/>
          </w:r>
          <w:r>
            <w:instrText xml:space="preserve"> PAGEREF _Toc22839552 \h </w:instrText>
          </w:r>
          <w:r>
            <w:fldChar w:fldCharType="separate"/>
          </w:r>
          <w:r>
            <w:t>10</w:t>
          </w:r>
          <w:r>
            <w:fldChar w:fldCharType="end"/>
          </w:r>
          <w:r>
            <w:fldChar w:fldCharType="end"/>
          </w:r>
        </w:p>
        <w:p>
          <w:pPr>
            <w:pStyle w:val="11"/>
            <w:tabs>
              <w:tab w:val="left" w:pos="840"/>
              <w:tab w:val="right" w:leader="dot" w:pos="8290"/>
            </w:tabs>
            <w:rPr>
              <w:kern w:val="2"/>
              <w:sz w:val="21"/>
            </w:rPr>
          </w:pPr>
          <w:r>
            <w:fldChar w:fldCharType="begin"/>
          </w:r>
          <w:r>
            <w:instrText xml:space="preserve"> HYPERLINK \l "_Toc22839553" </w:instrText>
          </w:r>
          <w:r>
            <w:fldChar w:fldCharType="separate"/>
          </w:r>
          <w:r>
            <w:rPr>
              <w:rStyle w:val="15"/>
              <w:rFonts w:hint="eastAsia"/>
            </w:rPr>
            <w:t>1、</w:t>
          </w:r>
          <w:r>
            <w:rPr>
              <w:kern w:val="2"/>
              <w:sz w:val="21"/>
            </w:rPr>
            <w:tab/>
          </w:r>
          <w:r>
            <w:rPr>
              <w:rStyle w:val="15"/>
              <w:rFonts w:hint="eastAsia"/>
            </w:rPr>
            <w:t>审核流程</w:t>
          </w:r>
          <w:r>
            <w:tab/>
          </w:r>
          <w:r>
            <w:fldChar w:fldCharType="begin"/>
          </w:r>
          <w:r>
            <w:instrText xml:space="preserve"> PAGEREF _Toc22839553 \h </w:instrText>
          </w:r>
          <w:r>
            <w:fldChar w:fldCharType="separate"/>
          </w:r>
          <w:r>
            <w:t>10</w:t>
          </w:r>
          <w:r>
            <w:fldChar w:fldCharType="end"/>
          </w:r>
          <w:r>
            <w:fldChar w:fldCharType="end"/>
          </w:r>
        </w:p>
        <w:p>
          <w:pPr>
            <w:pStyle w:val="11"/>
            <w:tabs>
              <w:tab w:val="left" w:pos="840"/>
              <w:tab w:val="right" w:leader="dot" w:pos="8290"/>
            </w:tabs>
            <w:rPr>
              <w:kern w:val="2"/>
              <w:sz w:val="21"/>
            </w:rPr>
          </w:pPr>
          <w:r>
            <w:fldChar w:fldCharType="begin"/>
          </w:r>
          <w:r>
            <w:instrText xml:space="preserve"> HYPERLINK \l "_Toc22839554" </w:instrText>
          </w:r>
          <w:r>
            <w:fldChar w:fldCharType="separate"/>
          </w:r>
          <w:r>
            <w:rPr>
              <w:rStyle w:val="15"/>
              <w:rFonts w:hint="eastAsia"/>
            </w:rPr>
            <w:t>2、</w:t>
          </w:r>
          <w:r>
            <w:rPr>
              <w:kern w:val="2"/>
              <w:sz w:val="21"/>
            </w:rPr>
            <w:tab/>
          </w:r>
          <w:r>
            <w:rPr>
              <w:rStyle w:val="15"/>
              <w:rFonts w:hint="eastAsia" w:eastAsia="宋体"/>
            </w:rPr>
            <w:t>登录“逸仙医学教育”平台，</w:t>
          </w:r>
          <w:r>
            <w:rPr>
              <w:rStyle w:val="15"/>
              <w:rFonts w:hint="eastAsia"/>
            </w:rPr>
            <w:t>查看审核结果</w:t>
          </w:r>
          <w:r>
            <w:tab/>
          </w:r>
          <w:r>
            <w:fldChar w:fldCharType="begin"/>
          </w:r>
          <w:r>
            <w:instrText xml:space="preserve"> PAGEREF _Toc22839554 \h </w:instrText>
          </w:r>
          <w:r>
            <w:fldChar w:fldCharType="separate"/>
          </w:r>
          <w:r>
            <w:t>10</w:t>
          </w:r>
          <w:r>
            <w:fldChar w:fldCharType="end"/>
          </w:r>
          <w:r>
            <w:fldChar w:fldCharType="end"/>
          </w:r>
        </w:p>
        <w:p>
          <w:pPr>
            <w:pStyle w:val="11"/>
            <w:tabs>
              <w:tab w:val="left" w:pos="840"/>
              <w:tab w:val="right" w:leader="dot" w:pos="8290"/>
            </w:tabs>
            <w:rPr>
              <w:kern w:val="2"/>
              <w:sz w:val="21"/>
            </w:rPr>
          </w:pPr>
          <w:r>
            <w:fldChar w:fldCharType="begin"/>
          </w:r>
          <w:r>
            <w:instrText xml:space="preserve"> HYPERLINK \l "_Toc22839555" </w:instrText>
          </w:r>
          <w:r>
            <w:fldChar w:fldCharType="separate"/>
          </w:r>
          <w:r>
            <w:rPr>
              <w:rStyle w:val="15"/>
              <w:rFonts w:hint="eastAsia"/>
            </w:rPr>
            <w:t>3、</w:t>
          </w:r>
          <w:r>
            <w:rPr>
              <w:kern w:val="2"/>
              <w:sz w:val="21"/>
            </w:rPr>
            <w:tab/>
          </w:r>
          <w:r>
            <w:rPr>
              <w:rStyle w:val="15"/>
              <w:rFonts w:hint="eastAsia" w:eastAsia="宋体"/>
            </w:rPr>
            <w:t>进修申请审核通过后，查看“</w:t>
          </w:r>
          <w:r>
            <w:rPr>
              <w:rStyle w:val="15"/>
              <w:rFonts w:hint="eastAsia"/>
            </w:rPr>
            <w:t>报到通知书</w:t>
          </w:r>
          <w:r>
            <w:rPr>
              <w:rStyle w:val="15"/>
              <w:rFonts w:eastAsia="宋体"/>
            </w:rPr>
            <w:t>”</w:t>
          </w:r>
          <w:r>
            <w:tab/>
          </w:r>
          <w:r>
            <w:fldChar w:fldCharType="begin"/>
          </w:r>
          <w:r>
            <w:instrText xml:space="preserve"> PAGEREF _Toc22839555 \h </w:instrText>
          </w:r>
          <w:r>
            <w:fldChar w:fldCharType="separate"/>
          </w:r>
          <w:r>
            <w:t>11</w:t>
          </w:r>
          <w:r>
            <w:fldChar w:fldCharType="end"/>
          </w:r>
          <w:r>
            <w:fldChar w:fldCharType="end"/>
          </w:r>
        </w:p>
        <w:p>
          <w:r>
            <w:rPr>
              <w:b/>
              <w:bCs/>
              <w:lang w:val="zh-CN"/>
            </w:rPr>
            <w:fldChar w:fldCharType="end"/>
          </w:r>
        </w:p>
      </w:sdtContent>
    </w:sdt>
    <w:p>
      <w:pPr>
        <w:rPr>
          <w:b/>
        </w:rPr>
      </w:pPr>
    </w:p>
    <w:p>
      <w:pPr>
        <w:pStyle w:val="2"/>
        <w:rPr>
          <w:b w:val="0"/>
        </w:rPr>
      </w:pPr>
      <w:r>
        <w:br w:type="page"/>
      </w:r>
      <w:bookmarkStart w:id="0" w:name="_Toc22839549"/>
      <w:r>
        <w:rPr>
          <w:rFonts w:hint="eastAsia"/>
          <w:sz w:val="28"/>
          <w:szCs w:val="28"/>
        </w:rPr>
        <w:t>一、进修申请填报</w:t>
      </w:r>
      <w:bookmarkEnd w:id="0"/>
    </w:p>
    <w:p>
      <w:pPr>
        <w:pStyle w:val="16"/>
        <w:numPr>
          <w:ilvl w:val="0"/>
          <w:numId w:val="1"/>
        </w:numPr>
        <w:ind w:firstLineChars="0"/>
        <w:outlineLvl w:val="1"/>
        <w:rPr>
          <w:rFonts w:eastAsia="宋体"/>
        </w:rPr>
      </w:pPr>
      <w:bookmarkStart w:id="1" w:name="_Toc22839550"/>
      <w:r>
        <w:rPr>
          <w:rFonts w:hint="eastAsia" w:eastAsia="宋体"/>
        </w:rPr>
        <w:t>登录“逸仙医学教育”平台</w:t>
      </w:r>
      <w:bookmarkEnd w:id="1"/>
    </w:p>
    <w:p>
      <w:pPr>
        <w:pStyle w:val="16"/>
        <w:ind w:left="720" w:firstLine="0" w:firstLineChars="0"/>
      </w:pPr>
      <w:r>
        <w:rPr>
          <w:rFonts w:hint="eastAsia"/>
        </w:rPr>
        <w:t>电脑浏览器，输入</w:t>
      </w:r>
      <w:r>
        <w:rPr>
          <w:rFonts w:hint="eastAsia" w:eastAsia="宋体"/>
        </w:rPr>
        <w:t>网址：</w:t>
      </w:r>
      <w:r>
        <w:fldChar w:fldCharType="begin"/>
      </w:r>
      <w:r>
        <w:instrText xml:space="preserve"> HYPERLINK "http://sysyxjy.cn:8080/registerStepFillJx?step=1" </w:instrText>
      </w:r>
      <w:r>
        <w:fldChar w:fldCharType="separate"/>
      </w:r>
      <w:r>
        <w:rPr>
          <w:rStyle w:val="15"/>
        </w:rPr>
        <w:t>http://sysyxjy.cn:8080/registerStepFillJx?step=1</w:t>
      </w:r>
      <w:r>
        <w:rPr>
          <w:rStyle w:val="15"/>
        </w:rPr>
        <w:fldChar w:fldCharType="end"/>
      </w:r>
      <w:r>
        <w:rPr>
          <w:rFonts w:hint="eastAsia"/>
        </w:rPr>
        <w:t xml:space="preserve"> （注意：不要加www）进入进修申请</w:t>
      </w:r>
      <w:r>
        <w:rPr>
          <w:rFonts w:hint="eastAsia" w:eastAsia="宋体"/>
        </w:rPr>
        <w:t>流程</w:t>
      </w:r>
      <w:r>
        <w:rPr>
          <w:rFonts w:hint="eastAsia"/>
        </w:rPr>
        <w:t>。</w:t>
      </w:r>
    </w:p>
    <w:p>
      <w:pPr>
        <w:pStyle w:val="16"/>
        <w:numPr>
          <w:ilvl w:val="0"/>
          <w:numId w:val="1"/>
        </w:numPr>
        <w:ind w:firstLineChars="0"/>
        <w:outlineLvl w:val="1"/>
        <w:rPr>
          <w:rFonts w:eastAsia="宋体"/>
        </w:rPr>
      </w:pPr>
      <w:bookmarkStart w:id="2" w:name="_Toc22839551"/>
      <w:r>
        <w:rPr>
          <w:rFonts w:hint="eastAsia" w:eastAsia="宋体"/>
        </w:rPr>
        <w:t>申请流程</w:t>
      </w:r>
      <w:bookmarkEnd w:id="2"/>
    </w:p>
    <w:p>
      <w:pPr>
        <w:pStyle w:val="16"/>
        <w:ind w:left="720" w:firstLine="0" w:firstLineChars="0"/>
      </w:pPr>
      <w:r>
        <w:rPr>
          <w:rFonts w:hint="eastAsia"/>
        </w:rPr>
        <w:t>1 ) 阅读进修申请条件，勾选同意并按“下一步”。</w:t>
      </w:r>
    </w:p>
    <w:p>
      <w:r>
        <w:drawing>
          <wp:inline distT="0" distB="0" distL="0" distR="0">
            <wp:extent cx="5270500" cy="3019425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30195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>
      <w:pPr>
        <w:pStyle w:val="16"/>
        <w:ind w:left="720" w:firstLine="0" w:firstLineChars="0"/>
      </w:pPr>
      <w:r>
        <w:rPr>
          <w:rFonts w:hint="eastAsia"/>
        </w:rPr>
        <w:t>2 ) 阅读进修专业设置，勾选同意并按“下一步”。</w:t>
      </w:r>
    </w:p>
    <w:p>
      <w:r>
        <w:drawing>
          <wp:inline distT="0" distB="0" distL="0" distR="0">
            <wp:extent cx="5270500" cy="1692910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16933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r>
        <w:drawing>
          <wp:inline distT="0" distB="0" distL="0" distR="0">
            <wp:extent cx="5270500" cy="1496060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14963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p>
      <w:pPr>
        <w:pStyle w:val="16"/>
        <w:ind w:left="720" w:firstLine="0" w:firstLineChars="0"/>
      </w:pPr>
      <w:r>
        <w:rPr>
          <w:rFonts w:hint="eastAsia"/>
        </w:rPr>
        <w:t>3 ) 阅读进修申请程序，勾选同意并按“下一步”。</w:t>
      </w:r>
    </w:p>
    <w:p>
      <w:r>
        <w:drawing>
          <wp:inline distT="0" distB="0" distL="0" distR="0">
            <wp:extent cx="5270500" cy="2686685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26871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>
      <w:pPr>
        <w:pStyle w:val="16"/>
        <w:ind w:left="1680" w:hanging="960" w:firstLineChars="0"/>
        <w:rPr>
          <w:rFonts w:eastAsia="宋体"/>
        </w:rPr>
      </w:pPr>
      <w:r>
        <w:rPr>
          <w:rFonts w:hint="eastAsia"/>
        </w:rPr>
        <w:t>4 ) 填写手机号码，勾选同意并按“下一步”。</w:t>
      </w:r>
    </w:p>
    <w:p>
      <w:pPr>
        <w:ind w:left="840" w:hanging="840"/>
      </w:pPr>
      <w:r>
        <w:drawing>
          <wp:inline distT="0" distB="0" distL="0" distR="0">
            <wp:extent cx="5270500" cy="1812925"/>
            <wp:effectExtent l="0" t="0" r="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18129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eastAsia="宋体"/>
        </w:rPr>
      </w:pPr>
      <w:r>
        <w:rPr>
          <w:rFonts w:hint="eastAsia"/>
        </w:rPr>
        <w:t>注意：如果</w:t>
      </w:r>
      <w:r>
        <w:rPr>
          <w:rFonts w:hint="eastAsia" w:eastAsia="宋体"/>
        </w:rPr>
        <w:t>提示</w:t>
      </w:r>
      <w:r>
        <w:rPr>
          <w:rFonts w:hint="eastAsia"/>
        </w:rPr>
        <w:t>已注册，</w:t>
      </w:r>
      <w:r>
        <w:rPr>
          <w:rFonts w:hint="eastAsia" w:eastAsia="宋体"/>
        </w:rPr>
        <w:t>点击菜单：</w:t>
      </w:r>
      <w:r>
        <w:rPr>
          <w:rFonts w:hint="eastAsia"/>
        </w:rPr>
        <w:t>首页</w:t>
      </w:r>
      <w:r>
        <w:rPr>
          <w:rFonts w:hint="eastAsia" w:eastAsia="宋体"/>
        </w:rPr>
        <w:t>，输入</w:t>
      </w:r>
      <w:r>
        <w:rPr>
          <w:rFonts w:hint="eastAsia"/>
        </w:rPr>
        <w:t>账号</w:t>
      </w:r>
      <w:r>
        <w:rPr>
          <w:rFonts w:hint="eastAsia" w:eastAsia="宋体"/>
        </w:rPr>
        <w:t>：</w:t>
      </w:r>
      <w:r>
        <w:rPr>
          <w:rFonts w:hint="eastAsia"/>
        </w:rPr>
        <w:t>手机号码，初始密码</w:t>
      </w:r>
      <w:r>
        <w:rPr>
          <w:rFonts w:hint="eastAsia" w:eastAsia="宋体"/>
        </w:rPr>
        <w:t>：</w:t>
      </w:r>
      <w:r>
        <w:rPr>
          <w:rFonts w:hint="eastAsia" w:eastAsia="宋体"/>
          <w:color w:val="0000FF"/>
        </w:rPr>
        <w:t>Yxjxpt@2020</w:t>
      </w:r>
      <w:r>
        <w:rPr>
          <w:rFonts w:hint="eastAsia"/>
        </w:rPr>
        <w:t>，</w:t>
      </w:r>
      <w:r>
        <w:rPr>
          <w:rFonts w:hint="eastAsia" w:eastAsia="宋体"/>
        </w:rPr>
        <w:t>点击</w:t>
      </w:r>
      <w:r>
        <w:rPr>
          <w:rFonts w:hint="eastAsia"/>
        </w:rPr>
        <w:t>登录</w:t>
      </w:r>
      <w:bookmarkStart w:id="7" w:name="_GoBack"/>
      <w:bookmarkEnd w:id="7"/>
      <w:r>
        <w:rPr>
          <w:rFonts w:hint="eastAsia"/>
        </w:rPr>
        <w:t xml:space="preserve">，如下图。登录后，点击菜单：继教科 -&gt; 进修管理 </w:t>
      </w:r>
      <w:r>
        <w:t>–</w:t>
      </w:r>
      <w:r>
        <w:rPr>
          <w:rFonts w:hint="eastAsia"/>
        </w:rPr>
        <w:t>&gt; 招录 -&gt;进修申请</w:t>
      </w:r>
      <w:r>
        <w:rPr>
          <w:rFonts w:hint="eastAsia" w:eastAsia="宋体"/>
        </w:rPr>
        <w:t>，</w:t>
      </w:r>
      <w:r>
        <w:rPr>
          <w:rFonts w:hint="eastAsia"/>
        </w:rPr>
        <w:t>查看是否已</w:t>
      </w:r>
      <w:r>
        <w:rPr>
          <w:rFonts w:hint="eastAsia" w:eastAsia="宋体"/>
        </w:rPr>
        <w:t>填报进修申请</w:t>
      </w:r>
      <w:r>
        <w:rPr>
          <w:rFonts w:hint="eastAsia"/>
        </w:rPr>
        <w:t>。</w:t>
      </w:r>
    </w:p>
    <w:p>
      <w:r>
        <w:drawing>
          <wp:inline distT="0" distB="0" distL="0" distR="0">
            <wp:extent cx="5270500" cy="2269490"/>
            <wp:effectExtent l="0" t="0" r="635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22698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r>
        <w:drawing>
          <wp:inline distT="0" distB="0" distL="0" distR="0">
            <wp:extent cx="4784725" cy="1096010"/>
            <wp:effectExtent l="0" t="0" r="0" b="8890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785013" cy="10965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left"/>
      </w:pPr>
    </w:p>
    <w:p>
      <w:pPr>
        <w:jc w:val="left"/>
      </w:pPr>
    </w:p>
    <w:p>
      <w:pPr>
        <w:pStyle w:val="16"/>
        <w:ind w:left="720" w:firstLine="0" w:firstLineChars="0"/>
        <w:rPr>
          <w:rFonts w:eastAsia="宋体"/>
        </w:rPr>
      </w:pPr>
      <w:r>
        <w:rPr>
          <w:rFonts w:hint="eastAsia"/>
        </w:rPr>
        <w:t>5）填</w:t>
      </w:r>
      <w:r>
        <w:rPr>
          <w:rFonts w:hint="eastAsia" w:eastAsia="宋体"/>
        </w:rPr>
        <w:t>写</w:t>
      </w:r>
      <w:r>
        <w:rPr>
          <w:rFonts w:hint="eastAsia"/>
        </w:rPr>
        <w:t>基本信息</w:t>
      </w:r>
      <w:r>
        <w:rPr>
          <w:rFonts w:hint="eastAsia" w:eastAsia="宋体"/>
        </w:rPr>
        <w:t>。</w:t>
      </w:r>
    </w:p>
    <w:p>
      <w:pPr>
        <w:rPr>
          <w:sz w:val="28"/>
          <w:szCs w:val="28"/>
        </w:rPr>
      </w:pPr>
      <w:r>
        <w:drawing>
          <wp:inline distT="0" distB="0" distL="0" distR="0">
            <wp:extent cx="4618990" cy="3992245"/>
            <wp:effectExtent l="0" t="0" r="0" b="8255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618569" cy="39920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sz w:val="28"/>
          <w:szCs w:val="28"/>
        </w:rPr>
      </w:pPr>
    </w:p>
    <w:p>
      <w:pPr>
        <w:pStyle w:val="16"/>
        <w:ind w:left="720" w:firstLine="0" w:firstLineChars="0"/>
      </w:pPr>
      <w:r>
        <w:rPr>
          <w:rFonts w:hint="eastAsia"/>
        </w:rPr>
        <w:t>6）填写</w:t>
      </w:r>
      <w:r>
        <w:rPr>
          <w:rFonts w:hint="eastAsia" w:eastAsia="宋体"/>
        </w:rPr>
        <w:t>专业</w:t>
      </w:r>
      <w:r>
        <w:rPr>
          <w:rFonts w:hint="eastAsia"/>
        </w:rPr>
        <w:t>信息。</w:t>
      </w:r>
    </w:p>
    <w:p>
      <w:pPr>
        <w:pStyle w:val="16"/>
        <w:ind w:left="720" w:firstLine="0" w:firstLineChars="0"/>
        <w:rPr>
          <w:rFonts w:eastAsia="宋体"/>
        </w:rPr>
      </w:pPr>
      <w:r>
        <w:rPr>
          <w:rFonts w:hint="eastAsia" w:eastAsia="宋体"/>
        </w:rPr>
        <w:t>确认</w:t>
      </w:r>
      <w:r>
        <w:rPr>
          <w:rFonts w:hint="eastAsia"/>
        </w:rPr>
        <w:t>进修类型，</w:t>
      </w:r>
      <w:r>
        <w:rPr>
          <w:rFonts w:hint="eastAsia" w:eastAsia="宋体"/>
        </w:rPr>
        <w:t>填写</w:t>
      </w:r>
      <w:r>
        <w:rPr>
          <w:rFonts w:hint="eastAsia"/>
        </w:rPr>
        <w:t>进修专业和进修时长</w:t>
      </w:r>
      <w:r>
        <w:rPr>
          <w:rFonts w:hint="eastAsia" w:eastAsia="宋体"/>
        </w:rPr>
        <w:t>。</w:t>
      </w:r>
      <w:r>
        <w:rPr>
          <w:rFonts w:hint="eastAsia"/>
        </w:rPr>
        <w:t>如申报多个专业</w:t>
      </w:r>
      <w:r>
        <w:rPr>
          <w:rFonts w:hint="eastAsia" w:eastAsia="宋体"/>
        </w:rPr>
        <w:t>（例如产科+妇科肿瘤）</w:t>
      </w:r>
      <w:r>
        <w:rPr>
          <w:rFonts w:hint="eastAsia"/>
        </w:rPr>
        <w:t>，</w:t>
      </w:r>
      <w:r>
        <w:rPr>
          <w:rFonts w:hint="eastAsia" w:eastAsia="宋体"/>
        </w:rPr>
        <w:t>点击</w:t>
      </w:r>
      <w:r>
        <w:rPr>
          <w:rFonts w:hint="eastAsia"/>
        </w:rPr>
        <w:t>“添加进修专业”</w:t>
      </w:r>
      <w:r>
        <w:rPr>
          <w:rFonts w:hint="eastAsia" w:eastAsia="宋体"/>
        </w:rPr>
        <w:t>继续填报</w:t>
      </w:r>
      <w:r>
        <w:rPr>
          <w:rFonts w:hint="eastAsia"/>
        </w:rPr>
        <w:t>。提交时如</w:t>
      </w:r>
      <w:r>
        <w:rPr>
          <w:rFonts w:hint="eastAsia" w:eastAsia="宋体"/>
        </w:rPr>
        <w:t>提示“</w:t>
      </w:r>
      <w:r>
        <w:rPr>
          <w:rFonts w:hint="eastAsia"/>
        </w:rPr>
        <w:t>专业的时间段已超过最大接收容量</w:t>
      </w:r>
      <w:r>
        <w:rPr>
          <w:rFonts w:hint="eastAsia" w:eastAsia="宋体"/>
        </w:rPr>
        <w:t>”</w:t>
      </w:r>
      <w:r>
        <w:rPr>
          <w:rFonts w:hint="eastAsia"/>
        </w:rPr>
        <w:t>，</w:t>
      </w:r>
      <w:r>
        <w:rPr>
          <w:rFonts w:hint="eastAsia" w:eastAsia="宋体"/>
        </w:rPr>
        <w:t>请</w:t>
      </w:r>
      <w:r>
        <w:rPr>
          <w:rFonts w:hint="eastAsia"/>
        </w:rPr>
        <w:t>选择下一个</w:t>
      </w:r>
      <w:r>
        <w:rPr>
          <w:rFonts w:hint="eastAsia" w:eastAsia="宋体"/>
        </w:rPr>
        <w:t>入学</w:t>
      </w:r>
      <w:r>
        <w:rPr>
          <w:rFonts w:hint="eastAsia"/>
        </w:rPr>
        <w:t>时间段</w:t>
      </w:r>
      <w:r>
        <w:rPr>
          <w:rFonts w:hint="eastAsia" w:eastAsia="宋体"/>
        </w:rPr>
        <w:t>（多专业可尝试</w:t>
      </w:r>
      <w:r>
        <w:rPr>
          <w:rFonts w:hint="eastAsia"/>
        </w:rPr>
        <w:t>调整专业的先后顺序）</w:t>
      </w:r>
      <w:r>
        <w:rPr>
          <w:rFonts w:hint="eastAsia" w:eastAsia="宋体"/>
        </w:rPr>
        <w:t>。</w:t>
      </w:r>
    </w:p>
    <w:p>
      <w:pPr>
        <w:rPr>
          <w:rFonts w:eastAsia="宋体"/>
          <w:sz w:val="28"/>
          <w:szCs w:val="28"/>
        </w:rPr>
      </w:pPr>
      <w:r>
        <w:drawing>
          <wp:inline distT="0" distB="0" distL="0" distR="0">
            <wp:extent cx="5270500" cy="2980690"/>
            <wp:effectExtent l="0" t="0" r="0" b="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29811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eastAsia="宋体"/>
          <w:sz w:val="28"/>
          <w:szCs w:val="28"/>
        </w:rPr>
      </w:pPr>
    </w:p>
    <w:p>
      <w:pPr>
        <w:rPr>
          <w:sz w:val="28"/>
          <w:szCs w:val="28"/>
        </w:rPr>
      </w:pPr>
      <w:r>
        <w:drawing>
          <wp:inline distT="0" distB="0" distL="0" distR="0">
            <wp:extent cx="4779010" cy="4533900"/>
            <wp:effectExtent l="0" t="0" r="254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780201" cy="45351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sz w:val="28"/>
          <w:szCs w:val="28"/>
        </w:rPr>
      </w:pPr>
    </w:p>
    <w:p>
      <w:pPr>
        <w:pStyle w:val="16"/>
        <w:ind w:left="720" w:firstLine="0" w:firstLineChars="0"/>
      </w:pPr>
      <w:r>
        <w:rPr>
          <w:rFonts w:hint="eastAsia" w:eastAsia="宋体"/>
        </w:rPr>
        <w:t>7</w:t>
      </w:r>
      <w:r>
        <w:rPr>
          <w:rFonts w:hint="eastAsia"/>
        </w:rPr>
        <w:t>）填写选送单位信息</w:t>
      </w:r>
    </w:p>
    <w:p>
      <w:pPr>
        <w:rPr>
          <w:sz w:val="28"/>
          <w:szCs w:val="28"/>
        </w:rPr>
      </w:pPr>
      <w:r>
        <w:drawing>
          <wp:inline distT="0" distB="0" distL="0" distR="0">
            <wp:extent cx="5276850" cy="3484880"/>
            <wp:effectExtent l="0" t="0" r="0" b="127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81842" cy="34882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6"/>
        <w:ind w:left="720" w:firstLine="0" w:firstLineChars="0"/>
        <w:rPr>
          <w:rFonts w:eastAsia="宋体"/>
          <w:sz w:val="28"/>
          <w:szCs w:val="28"/>
        </w:rPr>
      </w:pPr>
      <w:r>
        <w:rPr>
          <w:rFonts w:hint="eastAsia" w:eastAsia="宋体"/>
        </w:rPr>
        <w:t>8</w:t>
      </w:r>
      <w:r>
        <w:rPr>
          <w:rFonts w:hint="eastAsia"/>
        </w:rPr>
        <w:t>）填写学习经历</w:t>
      </w:r>
      <w:r>
        <w:rPr>
          <w:rFonts w:hint="eastAsia" w:eastAsia="宋体"/>
        </w:rPr>
        <w:t>、</w:t>
      </w:r>
      <w:r>
        <w:rPr>
          <w:rFonts w:hint="eastAsia"/>
        </w:rPr>
        <w:t>工作经历</w:t>
      </w:r>
      <w:r>
        <w:rPr>
          <w:rFonts w:hint="eastAsia" w:eastAsia="宋体"/>
        </w:rPr>
        <w:t>及银行卡</w:t>
      </w:r>
      <w:r>
        <w:rPr>
          <w:rFonts w:hint="eastAsia"/>
        </w:rPr>
        <w:t>等信息</w:t>
      </w:r>
      <w:r>
        <w:rPr>
          <w:rFonts w:hint="eastAsia" w:eastAsia="宋体"/>
        </w:rPr>
        <w:t>。</w:t>
      </w:r>
    </w:p>
    <w:p>
      <w:pPr>
        <w:rPr>
          <w:sz w:val="28"/>
          <w:szCs w:val="28"/>
        </w:rPr>
      </w:pPr>
      <w:r>
        <w:drawing>
          <wp:inline distT="0" distB="0" distL="0" distR="0">
            <wp:extent cx="4433570" cy="3960495"/>
            <wp:effectExtent l="0" t="0" r="5080" b="1905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433776" cy="39606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sz w:val="28"/>
          <w:szCs w:val="28"/>
        </w:rPr>
      </w:pPr>
      <w:r>
        <w:drawing>
          <wp:inline distT="0" distB="0" distL="0" distR="0">
            <wp:extent cx="4692650" cy="4154170"/>
            <wp:effectExtent l="0" t="0" r="0" b="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695386" cy="4156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firstLine="360"/>
      </w:pPr>
      <w:r>
        <w:rPr>
          <w:rFonts w:hint="eastAsia" w:eastAsia="宋体"/>
        </w:rPr>
        <w:t>完整</w:t>
      </w:r>
      <w:r>
        <w:rPr>
          <w:rFonts w:hint="eastAsia"/>
        </w:rPr>
        <w:t>填写信息并确认无误后，勾选“我已确认所有信息</w:t>
      </w:r>
      <w:r>
        <w:rPr>
          <w:rFonts w:hint="eastAsia" w:eastAsia="宋体"/>
        </w:rPr>
        <w:t>真实准确</w:t>
      </w:r>
      <w:r>
        <w:rPr>
          <w:rFonts w:hint="eastAsia"/>
        </w:rPr>
        <w:t>，同意提</w:t>
      </w:r>
      <w:r>
        <w:rPr>
          <w:rFonts w:hint="eastAsia" w:eastAsia="宋体"/>
        </w:rPr>
        <w:tab/>
      </w:r>
      <w:r>
        <w:rPr>
          <w:rFonts w:hint="eastAsia"/>
        </w:rPr>
        <w:t>交”，点击“提交”按钮提交申请</w:t>
      </w:r>
      <w:r>
        <w:rPr>
          <w:rFonts w:hint="eastAsia" w:eastAsia="宋体"/>
        </w:rPr>
        <w:t>。</w:t>
      </w:r>
    </w:p>
    <w:p>
      <w:pPr>
        <w:pStyle w:val="16"/>
        <w:ind w:left="720" w:firstLine="0" w:firstLineChars="0"/>
      </w:pPr>
    </w:p>
    <w:p>
      <w:pPr>
        <w:pStyle w:val="16"/>
        <w:numPr>
          <w:ilvl w:val="0"/>
          <w:numId w:val="2"/>
        </w:numPr>
        <w:ind w:firstLineChars="0"/>
      </w:pPr>
      <w:r>
        <w:rPr>
          <w:rFonts w:hint="eastAsia" w:eastAsia="宋体"/>
        </w:rPr>
        <w:t>成功</w:t>
      </w:r>
      <w:r>
        <w:rPr>
          <w:rFonts w:hint="eastAsia"/>
        </w:rPr>
        <w:t>提交</w:t>
      </w:r>
      <w:r>
        <w:rPr>
          <w:rFonts w:hint="eastAsia" w:eastAsia="宋体"/>
        </w:rPr>
        <w:t>后，</w:t>
      </w:r>
      <w:r>
        <w:rPr>
          <w:rFonts w:hint="eastAsia"/>
        </w:rPr>
        <w:t>上传申请表</w:t>
      </w:r>
    </w:p>
    <w:p>
      <w:pPr>
        <w:pStyle w:val="16"/>
        <w:ind w:left="360" w:firstLine="0" w:firstLineChars="0"/>
        <w:rPr>
          <w:rFonts w:eastAsia="宋体"/>
        </w:rPr>
      </w:pPr>
      <w:r>
        <w:rPr>
          <w:rFonts w:hint="eastAsia"/>
        </w:rPr>
        <w:t>1）提交后，</w:t>
      </w:r>
      <w:r>
        <w:rPr>
          <w:rFonts w:hint="eastAsia" w:eastAsia="宋体"/>
        </w:rPr>
        <w:t>账号注册成功，</w:t>
      </w:r>
      <w:r>
        <w:rPr>
          <w:rFonts w:hint="eastAsia"/>
        </w:rPr>
        <w:t>提示账号、初始密码等信息（</w:t>
      </w:r>
      <w:r>
        <w:rPr>
          <w:rFonts w:hint="eastAsia"/>
          <w:color w:val="FF0000"/>
        </w:rPr>
        <w:t>注意：学员的账号为手机号码</w:t>
      </w:r>
      <w:r>
        <w:rPr>
          <w:rFonts w:hint="eastAsia"/>
        </w:rPr>
        <w:t>）</w:t>
      </w:r>
      <w:r>
        <w:rPr>
          <w:rFonts w:hint="eastAsia" w:eastAsia="宋体"/>
        </w:rPr>
        <w:t>。</w:t>
      </w:r>
    </w:p>
    <w:p>
      <w:pPr>
        <w:pStyle w:val="16"/>
        <w:ind w:left="360" w:firstLine="0" w:firstLineChars="0"/>
      </w:pPr>
      <w:r>
        <w:drawing>
          <wp:inline distT="0" distB="0" distL="0" distR="0">
            <wp:extent cx="5191760" cy="2095500"/>
            <wp:effectExtent l="0" t="0" r="8890" b="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220620" cy="21071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6"/>
        <w:ind w:left="360" w:firstLine="0" w:firstLineChars="0"/>
      </w:pPr>
      <w:r>
        <w:rPr>
          <w:rFonts w:hint="eastAsia"/>
        </w:rPr>
        <w:t>2）</w:t>
      </w:r>
      <w:r>
        <w:rPr>
          <w:rFonts w:hint="eastAsia" w:eastAsia="宋体"/>
        </w:rPr>
        <w:t>点击</w:t>
      </w:r>
      <w:r>
        <w:rPr>
          <w:rFonts w:hint="eastAsia"/>
        </w:rPr>
        <w:t>“直接登录”按钮，</w:t>
      </w:r>
      <w:r>
        <w:rPr>
          <w:rFonts w:hint="eastAsia" w:eastAsia="宋体"/>
        </w:rPr>
        <w:t>查看进修申请状态</w:t>
      </w:r>
      <w:r>
        <w:rPr>
          <w:rFonts w:hint="eastAsia"/>
        </w:rPr>
        <w:t>。</w:t>
      </w:r>
    </w:p>
    <w:p>
      <w:pPr>
        <w:pStyle w:val="16"/>
        <w:ind w:left="360" w:firstLine="0" w:firstLineChars="0"/>
      </w:pPr>
      <w:r>
        <w:rPr>
          <w:rFonts w:hint="eastAsia"/>
        </w:rPr>
        <w:t>点击“下载申请表”，打印并</w:t>
      </w:r>
      <w:r>
        <w:rPr>
          <w:rFonts w:hint="eastAsia" w:eastAsia="宋体"/>
        </w:rPr>
        <w:t>加盖</w:t>
      </w:r>
      <w:r>
        <w:rPr>
          <w:rFonts w:hint="eastAsia"/>
        </w:rPr>
        <w:t>所在单位</w:t>
      </w:r>
      <w:r>
        <w:rPr>
          <w:rFonts w:hint="eastAsia" w:eastAsia="宋体"/>
        </w:rPr>
        <w:t>公</w:t>
      </w:r>
      <w:r>
        <w:rPr>
          <w:rFonts w:hint="eastAsia"/>
        </w:rPr>
        <w:t>章，扫描</w:t>
      </w:r>
      <w:r>
        <w:rPr>
          <w:rFonts w:hint="eastAsia" w:eastAsia="宋体"/>
        </w:rPr>
        <w:t>后点击</w:t>
      </w:r>
      <w:r>
        <w:rPr>
          <w:rFonts w:hint="eastAsia"/>
        </w:rPr>
        <w:t>“上传申请表”</w:t>
      </w:r>
      <w:r>
        <w:rPr>
          <w:rFonts w:hint="eastAsia" w:eastAsia="宋体"/>
        </w:rPr>
        <w:t>上传，</w:t>
      </w:r>
      <w:r>
        <w:rPr>
          <w:rFonts w:hint="eastAsia"/>
        </w:rPr>
        <w:t>点击“提交申请”，</w:t>
      </w:r>
      <w:r>
        <w:rPr>
          <w:rFonts w:hint="eastAsia" w:eastAsia="宋体"/>
        </w:rPr>
        <w:t>完成</w:t>
      </w:r>
      <w:r>
        <w:rPr>
          <w:rFonts w:hint="eastAsia"/>
        </w:rPr>
        <w:t>报名流程。</w:t>
      </w:r>
    </w:p>
    <w:p>
      <w:pPr>
        <w:pStyle w:val="16"/>
        <w:ind w:left="360" w:firstLine="0" w:firstLineChars="0"/>
      </w:pPr>
      <w:r>
        <w:drawing>
          <wp:inline distT="0" distB="0" distL="0" distR="0">
            <wp:extent cx="1899920" cy="1517650"/>
            <wp:effectExtent l="0" t="0" r="5080" b="635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916911" cy="15309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0" distR="0">
            <wp:extent cx="4784725" cy="1096010"/>
            <wp:effectExtent l="0" t="0" r="0" b="8890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785013" cy="10965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6"/>
        <w:ind w:left="360" w:firstLine="0" w:firstLineChars="0"/>
      </w:pPr>
      <w:r>
        <w:drawing>
          <wp:inline distT="0" distB="0" distL="0" distR="0">
            <wp:extent cx="5270500" cy="2204720"/>
            <wp:effectExtent l="0" t="0" r="6350" b="5080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22051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firstLine="360" w:firstLineChars="150"/>
      </w:pPr>
      <w:r>
        <w:drawing>
          <wp:inline distT="0" distB="0" distL="0" distR="0">
            <wp:extent cx="3260725" cy="1818005"/>
            <wp:effectExtent l="0" t="0" r="0" b="0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273906" cy="18256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firstLine="360" w:firstLineChars="150"/>
      </w:pPr>
    </w:p>
    <w:p>
      <w:pPr>
        <w:widowControl/>
        <w:jc w:val="left"/>
      </w:pPr>
      <w:r>
        <w:br w:type="page"/>
      </w:r>
    </w:p>
    <w:p>
      <w:pPr>
        <w:ind w:firstLine="360" w:firstLineChars="150"/>
      </w:pPr>
    </w:p>
    <w:p>
      <w:pPr>
        <w:pStyle w:val="2"/>
        <w:rPr>
          <w:b w:val="0"/>
          <w:sz w:val="28"/>
        </w:rPr>
      </w:pPr>
      <w:bookmarkStart w:id="3" w:name="_Toc22839552"/>
      <w:r>
        <w:rPr>
          <w:rFonts w:hint="eastAsia"/>
          <w:sz w:val="28"/>
          <w:szCs w:val="28"/>
        </w:rPr>
        <w:t>二、</w:t>
      </w:r>
      <w:r>
        <w:rPr>
          <w:rFonts w:hint="eastAsia" w:eastAsia="宋体"/>
          <w:sz w:val="28"/>
        </w:rPr>
        <w:t>进修申请</w:t>
      </w:r>
      <w:r>
        <w:rPr>
          <w:rFonts w:hint="eastAsia"/>
          <w:sz w:val="28"/>
        </w:rPr>
        <w:t>结果查询</w:t>
      </w:r>
      <w:bookmarkEnd w:id="3"/>
    </w:p>
    <w:p>
      <w:pPr>
        <w:pStyle w:val="16"/>
        <w:numPr>
          <w:ilvl w:val="0"/>
          <w:numId w:val="3"/>
        </w:numPr>
        <w:ind w:firstLineChars="0"/>
        <w:outlineLvl w:val="1"/>
      </w:pPr>
      <w:bookmarkStart w:id="4" w:name="_Toc22839553"/>
      <w:r>
        <w:rPr>
          <w:rFonts w:hint="eastAsia"/>
        </w:rPr>
        <w:t>审核流程</w:t>
      </w:r>
      <w:bookmarkEnd w:id="4"/>
    </w:p>
    <w:p>
      <w:pPr>
        <w:pStyle w:val="16"/>
        <w:ind w:left="360" w:firstLine="0" w:firstLineChars="0"/>
        <w:rPr>
          <w:rFonts w:eastAsia="宋体"/>
        </w:rPr>
      </w:pPr>
      <w:r>
        <w:rPr>
          <w:rFonts w:hint="eastAsia"/>
        </w:rPr>
        <w:t>提交</w:t>
      </w:r>
      <w:r>
        <w:rPr>
          <w:rFonts w:hint="eastAsia" w:eastAsia="宋体"/>
        </w:rPr>
        <w:t>申请</w:t>
      </w:r>
      <w:r>
        <w:rPr>
          <w:rFonts w:hint="eastAsia"/>
        </w:rPr>
        <w:t>后，</w:t>
      </w:r>
      <w:r>
        <w:rPr>
          <w:rFonts w:hint="eastAsia" w:eastAsia="宋体"/>
        </w:rPr>
        <w:t>我</w:t>
      </w:r>
      <w:r>
        <w:rPr>
          <w:rFonts w:hint="eastAsia"/>
        </w:rPr>
        <w:t>院继教科</w:t>
      </w:r>
      <w:r>
        <w:rPr>
          <w:rFonts w:hint="eastAsia" w:eastAsia="宋体"/>
        </w:rPr>
        <w:t>、护理部及相关</w:t>
      </w:r>
      <w:r>
        <w:rPr>
          <w:rFonts w:hint="eastAsia"/>
        </w:rPr>
        <w:t>进修科室对</w:t>
      </w:r>
      <w:r>
        <w:rPr>
          <w:rFonts w:hint="eastAsia" w:eastAsia="宋体"/>
        </w:rPr>
        <w:t>进修申请</w:t>
      </w:r>
      <w:r>
        <w:rPr>
          <w:rFonts w:hint="eastAsia"/>
        </w:rPr>
        <w:t>资料进行审核</w:t>
      </w:r>
      <w:r>
        <w:rPr>
          <w:rFonts w:hint="eastAsia" w:eastAsia="宋体"/>
        </w:rPr>
        <w:t>。</w:t>
      </w:r>
    </w:p>
    <w:p>
      <w:pPr>
        <w:pStyle w:val="16"/>
        <w:numPr>
          <w:ilvl w:val="0"/>
          <w:numId w:val="3"/>
        </w:numPr>
        <w:ind w:firstLineChars="0"/>
        <w:outlineLvl w:val="1"/>
      </w:pPr>
      <w:bookmarkStart w:id="5" w:name="_Toc22839554"/>
      <w:r>
        <w:rPr>
          <w:rFonts w:hint="eastAsia" w:eastAsia="宋体"/>
        </w:rPr>
        <w:t>登录“逸仙医学教育”平台，</w:t>
      </w:r>
      <w:r>
        <w:rPr>
          <w:rFonts w:hint="eastAsia"/>
        </w:rPr>
        <w:t>查看审核结果</w:t>
      </w:r>
      <w:bookmarkEnd w:id="5"/>
    </w:p>
    <w:p>
      <w:pPr>
        <w:pStyle w:val="16"/>
        <w:ind w:left="360" w:firstLine="0" w:firstLineChars="0"/>
      </w:pPr>
      <w:r>
        <w:rPr>
          <w:rFonts w:eastAsia="宋体"/>
        </w:rPr>
        <w:drawing>
          <wp:inline distT="0" distB="0" distL="0" distR="0">
            <wp:extent cx="4784725" cy="1096010"/>
            <wp:effectExtent l="0" t="0" r="0" b="8890"/>
            <wp:docPr id="3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785013" cy="10965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6"/>
        <w:ind w:left="360" w:firstLine="0" w:firstLineChars="0"/>
      </w:pPr>
      <w:r>
        <w:drawing>
          <wp:inline distT="0" distB="0" distL="0" distR="0">
            <wp:extent cx="5270500" cy="1546860"/>
            <wp:effectExtent l="0" t="0" r="6350" b="0"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3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15469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电脑浏览器输入</w:t>
      </w:r>
      <w:r>
        <w:rPr>
          <w:rFonts w:hint="eastAsia" w:eastAsia="宋体"/>
        </w:rPr>
        <w:t>网址：</w:t>
      </w:r>
      <w:r>
        <w:fldChar w:fldCharType="begin"/>
      </w:r>
      <w:r>
        <w:instrText xml:space="preserve"> HYPERLINK "http://sysyxjy.cn:8080" </w:instrText>
      </w:r>
      <w:r>
        <w:fldChar w:fldCharType="separate"/>
      </w:r>
      <w:r>
        <w:rPr>
          <w:rStyle w:val="15"/>
        </w:rPr>
        <w:t>http://sysyxjy.cn:8080</w:t>
      </w:r>
      <w:r>
        <w:rPr>
          <w:rStyle w:val="15"/>
        </w:rPr>
        <w:fldChar w:fldCharType="end"/>
      </w:r>
      <w:r>
        <w:rPr>
          <w:rFonts w:hint="eastAsia"/>
        </w:rPr>
        <w:t xml:space="preserve"> 登录，点击菜单：继教科 -&gt; 进修管理 </w:t>
      </w:r>
      <w:r>
        <w:t>–</w:t>
      </w:r>
      <w:r>
        <w:rPr>
          <w:rFonts w:hint="eastAsia"/>
        </w:rPr>
        <w:t>&gt; 招录 -&gt;进修申请，</w:t>
      </w:r>
      <w:r>
        <w:rPr>
          <w:rFonts w:hint="eastAsia" w:eastAsia="宋体"/>
        </w:rPr>
        <w:t>查看进修申请结果。</w:t>
      </w:r>
      <w:r>
        <w:rPr>
          <w:rFonts w:hint="eastAsia"/>
        </w:rPr>
        <w:t>如果</w:t>
      </w:r>
      <w:r>
        <w:rPr>
          <w:rFonts w:hint="eastAsia"/>
          <w:b/>
          <w:color w:val="FF0000"/>
        </w:rPr>
        <w:t>审核不通过</w:t>
      </w:r>
      <w:r>
        <w:rPr>
          <w:rFonts w:hint="eastAsia"/>
        </w:rPr>
        <w:t>，</w:t>
      </w:r>
      <w:r>
        <w:rPr>
          <w:rFonts w:hint="eastAsia" w:eastAsia="宋体"/>
        </w:rPr>
        <w:t>请</w:t>
      </w:r>
      <w:r>
        <w:rPr>
          <w:rFonts w:hint="eastAsia"/>
        </w:rPr>
        <w:t>根据提示重新</w:t>
      </w:r>
      <w:r>
        <w:rPr>
          <w:rFonts w:hint="eastAsia" w:eastAsia="宋体"/>
        </w:rPr>
        <w:t>编辑信息、编辑保存后重新上传更新版“进修生申请表”扫描件，再次</w:t>
      </w:r>
      <w:r>
        <w:rPr>
          <w:rFonts w:hint="eastAsia"/>
        </w:rPr>
        <w:t>提交申请，如下图。</w:t>
      </w:r>
    </w:p>
    <w:p>
      <w:pPr>
        <w:pStyle w:val="16"/>
        <w:ind w:left="360" w:firstLine="0" w:firstLineChars="0"/>
        <w:rPr>
          <w:sz w:val="28"/>
        </w:rPr>
      </w:pPr>
      <w:r>
        <w:drawing>
          <wp:inline distT="0" distB="0" distL="0" distR="0">
            <wp:extent cx="5270500" cy="2601595"/>
            <wp:effectExtent l="0" t="0" r="0" b="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26016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6"/>
        <w:numPr>
          <w:ilvl w:val="0"/>
          <w:numId w:val="3"/>
        </w:numPr>
        <w:ind w:firstLineChars="0"/>
        <w:outlineLvl w:val="1"/>
      </w:pPr>
      <w:bookmarkStart w:id="6" w:name="_Toc22839555"/>
      <w:r>
        <w:rPr>
          <w:rFonts w:hint="eastAsia" w:eastAsia="宋体"/>
        </w:rPr>
        <w:t>进修申请审核通过后，查看“</w:t>
      </w:r>
      <w:r>
        <w:rPr>
          <w:rFonts w:hint="eastAsia"/>
        </w:rPr>
        <w:t>报到通知书</w:t>
      </w:r>
      <w:r>
        <w:rPr>
          <w:rFonts w:hint="eastAsia" w:eastAsia="宋体"/>
        </w:rPr>
        <w:t>”</w:t>
      </w:r>
      <w:bookmarkEnd w:id="6"/>
    </w:p>
    <w:p>
      <w:pPr>
        <w:ind w:left="360"/>
        <w:rPr>
          <w:rFonts w:eastAsia="宋体"/>
          <w:sz w:val="28"/>
        </w:rPr>
      </w:pPr>
      <w:r>
        <w:rPr>
          <w:rFonts w:hint="eastAsia" w:eastAsia="宋体"/>
        </w:rPr>
        <w:t>“当前</w:t>
      </w:r>
      <w:r>
        <w:rPr>
          <w:rFonts w:hint="eastAsia"/>
        </w:rPr>
        <w:t>状态</w:t>
      </w:r>
      <w:r>
        <w:rPr>
          <w:rFonts w:hint="eastAsia" w:eastAsia="宋体"/>
        </w:rPr>
        <w:t>”显示</w:t>
      </w:r>
      <w:r>
        <w:rPr>
          <w:rFonts w:hint="eastAsia"/>
        </w:rPr>
        <w:t>“拟录取”，表示</w:t>
      </w:r>
      <w:r>
        <w:rPr>
          <w:rFonts w:hint="eastAsia" w:eastAsia="宋体"/>
        </w:rPr>
        <w:t>进修</w:t>
      </w:r>
      <w:r>
        <w:rPr>
          <w:rFonts w:hint="eastAsia"/>
        </w:rPr>
        <w:t>申请审核流程完成，</w:t>
      </w:r>
      <w:r>
        <w:rPr>
          <w:rFonts w:hint="eastAsia" w:eastAsia="宋体"/>
        </w:rPr>
        <w:t>即</w:t>
      </w:r>
      <w:r>
        <w:rPr>
          <w:rFonts w:hint="eastAsia"/>
        </w:rPr>
        <w:t>可</w:t>
      </w:r>
      <w:r>
        <w:rPr>
          <w:rFonts w:hint="eastAsia" w:eastAsia="宋体"/>
        </w:rPr>
        <w:t>点击</w:t>
      </w:r>
      <w:r>
        <w:rPr>
          <w:rFonts w:hint="eastAsia"/>
        </w:rPr>
        <w:t>下载</w:t>
      </w:r>
      <w:r>
        <w:rPr>
          <w:rFonts w:hint="eastAsia" w:eastAsia="宋体"/>
        </w:rPr>
        <w:t>和“</w:t>
      </w:r>
      <w:r>
        <w:rPr>
          <w:rFonts w:hint="eastAsia"/>
        </w:rPr>
        <w:t>报到指引</w:t>
      </w:r>
      <w:r>
        <w:rPr>
          <w:rFonts w:hint="eastAsia" w:eastAsia="宋体"/>
        </w:rPr>
        <w:t>”，按要求报到。</w:t>
      </w:r>
    </w:p>
    <w:p>
      <w:pPr>
        <w:ind w:left="360"/>
        <w:jc w:val="center"/>
        <w:rPr>
          <w:sz w:val="28"/>
        </w:rPr>
      </w:pPr>
      <w:r>
        <w:drawing>
          <wp:inline distT="0" distB="0" distL="0" distR="0">
            <wp:extent cx="5270500" cy="1687195"/>
            <wp:effectExtent l="0" t="0" r="6350" b="8255"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4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16872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left="360"/>
        <w:jc w:val="center"/>
        <w:rPr>
          <w:sz w:val="28"/>
        </w:rPr>
      </w:pPr>
    </w:p>
    <w:sectPr>
      <w:pgSz w:w="11900" w:h="16840"/>
      <w:pgMar w:top="1440" w:right="1800" w:bottom="1440" w:left="1800" w:header="851" w:footer="992" w:gutter="0"/>
      <w:cols w:space="425" w:num="1"/>
      <w:docGrid w:type="lines" w:linePitch="423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DengXian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DengXian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ngXian Ligh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3F3074"/>
    <w:multiLevelType w:val="multilevel"/>
    <w:tmpl w:val="213F3074"/>
    <w:lvl w:ilvl="0" w:tentative="0">
      <w:start w:val="1"/>
      <w:numFmt w:val="decimal"/>
      <w:lvlText w:val="%1、"/>
      <w:lvlJc w:val="left"/>
      <w:pPr>
        <w:ind w:left="720" w:hanging="7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960" w:hanging="480"/>
      </w:pPr>
    </w:lvl>
    <w:lvl w:ilvl="2" w:tentative="0">
      <w:start w:val="1"/>
      <w:numFmt w:val="lowerRoman"/>
      <w:lvlText w:val="%3."/>
      <w:lvlJc w:val="right"/>
      <w:pPr>
        <w:ind w:left="1440" w:hanging="480"/>
      </w:pPr>
    </w:lvl>
    <w:lvl w:ilvl="3" w:tentative="0">
      <w:start w:val="1"/>
      <w:numFmt w:val="decimal"/>
      <w:lvlText w:val="%4."/>
      <w:lvlJc w:val="left"/>
      <w:pPr>
        <w:ind w:left="1920" w:hanging="480"/>
      </w:pPr>
    </w:lvl>
    <w:lvl w:ilvl="4" w:tentative="0">
      <w:start w:val="1"/>
      <w:numFmt w:val="lowerLetter"/>
      <w:lvlText w:val="%5)"/>
      <w:lvlJc w:val="left"/>
      <w:pPr>
        <w:ind w:left="2400" w:hanging="480"/>
      </w:pPr>
    </w:lvl>
    <w:lvl w:ilvl="5" w:tentative="0">
      <w:start w:val="1"/>
      <w:numFmt w:val="lowerRoman"/>
      <w:lvlText w:val="%6."/>
      <w:lvlJc w:val="right"/>
      <w:pPr>
        <w:ind w:left="2880" w:hanging="480"/>
      </w:pPr>
    </w:lvl>
    <w:lvl w:ilvl="6" w:tentative="0">
      <w:start w:val="1"/>
      <w:numFmt w:val="decimal"/>
      <w:lvlText w:val="%7."/>
      <w:lvlJc w:val="left"/>
      <w:pPr>
        <w:ind w:left="3360" w:hanging="480"/>
      </w:pPr>
    </w:lvl>
    <w:lvl w:ilvl="7" w:tentative="0">
      <w:start w:val="1"/>
      <w:numFmt w:val="lowerLetter"/>
      <w:lvlText w:val="%8)"/>
      <w:lvlJc w:val="left"/>
      <w:pPr>
        <w:ind w:left="3840" w:hanging="480"/>
      </w:pPr>
    </w:lvl>
    <w:lvl w:ilvl="8" w:tentative="0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24895FFF"/>
    <w:multiLevelType w:val="multilevel"/>
    <w:tmpl w:val="24895FFF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960" w:hanging="480"/>
      </w:pPr>
    </w:lvl>
    <w:lvl w:ilvl="2" w:tentative="0">
      <w:start w:val="1"/>
      <w:numFmt w:val="lowerRoman"/>
      <w:lvlText w:val="%3."/>
      <w:lvlJc w:val="right"/>
      <w:pPr>
        <w:ind w:left="1440" w:hanging="480"/>
      </w:pPr>
    </w:lvl>
    <w:lvl w:ilvl="3" w:tentative="0">
      <w:start w:val="1"/>
      <w:numFmt w:val="decimal"/>
      <w:lvlText w:val="%4."/>
      <w:lvlJc w:val="left"/>
      <w:pPr>
        <w:ind w:left="1920" w:hanging="480"/>
      </w:pPr>
    </w:lvl>
    <w:lvl w:ilvl="4" w:tentative="0">
      <w:start w:val="1"/>
      <w:numFmt w:val="lowerLetter"/>
      <w:lvlText w:val="%5)"/>
      <w:lvlJc w:val="left"/>
      <w:pPr>
        <w:ind w:left="2400" w:hanging="480"/>
      </w:pPr>
    </w:lvl>
    <w:lvl w:ilvl="5" w:tentative="0">
      <w:start w:val="1"/>
      <w:numFmt w:val="lowerRoman"/>
      <w:lvlText w:val="%6."/>
      <w:lvlJc w:val="right"/>
      <w:pPr>
        <w:ind w:left="2880" w:hanging="480"/>
      </w:pPr>
    </w:lvl>
    <w:lvl w:ilvl="6" w:tentative="0">
      <w:start w:val="1"/>
      <w:numFmt w:val="decimal"/>
      <w:lvlText w:val="%7."/>
      <w:lvlJc w:val="left"/>
      <w:pPr>
        <w:ind w:left="3360" w:hanging="480"/>
      </w:pPr>
    </w:lvl>
    <w:lvl w:ilvl="7" w:tentative="0">
      <w:start w:val="1"/>
      <w:numFmt w:val="lowerLetter"/>
      <w:lvlText w:val="%8)"/>
      <w:lvlJc w:val="left"/>
      <w:pPr>
        <w:ind w:left="3840" w:hanging="480"/>
      </w:pPr>
    </w:lvl>
    <w:lvl w:ilvl="8" w:tentative="0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571763B8"/>
    <w:multiLevelType w:val="multilevel"/>
    <w:tmpl w:val="571763B8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960" w:hanging="480"/>
      </w:pPr>
    </w:lvl>
    <w:lvl w:ilvl="2" w:tentative="0">
      <w:start w:val="1"/>
      <w:numFmt w:val="lowerRoman"/>
      <w:lvlText w:val="%3."/>
      <w:lvlJc w:val="right"/>
      <w:pPr>
        <w:ind w:left="1440" w:hanging="480"/>
      </w:pPr>
    </w:lvl>
    <w:lvl w:ilvl="3" w:tentative="0">
      <w:start w:val="1"/>
      <w:numFmt w:val="decimal"/>
      <w:lvlText w:val="%4."/>
      <w:lvlJc w:val="left"/>
      <w:pPr>
        <w:ind w:left="1920" w:hanging="480"/>
      </w:pPr>
    </w:lvl>
    <w:lvl w:ilvl="4" w:tentative="0">
      <w:start w:val="1"/>
      <w:numFmt w:val="lowerLetter"/>
      <w:lvlText w:val="%5)"/>
      <w:lvlJc w:val="left"/>
      <w:pPr>
        <w:ind w:left="2400" w:hanging="480"/>
      </w:pPr>
    </w:lvl>
    <w:lvl w:ilvl="5" w:tentative="0">
      <w:start w:val="1"/>
      <w:numFmt w:val="lowerRoman"/>
      <w:lvlText w:val="%6."/>
      <w:lvlJc w:val="right"/>
      <w:pPr>
        <w:ind w:left="2880" w:hanging="480"/>
      </w:pPr>
    </w:lvl>
    <w:lvl w:ilvl="6" w:tentative="0">
      <w:start w:val="1"/>
      <w:numFmt w:val="decimal"/>
      <w:lvlText w:val="%7."/>
      <w:lvlJc w:val="left"/>
      <w:pPr>
        <w:ind w:left="3360" w:hanging="480"/>
      </w:pPr>
    </w:lvl>
    <w:lvl w:ilvl="7" w:tentative="0">
      <w:start w:val="1"/>
      <w:numFmt w:val="lowerLetter"/>
      <w:lvlText w:val="%8)"/>
      <w:lvlJc w:val="left"/>
      <w:pPr>
        <w:ind w:left="3840" w:hanging="480"/>
      </w:pPr>
    </w:lvl>
    <w:lvl w:ilvl="8" w:tentative="0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20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B4C49"/>
    <w:rsid w:val="00003C3A"/>
    <w:rsid w:val="000111AD"/>
    <w:rsid w:val="00035504"/>
    <w:rsid w:val="000610FE"/>
    <w:rsid w:val="001460FC"/>
    <w:rsid w:val="00154B08"/>
    <w:rsid w:val="0018338F"/>
    <w:rsid w:val="00183391"/>
    <w:rsid w:val="0018713E"/>
    <w:rsid w:val="001B4074"/>
    <w:rsid w:val="002159FF"/>
    <w:rsid w:val="00264F1D"/>
    <w:rsid w:val="00271E46"/>
    <w:rsid w:val="002D27DE"/>
    <w:rsid w:val="002E5223"/>
    <w:rsid w:val="002F37E6"/>
    <w:rsid w:val="00311FB0"/>
    <w:rsid w:val="00336F3E"/>
    <w:rsid w:val="003739F3"/>
    <w:rsid w:val="00380FBB"/>
    <w:rsid w:val="0038129F"/>
    <w:rsid w:val="003B3658"/>
    <w:rsid w:val="00476873"/>
    <w:rsid w:val="004A255B"/>
    <w:rsid w:val="004E2092"/>
    <w:rsid w:val="004F3E3E"/>
    <w:rsid w:val="00594CA9"/>
    <w:rsid w:val="005A40A4"/>
    <w:rsid w:val="005A6FE1"/>
    <w:rsid w:val="005A7771"/>
    <w:rsid w:val="005C539A"/>
    <w:rsid w:val="005C75B8"/>
    <w:rsid w:val="005D0C4A"/>
    <w:rsid w:val="005E1F62"/>
    <w:rsid w:val="006274D4"/>
    <w:rsid w:val="00644600"/>
    <w:rsid w:val="0067195E"/>
    <w:rsid w:val="00677B4C"/>
    <w:rsid w:val="00696C14"/>
    <w:rsid w:val="006E208D"/>
    <w:rsid w:val="006E2415"/>
    <w:rsid w:val="006F0B4F"/>
    <w:rsid w:val="007031D9"/>
    <w:rsid w:val="00712661"/>
    <w:rsid w:val="007200DE"/>
    <w:rsid w:val="00723BA7"/>
    <w:rsid w:val="0073270A"/>
    <w:rsid w:val="00755B0C"/>
    <w:rsid w:val="007643E8"/>
    <w:rsid w:val="007668C9"/>
    <w:rsid w:val="00771D4E"/>
    <w:rsid w:val="00787112"/>
    <w:rsid w:val="007D3E12"/>
    <w:rsid w:val="007F6677"/>
    <w:rsid w:val="00830F3F"/>
    <w:rsid w:val="00847DBC"/>
    <w:rsid w:val="00875D99"/>
    <w:rsid w:val="008809E8"/>
    <w:rsid w:val="008D1864"/>
    <w:rsid w:val="008E7C4A"/>
    <w:rsid w:val="008F0165"/>
    <w:rsid w:val="008F37D4"/>
    <w:rsid w:val="009353FD"/>
    <w:rsid w:val="00945C04"/>
    <w:rsid w:val="00A158C2"/>
    <w:rsid w:val="00A3025C"/>
    <w:rsid w:val="00A36356"/>
    <w:rsid w:val="00A37718"/>
    <w:rsid w:val="00A472D4"/>
    <w:rsid w:val="00A730F4"/>
    <w:rsid w:val="00A817E4"/>
    <w:rsid w:val="00AC7ACD"/>
    <w:rsid w:val="00AE5833"/>
    <w:rsid w:val="00B164D9"/>
    <w:rsid w:val="00B30A6C"/>
    <w:rsid w:val="00BA1EBF"/>
    <w:rsid w:val="00BB22E5"/>
    <w:rsid w:val="00BC6750"/>
    <w:rsid w:val="00BE1961"/>
    <w:rsid w:val="00C16C68"/>
    <w:rsid w:val="00C20455"/>
    <w:rsid w:val="00C35F27"/>
    <w:rsid w:val="00C5429C"/>
    <w:rsid w:val="00C54B36"/>
    <w:rsid w:val="00C77236"/>
    <w:rsid w:val="00CA14B3"/>
    <w:rsid w:val="00CA252F"/>
    <w:rsid w:val="00CB2A12"/>
    <w:rsid w:val="00CB4C49"/>
    <w:rsid w:val="00CE5544"/>
    <w:rsid w:val="00CF28F6"/>
    <w:rsid w:val="00D535AA"/>
    <w:rsid w:val="00D70687"/>
    <w:rsid w:val="00D75124"/>
    <w:rsid w:val="00D7734C"/>
    <w:rsid w:val="00D8644C"/>
    <w:rsid w:val="00E25DC7"/>
    <w:rsid w:val="00E45464"/>
    <w:rsid w:val="00E45AE2"/>
    <w:rsid w:val="00F02B7F"/>
    <w:rsid w:val="00F6594D"/>
    <w:rsid w:val="00F820A7"/>
    <w:rsid w:val="00F8625D"/>
    <w:rsid w:val="00FB0561"/>
    <w:rsid w:val="00FB0D47"/>
    <w:rsid w:val="00FC7BCD"/>
    <w:rsid w:val="00FE4AA8"/>
    <w:rsid w:val="27C50EA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23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24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13">
    <w:name w:val="Default Paragraph Font"/>
    <w:semiHidden/>
    <w:unhideWhenUsed/>
    <w:uiPriority w:val="1"/>
  </w:style>
  <w:style w:type="table" w:default="1" w:styleId="1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toc 3"/>
    <w:basedOn w:val="1"/>
    <w:next w:val="1"/>
    <w:semiHidden/>
    <w:unhideWhenUsed/>
    <w:qFormat/>
    <w:uiPriority w:val="39"/>
    <w:pPr>
      <w:widowControl/>
      <w:spacing w:after="100" w:line="276" w:lineRule="auto"/>
      <w:ind w:left="440"/>
      <w:jc w:val="left"/>
    </w:pPr>
    <w:rPr>
      <w:kern w:val="0"/>
      <w:sz w:val="22"/>
      <w:szCs w:val="22"/>
    </w:rPr>
  </w:style>
  <w:style w:type="paragraph" w:styleId="6">
    <w:name w:val="Balloon Text"/>
    <w:basedOn w:val="1"/>
    <w:link w:val="21"/>
    <w:semiHidden/>
    <w:unhideWhenUsed/>
    <w:uiPriority w:val="99"/>
    <w:rPr>
      <w:sz w:val="18"/>
      <w:szCs w:val="18"/>
    </w:rPr>
  </w:style>
  <w:style w:type="paragraph" w:styleId="7">
    <w:name w:val="footer"/>
    <w:basedOn w:val="1"/>
    <w:link w:val="2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toc 1"/>
    <w:basedOn w:val="1"/>
    <w:next w:val="1"/>
    <w:unhideWhenUsed/>
    <w:qFormat/>
    <w:uiPriority w:val="39"/>
    <w:pPr>
      <w:widowControl/>
      <w:spacing w:after="100" w:line="276" w:lineRule="auto"/>
      <w:jc w:val="left"/>
    </w:pPr>
    <w:rPr>
      <w:kern w:val="0"/>
      <w:sz w:val="22"/>
      <w:szCs w:val="22"/>
    </w:rPr>
  </w:style>
  <w:style w:type="paragraph" w:styleId="10">
    <w:name w:val="Subtitle"/>
    <w:basedOn w:val="1"/>
    <w:next w:val="1"/>
    <w:link w:val="18"/>
    <w:qFormat/>
    <w:uiPriority w:val="11"/>
    <w:pPr>
      <w:spacing w:before="240" w:after="60" w:line="312" w:lineRule="auto"/>
      <w:jc w:val="center"/>
      <w:outlineLvl w:val="1"/>
    </w:pPr>
    <w:rPr>
      <w:rFonts w:eastAsia="宋体" w:asciiTheme="majorHAnsi" w:hAnsiTheme="majorHAnsi" w:cstheme="majorBidi"/>
      <w:b/>
      <w:bCs/>
      <w:kern w:val="28"/>
      <w:sz w:val="32"/>
      <w:szCs w:val="32"/>
    </w:rPr>
  </w:style>
  <w:style w:type="paragraph" w:styleId="11">
    <w:name w:val="toc 2"/>
    <w:basedOn w:val="1"/>
    <w:next w:val="1"/>
    <w:unhideWhenUsed/>
    <w:qFormat/>
    <w:uiPriority w:val="39"/>
    <w:pPr>
      <w:widowControl/>
      <w:spacing w:after="100" w:line="276" w:lineRule="auto"/>
      <w:ind w:left="220"/>
      <w:jc w:val="left"/>
    </w:pPr>
    <w:rPr>
      <w:kern w:val="0"/>
      <w:sz w:val="22"/>
      <w:szCs w:val="22"/>
    </w:rPr>
  </w:style>
  <w:style w:type="character" w:styleId="14">
    <w:name w:val="FollowedHyperlink"/>
    <w:basedOn w:val="13"/>
    <w:semiHidden/>
    <w:unhideWhenUsed/>
    <w:uiPriority w:val="99"/>
    <w:rPr>
      <w:color w:val="954F72" w:themeColor="followedHyperlink"/>
      <w:u w:val="single"/>
    </w:rPr>
  </w:style>
  <w:style w:type="character" w:styleId="15">
    <w:name w:val="Hyperlink"/>
    <w:basedOn w:val="13"/>
    <w:unhideWhenUsed/>
    <w:uiPriority w:val="99"/>
    <w:rPr>
      <w:color w:val="0563C1" w:themeColor="hyperlink"/>
      <w:u w:val="single"/>
    </w:rPr>
  </w:style>
  <w:style w:type="paragraph" w:styleId="16">
    <w:name w:val="List Paragraph"/>
    <w:basedOn w:val="1"/>
    <w:qFormat/>
    <w:uiPriority w:val="34"/>
    <w:pPr>
      <w:ind w:firstLine="420" w:firstLineChars="200"/>
    </w:pPr>
  </w:style>
  <w:style w:type="character" w:customStyle="1" w:styleId="17">
    <w:name w:val="标题 1 Char"/>
    <w:basedOn w:val="13"/>
    <w:link w:val="2"/>
    <w:uiPriority w:val="9"/>
    <w:rPr>
      <w:b/>
      <w:bCs/>
      <w:kern w:val="44"/>
      <w:sz w:val="44"/>
      <w:szCs w:val="44"/>
    </w:rPr>
  </w:style>
  <w:style w:type="character" w:customStyle="1" w:styleId="18">
    <w:name w:val="副标题 Char"/>
    <w:basedOn w:val="13"/>
    <w:link w:val="10"/>
    <w:uiPriority w:val="11"/>
    <w:rPr>
      <w:rFonts w:eastAsia="宋体" w:asciiTheme="majorHAnsi" w:hAnsiTheme="majorHAnsi" w:cstheme="majorBidi"/>
      <w:b/>
      <w:bCs/>
      <w:kern w:val="28"/>
      <w:sz w:val="32"/>
      <w:szCs w:val="32"/>
    </w:rPr>
  </w:style>
  <w:style w:type="character" w:customStyle="1" w:styleId="19">
    <w:name w:val="页眉 Char"/>
    <w:basedOn w:val="13"/>
    <w:link w:val="8"/>
    <w:uiPriority w:val="99"/>
    <w:rPr>
      <w:sz w:val="18"/>
      <w:szCs w:val="18"/>
    </w:rPr>
  </w:style>
  <w:style w:type="character" w:customStyle="1" w:styleId="20">
    <w:name w:val="页脚 Char"/>
    <w:basedOn w:val="13"/>
    <w:link w:val="7"/>
    <w:uiPriority w:val="99"/>
    <w:rPr>
      <w:sz w:val="18"/>
      <w:szCs w:val="18"/>
    </w:rPr>
  </w:style>
  <w:style w:type="character" w:customStyle="1" w:styleId="21">
    <w:name w:val="批注框文本 Char"/>
    <w:basedOn w:val="13"/>
    <w:link w:val="6"/>
    <w:semiHidden/>
    <w:uiPriority w:val="99"/>
    <w:rPr>
      <w:sz w:val="18"/>
      <w:szCs w:val="18"/>
    </w:rPr>
  </w:style>
  <w:style w:type="paragraph" w:customStyle="1" w:styleId="22">
    <w:name w:val="TOC Heading"/>
    <w:basedOn w:val="2"/>
    <w:next w:val="1"/>
    <w:semiHidden/>
    <w:unhideWhenUsed/>
    <w:qFormat/>
    <w:uiPriority w:val="39"/>
    <w:pPr>
      <w:widowControl/>
      <w:spacing w:before="480" w:after="0" w:line="276" w:lineRule="auto"/>
      <w:jc w:val="left"/>
      <w:outlineLvl w:val="9"/>
    </w:pPr>
    <w:rPr>
      <w:rFonts w:asciiTheme="majorHAnsi" w:hAnsiTheme="majorHAnsi" w:eastAsiaTheme="majorEastAsia" w:cstheme="majorBidi"/>
      <w:color w:val="2E75B5" w:themeColor="accent1" w:themeShade="BF"/>
      <w:kern w:val="0"/>
      <w:sz w:val="28"/>
      <w:szCs w:val="28"/>
    </w:rPr>
  </w:style>
  <w:style w:type="character" w:customStyle="1" w:styleId="23">
    <w:name w:val="标题 2 Char"/>
    <w:basedOn w:val="13"/>
    <w:link w:val="3"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24">
    <w:name w:val="标题 3 Char"/>
    <w:basedOn w:val="13"/>
    <w:link w:val="4"/>
    <w:uiPriority w:val="9"/>
    <w:rPr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7" Type="http://schemas.openxmlformats.org/officeDocument/2006/relationships/fontTable" Target="fontTable.xml"/><Relationship Id="rId26" Type="http://schemas.openxmlformats.org/officeDocument/2006/relationships/customXml" Target="../customXml/item2.xml"/><Relationship Id="rId25" Type="http://schemas.openxmlformats.org/officeDocument/2006/relationships/numbering" Target="numbering.xml"/><Relationship Id="rId24" Type="http://schemas.openxmlformats.org/officeDocument/2006/relationships/customXml" Target="../customXml/item1.xml"/><Relationship Id="rId23" Type="http://schemas.openxmlformats.org/officeDocument/2006/relationships/image" Target="media/image20.png"/><Relationship Id="rId22" Type="http://schemas.openxmlformats.org/officeDocument/2006/relationships/image" Target="media/image19.png"/><Relationship Id="rId21" Type="http://schemas.openxmlformats.org/officeDocument/2006/relationships/image" Target="media/image18.png"/><Relationship Id="rId20" Type="http://schemas.openxmlformats.org/officeDocument/2006/relationships/image" Target="media/image17.png"/><Relationship Id="rId2" Type="http://schemas.openxmlformats.org/officeDocument/2006/relationships/settings" Target="settings.xml"/><Relationship Id="rId19" Type="http://schemas.openxmlformats.org/officeDocument/2006/relationships/image" Target="media/image16.png"/><Relationship Id="rId18" Type="http://schemas.openxmlformats.org/officeDocument/2006/relationships/image" Target="media/image15.png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DengXian Light"/>
        <a:ea typeface="黑体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DengXian"/>
        <a:ea typeface="宋体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6481AAC-F752-41FE-AE94-99377D9A185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KOLA</Company>
  <Pages>11</Pages>
  <Words>251</Words>
  <Characters>1435</Characters>
  <Lines>11</Lines>
  <Paragraphs>3</Paragraphs>
  <TotalTime>1284</TotalTime>
  <ScaleCrop>false</ScaleCrop>
  <LinksUpToDate>false</LinksUpToDate>
  <CharactersWithSpaces>1683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2018-05-23T07:37:00Z</dcterms:created>
  <dc:creator>lirongxiong</dc:creator>
  <cp:lastModifiedBy>胜</cp:lastModifiedBy>
  <cp:lastPrinted>2019-10-17T01:40:00Z</cp:lastPrinted>
  <dcterms:modified xsi:type="dcterms:W3CDTF">2020-04-10T08:28:02Z</dcterms:modified>
  <cp:revision>83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