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auto"/>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lang w:val="en-US" w:eastAsia="zh-CN"/>
        </w:rPr>
      </w:pPr>
    </w:p>
    <w:p w14:paraId="75ED932D">
      <w:pPr>
        <w:pStyle w:val="32"/>
        <w:rPr>
          <w:rFonts w:hint="eastAsia"/>
          <w:color w:val="auto"/>
          <w:highlight w:val="none"/>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rPr>
      </w:pPr>
      <w:r>
        <w:rPr>
          <w:rFonts w:hint="eastAsia" w:ascii="微软雅黑" w:hAnsi="微软雅黑" w:eastAsia="微软雅黑" w:cs="微软雅黑"/>
          <w:b/>
          <w:bCs/>
          <w:color w:val="auto"/>
          <w:spacing w:val="-30"/>
          <w:sz w:val="72"/>
          <w:szCs w:val="72"/>
          <w:highlight w:val="none"/>
          <w:lang w:val="en-US" w:eastAsia="zh-CN"/>
        </w:rPr>
        <w:t>公开比选</w:t>
      </w:r>
      <w:r>
        <w:rPr>
          <w:rFonts w:hint="eastAsia" w:ascii="微软雅黑" w:hAnsi="微软雅黑" w:eastAsia="微软雅黑" w:cs="微软雅黑"/>
          <w:b/>
          <w:bCs/>
          <w:color w:val="auto"/>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auto"/>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auto"/>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auto"/>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color w:val="auto"/>
          <w:sz w:val="28"/>
          <w:szCs w:val="28"/>
          <w:highlight w:val="none"/>
          <w:u w:val="single"/>
          <w:lang w:val="en-US" w:eastAsia="zh-CN"/>
        </w:rPr>
      </w:pPr>
      <w:r>
        <w:rPr>
          <w:rFonts w:hint="eastAsia" w:ascii="方正仿宋简体" w:hAnsi="方正仿宋简体" w:eastAsia="方正仿宋简体" w:cs="方正仿宋简体"/>
          <w:b/>
          <w:bCs/>
          <w:color w:val="auto"/>
          <w:sz w:val="28"/>
          <w:szCs w:val="28"/>
          <w:highlight w:val="none"/>
        </w:rPr>
        <w:t>项目编号：</w:t>
      </w:r>
      <w:r>
        <w:rPr>
          <w:rFonts w:hint="eastAsia" w:ascii="方正仿宋简体" w:hAnsi="方正仿宋简体" w:eastAsia="方正仿宋简体" w:cs="方正仿宋简体"/>
          <w:b/>
          <w:bCs/>
          <w:color w:val="auto"/>
          <w:sz w:val="28"/>
          <w:szCs w:val="28"/>
          <w:highlight w:val="none"/>
          <w:lang w:val="en-US" w:eastAsia="zh-CN"/>
        </w:rPr>
        <w:t>ZCB-2025067</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color w:val="auto"/>
          <w:sz w:val="28"/>
          <w:szCs w:val="28"/>
          <w:highlight w:val="none"/>
        </w:rPr>
      </w:pPr>
      <w:r>
        <w:rPr>
          <w:rFonts w:hint="eastAsia" w:ascii="方正仿宋简体" w:hAnsi="方正仿宋简体" w:eastAsia="方正仿宋简体" w:cs="方正仿宋简体"/>
          <w:b/>
          <w:bCs/>
          <w:color w:val="auto"/>
          <w:sz w:val="28"/>
          <w:szCs w:val="28"/>
          <w:highlight w:val="none"/>
        </w:rPr>
        <w:t>项目名称：</w:t>
      </w:r>
      <w:r>
        <w:rPr>
          <w:rFonts w:hint="eastAsia" w:ascii="方正仿宋简体" w:hAnsi="方正仿宋简体" w:eastAsia="方正仿宋简体" w:cs="方正仿宋简体"/>
          <w:b/>
          <w:bCs/>
          <w:color w:val="auto"/>
          <w:sz w:val="28"/>
          <w:szCs w:val="28"/>
          <w:highlight w:val="none"/>
          <w:u w:val="single"/>
        </w:rPr>
        <w:t>中山大学孙逸仙纪念医院</w:t>
      </w:r>
    </w:p>
    <w:p w14:paraId="0BB7F0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auto"/>
          <w:sz w:val="28"/>
          <w:szCs w:val="28"/>
          <w:highlight w:val="none"/>
          <w:u w:val="single"/>
          <w:lang w:val="en-US" w:eastAsia="zh-CN"/>
        </w:rPr>
      </w:pPr>
      <w:r>
        <w:rPr>
          <w:rFonts w:hint="eastAsia" w:ascii="方正仿宋简体" w:hAnsi="方正仿宋简体" w:eastAsia="方正仿宋简体" w:cs="方正仿宋简体"/>
          <w:b/>
          <w:bCs/>
          <w:color w:val="auto"/>
          <w:sz w:val="28"/>
          <w:szCs w:val="28"/>
          <w:highlight w:val="none"/>
          <w:u w:val="none"/>
          <w:lang w:val="en-US" w:eastAsia="zh-CN"/>
        </w:rPr>
        <w:t xml:space="preserve"> </w:t>
      </w:r>
      <w:r>
        <w:rPr>
          <w:rFonts w:hint="eastAsia" w:ascii="方正仿宋简体" w:hAnsi="方正仿宋简体" w:eastAsia="方正仿宋简体" w:cs="方正仿宋简体"/>
          <w:b/>
          <w:bCs/>
          <w:color w:val="auto"/>
          <w:sz w:val="28"/>
          <w:szCs w:val="28"/>
          <w:highlight w:val="none"/>
          <w:u w:val="single"/>
          <w:lang w:val="en-US" w:eastAsia="zh-CN"/>
        </w:rPr>
        <w:t>多组学测序揭示放射性脑病损伤机制的研究（空间组、单细胞转录组、蛋白质组和代谢组）检测分析技术服务采购项目</w:t>
      </w:r>
    </w:p>
    <w:p w14:paraId="456956A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2C67FB63">
      <w:pPr>
        <w:pStyle w:val="32"/>
        <w:rPr>
          <w:rFonts w:hint="eastAsia"/>
          <w:color w:val="auto"/>
          <w:highlight w:val="none"/>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5695D97">
      <w:pPr>
        <w:pStyle w:val="4"/>
        <w:rPr>
          <w:rFonts w:hint="eastAsia"/>
          <w:color w:val="auto"/>
          <w:highlight w:val="none"/>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5</w:t>
      </w:r>
      <w:bookmarkStart w:id="25" w:name="_GoBack"/>
      <w:bookmarkEnd w:id="25"/>
      <w:r>
        <w:rPr>
          <w:rFonts w:hint="eastAsia" w:ascii="仿宋" w:hAnsi="仿宋" w:eastAsia="仿宋" w:cs="仿宋"/>
          <w:b/>
          <w:bCs/>
          <w:color w:val="auto"/>
          <w:sz w:val="28"/>
          <w:szCs w:val="28"/>
          <w:highlight w:val="none"/>
          <w:lang w:val="en-US" w:eastAsia="zh-CN"/>
        </w:rPr>
        <w:t>日</w:t>
      </w:r>
    </w:p>
    <w:p w14:paraId="32DAB876">
      <w:pPr>
        <w:pStyle w:val="31"/>
        <w:rPr>
          <w:rFonts w:hint="eastAsia" w:ascii="宋体" w:hAnsi="宋体" w:cs="宋体"/>
          <w:b/>
          <w:bCs/>
          <w:color w:val="auto"/>
          <w:sz w:val="28"/>
          <w:szCs w:val="28"/>
          <w:highlight w:val="none"/>
        </w:rPr>
      </w:pPr>
    </w:p>
    <w:p w14:paraId="1B57B2C6">
      <w:pPr>
        <w:pStyle w:val="31"/>
        <w:rPr>
          <w:rFonts w:hint="eastAsia" w:ascii="宋体" w:hAnsi="宋体" w:cs="宋体"/>
          <w:b/>
          <w:bCs/>
          <w:color w:val="auto"/>
          <w:sz w:val="28"/>
          <w:szCs w:val="28"/>
          <w:highlight w:val="none"/>
        </w:rPr>
      </w:pPr>
    </w:p>
    <w:p w14:paraId="04DE7C7F">
      <w:pPr>
        <w:pStyle w:val="31"/>
        <w:rPr>
          <w:rFonts w:hint="eastAsia" w:ascii="宋体" w:hAnsi="宋体" w:cs="宋体"/>
          <w:b/>
          <w:bCs/>
          <w:color w:val="auto"/>
          <w:sz w:val="28"/>
          <w:szCs w:val="28"/>
          <w:highlight w:val="none"/>
        </w:rPr>
      </w:pPr>
    </w:p>
    <w:p w14:paraId="7E247553">
      <w:pPr>
        <w:pStyle w:val="31"/>
        <w:rPr>
          <w:rFonts w:hint="eastAsia" w:ascii="宋体" w:hAnsi="宋体" w:cs="宋体"/>
          <w:b/>
          <w:bCs/>
          <w:color w:val="auto"/>
          <w:sz w:val="28"/>
          <w:szCs w:val="28"/>
          <w:highlight w:val="none"/>
        </w:rPr>
      </w:pPr>
    </w:p>
    <w:p w14:paraId="4A894D04">
      <w:pPr>
        <w:pStyle w:val="31"/>
        <w:rPr>
          <w:rFonts w:hint="eastAsia" w:ascii="宋体" w:hAnsi="宋体" w:cs="宋体"/>
          <w:b/>
          <w:bCs/>
          <w:color w:val="auto"/>
          <w:sz w:val="28"/>
          <w:szCs w:val="28"/>
          <w:highlight w:val="none"/>
        </w:rPr>
      </w:pPr>
    </w:p>
    <w:p w14:paraId="084DD094">
      <w:pPr>
        <w:pStyle w:val="31"/>
        <w:rPr>
          <w:rFonts w:hint="eastAsia" w:ascii="宋体" w:hAnsi="宋体" w:cs="宋体"/>
          <w:b/>
          <w:bCs/>
          <w:color w:val="auto"/>
          <w:sz w:val="28"/>
          <w:szCs w:val="28"/>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pgNumType w:fmt="decimal"/>
          <w:cols w:space="720" w:num="1"/>
        </w:sectPr>
      </w:pPr>
    </w:p>
    <w:p w14:paraId="5FEFFB89">
      <w:pPr>
        <w:pStyle w:val="31"/>
        <w:rPr>
          <w:rFonts w:hint="eastAsia" w:ascii="宋体" w:hAnsi="宋体" w:cs="宋体"/>
          <w:b/>
          <w:bCs/>
          <w:color w:val="auto"/>
          <w:sz w:val="28"/>
          <w:szCs w:val="28"/>
          <w:highlight w:val="none"/>
        </w:rPr>
      </w:pPr>
    </w:p>
    <w:p w14:paraId="07825709">
      <w:pPr>
        <w:pStyle w:val="31"/>
        <w:rPr>
          <w:rFonts w:hint="eastAsia" w:ascii="宋体" w:hAnsi="宋体" w:cs="宋体"/>
          <w:b/>
          <w:bCs/>
          <w:color w:val="auto"/>
          <w:sz w:val="28"/>
          <w:szCs w:val="28"/>
          <w:highlight w:val="none"/>
        </w:rPr>
      </w:pPr>
    </w:p>
    <w:p w14:paraId="425ECDA2">
      <w:pPr>
        <w:pStyle w:val="31"/>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8"/>
          <w:rFonts w:hint="eastAsia" w:ascii="仿宋" w:hAnsi="仿宋" w:eastAsia="仿宋" w:cs="仿宋"/>
          <w:b/>
          <w:color w:val="auto"/>
          <w:sz w:val="32"/>
          <w:szCs w:val="32"/>
          <w:highlight w:val="none"/>
        </w:rPr>
        <w:t>第一章</w:t>
      </w:r>
      <w:r>
        <w:rPr>
          <w:rStyle w:val="28"/>
          <w:rFonts w:hint="eastAsia" w:ascii="仿宋" w:hAnsi="仿宋" w:eastAsia="仿宋" w:cs="仿宋"/>
          <w:b/>
          <w:color w:val="auto"/>
          <w:sz w:val="32"/>
          <w:szCs w:val="32"/>
          <w:highlight w:val="none"/>
          <w:lang w:val="en-US" w:eastAsia="zh-CN"/>
        </w:rPr>
        <w:t xml:space="preserve"> 比选邀请</w:t>
      </w:r>
      <w:r>
        <w:rPr>
          <w:rStyle w:val="28"/>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8"/>
          <w:rFonts w:hint="eastAsia" w:ascii="仿宋" w:hAnsi="仿宋" w:eastAsia="仿宋" w:cs="仿宋"/>
          <w:b/>
          <w:color w:val="auto"/>
          <w:sz w:val="32"/>
          <w:szCs w:val="32"/>
          <w:highlight w:val="none"/>
        </w:rPr>
        <w:t>第二章</w:t>
      </w:r>
      <w:r>
        <w:rPr>
          <w:rStyle w:val="28"/>
          <w:rFonts w:hint="eastAsia" w:ascii="仿宋" w:hAnsi="仿宋" w:eastAsia="仿宋" w:cs="仿宋"/>
          <w:b/>
          <w:color w:val="auto"/>
          <w:sz w:val="32"/>
          <w:szCs w:val="32"/>
          <w:highlight w:val="none"/>
          <w:lang w:val="en-US" w:eastAsia="zh-CN"/>
        </w:rPr>
        <w:t xml:space="preserve"> </w:t>
      </w:r>
      <w:r>
        <w:rPr>
          <w:rStyle w:val="28"/>
          <w:rFonts w:hint="eastAsia" w:ascii="仿宋" w:hAnsi="仿宋" w:eastAsia="仿宋" w:cs="仿宋"/>
          <w:b/>
          <w:color w:val="auto"/>
          <w:sz w:val="32"/>
          <w:szCs w:val="32"/>
          <w:highlight w:val="none"/>
          <w:lang w:eastAsia="zh-CN"/>
        </w:rPr>
        <w:t>用户</w:t>
      </w:r>
      <w:r>
        <w:rPr>
          <w:rStyle w:val="28"/>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8"/>
          <w:rFonts w:hint="eastAsia" w:ascii="仿宋" w:hAnsi="仿宋" w:eastAsia="仿宋" w:cs="仿宋"/>
          <w:b/>
          <w:color w:val="auto"/>
          <w:sz w:val="32"/>
          <w:szCs w:val="32"/>
          <w:highlight w:val="none"/>
        </w:rPr>
        <w:t>第三章</w:t>
      </w:r>
      <w:r>
        <w:rPr>
          <w:rStyle w:val="28"/>
          <w:rFonts w:hint="eastAsia" w:ascii="仿宋" w:hAnsi="仿宋" w:eastAsia="仿宋" w:cs="仿宋"/>
          <w:b/>
          <w:color w:val="auto"/>
          <w:sz w:val="32"/>
          <w:szCs w:val="32"/>
          <w:highlight w:val="none"/>
          <w:lang w:val="en-US" w:eastAsia="zh-CN"/>
        </w:rPr>
        <w:t xml:space="preserve"> 响应</w:t>
      </w:r>
      <w:r>
        <w:rPr>
          <w:rStyle w:val="28"/>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31"/>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footerReference r:id="rId4" w:type="default"/>
          <w:pgSz w:w="11910" w:h="16840"/>
          <w:pgMar w:top="1060" w:right="1280" w:bottom="860" w:left="1300" w:header="720" w:footer="720" w:gutter="0"/>
          <w:pgBorders>
            <w:top w:val="none" w:sz="0" w:space="0"/>
            <w:left w:val="none" w:sz="0" w:space="0"/>
            <w:bottom w:val="none" w:sz="0" w:space="0"/>
            <w:right w:val="none" w:sz="0" w:space="0"/>
          </w:pgBorders>
          <w:pgNumType w:fmt="decimal" w:start="1"/>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31"/>
        <w:rPr>
          <w:color w:val="auto"/>
          <w:highlight w:val="none"/>
        </w:rPr>
      </w:pPr>
    </w:p>
    <w:p w14:paraId="0A15806B">
      <w:pPr>
        <w:pStyle w:val="31"/>
        <w:rPr>
          <w:color w:val="auto"/>
          <w:highlight w:val="none"/>
        </w:rPr>
      </w:pPr>
    </w:p>
    <w:p w14:paraId="3DCA7AD5">
      <w:pPr>
        <w:pStyle w:val="31"/>
        <w:rPr>
          <w:color w:val="auto"/>
          <w:highlight w:val="none"/>
        </w:rPr>
      </w:pPr>
    </w:p>
    <w:p w14:paraId="6E14FAB4">
      <w:pPr>
        <w:pStyle w:val="31"/>
        <w:rPr>
          <w:color w:val="auto"/>
          <w:highlight w:val="none"/>
        </w:rPr>
      </w:pPr>
    </w:p>
    <w:p w14:paraId="64575E93">
      <w:pPr>
        <w:pStyle w:val="31"/>
        <w:rPr>
          <w:color w:val="auto"/>
          <w:highlight w:val="none"/>
        </w:rPr>
      </w:pPr>
    </w:p>
    <w:p w14:paraId="2C222BBF">
      <w:pPr>
        <w:pStyle w:val="31"/>
        <w:rPr>
          <w:color w:val="auto"/>
          <w:highlight w:val="none"/>
        </w:rPr>
      </w:pPr>
    </w:p>
    <w:p w14:paraId="09C05EDD">
      <w:pPr>
        <w:pStyle w:val="31"/>
        <w:rPr>
          <w:color w:val="auto"/>
          <w:highlight w:val="none"/>
        </w:rPr>
      </w:pPr>
    </w:p>
    <w:p w14:paraId="78BEBE66">
      <w:pPr>
        <w:pStyle w:val="31"/>
        <w:rPr>
          <w:color w:val="auto"/>
          <w:highlight w:val="none"/>
        </w:rPr>
      </w:pPr>
    </w:p>
    <w:p w14:paraId="7FFB3F36">
      <w:pPr>
        <w:pStyle w:val="31"/>
        <w:rPr>
          <w:color w:val="auto"/>
          <w:highlight w:val="none"/>
        </w:rPr>
      </w:pPr>
    </w:p>
    <w:p w14:paraId="3DF6BD4F">
      <w:pPr>
        <w:pStyle w:val="31"/>
        <w:rPr>
          <w:color w:val="auto"/>
          <w:highlight w:val="none"/>
        </w:rPr>
      </w:pPr>
    </w:p>
    <w:p w14:paraId="2734705C">
      <w:pPr>
        <w:pStyle w:val="31"/>
        <w:rPr>
          <w:color w:val="auto"/>
          <w:highlight w:val="none"/>
        </w:rPr>
      </w:pPr>
    </w:p>
    <w:p w14:paraId="4314B196">
      <w:pPr>
        <w:pStyle w:val="31"/>
        <w:rPr>
          <w:color w:val="auto"/>
          <w:highlight w:val="none"/>
        </w:rPr>
      </w:pPr>
    </w:p>
    <w:p w14:paraId="3A1D323C">
      <w:pPr>
        <w:pStyle w:val="31"/>
        <w:ind w:left="0" w:leftChars="0" w:firstLine="0" w:firstLineChars="0"/>
        <w:rPr>
          <w:color w:val="auto"/>
          <w:highlight w:val="none"/>
        </w:rPr>
      </w:pPr>
    </w:p>
    <w:p w14:paraId="28873E3D">
      <w:pPr>
        <w:pStyle w:val="31"/>
        <w:rPr>
          <w:color w:val="auto"/>
          <w:highlight w:val="none"/>
        </w:rPr>
      </w:pPr>
    </w:p>
    <w:p w14:paraId="50FA7ED8">
      <w:pPr>
        <w:pStyle w:val="31"/>
        <w:rPr>
          <w:color w:val="auto"/>
          <w:highlight w:val="none"/>
        </w:rPr>
      </w:pPr>
    </w:p>
    <w:p w14:paraId="6B2899CF">
      <w:pPr>
        <w:pStyle w:val="31"/>
        <w:rPr>
          <w:color w:val="auto"/>
          <w:highlight w:val="none"/>
        </w:rPr>
      </w:pPr>
    </w:p>
    <w:p w14:paraId="33C44C0F">
      <w:pPr>
        <w:pStyle w:val="31"/>
        <w:rPr>
          <w:color w:val="auto"/>
          <w:highlight w:val="none"/>
        </w:rPr>
      </w:pPr>
    </w:p>
    <w:p w14:paraId="42E0C72B">
      <w:pPr>
        <w:pStyle w:val="31"/>
        <w:rPr>
          <w:color w:val="auto"/>
          <w:highlight w:val="none"/>
        </w:rPr>
      </w:pPr>
    </w:p>
    <w:p w14:paraId="605B6840">
      <w:pPr>
        <w:pStyle w:val="31"/>
        <w:rPr>
          <w:color w:val="auto"/>
          <w:highlight w:val="none"/>
        </w:rPr>
      </w:pPr>
    </w:p>
    <w:p w14:paraId="67B723F3">
      <w:pPr>
        <w:pStyle w:val="31"/>
        <w:rPr>
          <w:color w:val="auto"/>
          <w:highlight w:val="none"/>
        </w:rPr>
      </w:pPr>
    </w:p>
    <w:p w14:paraId="42B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385939527"/>
      <w:bookmarkStart w:id="1" w:name="_Toc76354913"/>
      <w:bookmarkStart w:id="2" w:name="_Toc50736465"/>
      <w:bookmarkStart w:id="3" w:name="_Toc50737285"/>
      <w:bookmarkStart w:id="4" w:name="_Toc50691018"/>
      <w:bookmarkStart w:id="5" w:name="_Toc385940868"/>
      <w:bookmarkStart w:id="6" w:name="_Toc50737317"/>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31"/>
        <w:rPr>
          <w:color w:val="auto"/>
          <w:highlight w:val="none"/>
        </w:rPr>
      </w:pPr>
    </w:p>
    <w:p w14:paraId="0E1E6DAA">
      <w:pPr>
        <w:pStyle w:val="31"/>
        <w:rPr>
          <w:color w:val="auto"/>
          <w:highlight w:val="none"/>
        </w:rPr>
      </w:pPr>
    </w:p>
    <w:p w14:paraId="3BA9C6FC">
      <w:pPr>
        <w:pStyle w:val="31"/>
        <w:rPr>
          <w:color w:val="auto"/>
          <w:highlight w:val="none"/>
        </w:rPr>
      </w:pPr>
    </w:p>
    <w:p w14:paraId="785CAE00">
      <w:pPr>
        <w:pStyle w:val="31"/>
        <w:rPr>
          <w:color w:val="auto"/>
          <w:highlight w:val="none"/>
        </w:rPr>
      </w:pPr>
    </w:p>
    <w:p w14:paraId="39EE392B">
      <w:pPr>
        <w:pStyle w:val="31"/>
        <w:rPr>
          <w:color w:val="auto"/>
          <w:highlight w:val="none"/>
        </w:rPr>
      </w:pPr>
    </w:p>
    <w:p w14:paraId="706178C8">
      <w:pPr>
        <w:pStyle w:val="31"/>
        <w:rPr>
          <w:color w:val="auto"/>
          <w:highlight w:val="none"/>
        </w:rPr>
      </w:pPr>
    </w:p>
    <w:p w14:paraId="772CC2BD">
      <w:pPr>
        <w:pStyle w:val="31"/>
        <w:rPr>
          <w:color w:val="auto"/>
          <w:highlight w:val="none"/>
        </w:rPr>
      </w:pPr>
    </w:p>
    <w:p w14:paraId="67FC31CB">
      <w:pPr>
        <w:pStyle w:val="31"/>
        <w:rPr>
          <w:color w:val="auto"/>
          <w:highlight w:val="none"/>
        </w:rPr>
      </w:pPr>
    </w:p>
    <w:p w14:paraId="386EC698">
      <w:pPr>
        <w:pStyle w:val="31"/>
        <w:rPr>
          <w:color w:val="auto"/>
          <w:highlight w:val="none"/>
        </w:rPr>
      </w:pPr>
    </w:p>
    <w:p w14:paraId="2C1A4281">
      <w:pPr>
        <w:pStyle w:val="31"/>
        <w:rPr>
          <w:color w:val="auto"/>
          <w:highlight w:val="none"/>
        </w:rPr>
      </w:pPr>
    </w:p>
    <w:p w14:paraId="5F86BCBC">
      <w:pPr>
        <w:pStyle w:val="31"/>
        <w:rPr>
          <w:color w:val="auto"/>
          <w:highlight w:val="none"/>
        </w:rPr>
      </w:pPr>
    </w:p>
    <w:p w14:paraId="455E259F">
      <w:pPr>
        <w:pStyle w:val="31"/>
        <w:rPr>
          <w:color w:val="auto"/>
          <w:highlight w:val="none"/>
        </w:rPr>
      </w:pPr>
    </w:p>
    <w:p w14:paraId="2CAB1CE8">
      <w:pPr>
        <w:pStyle w:val="31"/>
        <w:rPr>
          <w:color w:val="auto"/>
          <w:highlight w:val="none"/>
        </w:rPr>
      </w:pPr>
    </w:p>
    <w:p w14:paraId="4886323E">
      <w:pPr>
        <w:pStyle w:val="31"/>
        <w:rPr>
          <w:color w:val="auto"/>
          <w:highlight w:val="none"/>
        </w:rPr>
      </w:pPr>
    </w:p>
    <w:p w14:paraId="70322BB7">
      <w:pPr>
        <w:pStyle w:val="31"/>
        <w:rPr>
          <w:color w:val="auto"/>
          <w:highlight w:val="none"/>
        </w:rPr>
      </w:pPr>
    </w:p>
    <w:p w14:paraId="3AB65DC5">
      <w:pPr>
        <w:pStyle w:val="31"/>
        <w:rPr>
          <w:color w:val="auto"/>
          <w:highlight w:val="none"/>
        </w:rPr>
      </w:pPr>
    </w:p>
    <w:p w14:paraId="35ACE013">
      <w:pPr>
        <w:pStyle w:val="31"/>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多组学测序揭示放射性脑病损伤机制检测分析技术服务采购项目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方正仿宋简体" w:hAnsi="方正仿宋简体" w:eastAsia="方正仿宋简体" w:cs="方正仿宋简体"/>
          <w:b/>
          <w:bCs/>
          <w:color w:val="auto"/>
          <w:sz w:val="28"/>
          <w:szCs w:val="28"/>
          <w:highlight w:val="none"/>
          <w:u w:val="single"/>
          <w:lang w:val="en-US" w:eastAsia="zh-CN"/>
        </w:rPr>
        <w:t>ZCB-2025067</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w:t>
      </w:r>
      <w:r>
        <w:rPr>
          <w:rFonts w:hint="eastAsia" w:ascii="仿宋" w:hAnsi="仿宋" w:eastAsia="仿宋" w:cs="仿宋"/>
          <w:b/>
          <w:bCs w:val="0"/>
          <w:color w:val="auto"/>
          <w:sz w:val="24"/>
          <w:szCs w:val="24"/>
          <w:highlight w:val="none"/>
          <w:lang w:val="en-US" w:eastAsia="zh-CN"/>
        </w:rPr>
        <w:t>多组学测序揭示放射性脑病损伤机制的研究（空间组、单细胞转录组、蛋白质组和代谢组）检测分析技术服务采购项目</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24"/>
        <w:tblpPr w:leftFromText="180" w:rightFromText="180" w:vertAnchor="text" w:horzAnchor="page" w:tblpXSpec="center" w:tblpY="295"/>
        <w:tblOverlap w:val="never"/>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819"/>
        <w:gridCol w:w="2760"/>
        <w:gridCol w:w="1786"/>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915"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1819"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760"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786"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915"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多组学测序揭示放射性脑病损伤机制的研究（空间组、单细胞转录组、蛋白质组和代谢组）检测分析技术服务采购项目</w:t>
            </w:r>
          </w:p>
        </w:tc>
        <w:tc>
          <w:tcPr>
            <w:tcW w:w="1819" w:type="dxa"/>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自合同生效之日起</w:t>
            </w:r>
            <w:r>
              <w:rPr>
                <w:rFonts w:hint="eastAsia" w:ascii="仿宋" w:hAnsi="仿宋" w:eastAsia="仿宋" w:cs="仿宋"/>
                <w:b w:val="0"/>
                <w:bCs/>
                <w:color w:val="auto"/>
                <w:sz w:val="24"/>
                <w:szCs w:val="24"/>
                <w:highlight w:val="none"/>
                <w:vertAlign w:val="baseline"/>
                <w:lang w:val="en-US" w:eastAsia="zh-CN"/>
              </w:rPr>
              <w:t>至课题研究项目结束之日为止</w:t>
            </w:r>
            <w:r>
              <w:rPr>
                <w:rFonts w:hint="eastAsia" w:ascii="仿宋" w:hAnsi="仿宋" w:eastAsia="仿宋" w:cs="仿宋"/>
                <w:b w:val="0"/>
                <w:bCs/>
                <w:color w:val="auto"/>
                <w:sz w:val="24"/>
                <w:szCs w:val="24"/>
                <w:highlight w:val="none"/>
                <w:vertAlign w:val="baseline"/>
              </w:rPr>
              <w:t>或采购金额达到采购预算时止，以两者先到者为准。</w:t>
            </w:r>
          </w:p>
        </w:tc>
        <w:tc>
          <w:tcPr>
            <w:tcW w:w="2760"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786"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986,000.00元</w:t>
            </w:r>
          </w:p>
        </w:tc>
      </w:tr>
    </w:tbl>
    <w:p w14:paraId="5769E1B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784DB0DB">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项目时间：自合同生效之日起至课题研究项目结束之日为止或采购金额达到采购预算时止，以两者先到者为准。</w:t>
      </w:r>
    </w:p>
    <w:p w14:paraId="03CDC3B1">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w:t>
      </w:r>
      <w:r>
        <w:rPr>
          <w:rFonts w:hint="eastAsia" w:ascii="仿宋" w:hAnsi="仿宋" w:eastAsia="仿宋" w:cs="仿宋"/>
          <w:color w:val="auto"/>
          <w:sz w:val="24"/>
          <w:szCs w:val="24"/>
          <w:highlight w:val="none"/>
          <w:lang w:val="en-US" w:eastAsia="zh-CN"/>
        </w:rPr>
        <w:t>各院区</w:t>
      </w:r>
      <w:r>
        <w:rPr>
          <w:rFonts w:hint="eastAsia" w:ascii="仿宋" w:hAnsi="仿宋" w:eastAsia="仿宋" w:cs="仿宋"/>
          <w:color w:val="auto"/>
          <w:sz w:val="24"/>
          <w:szCs w:val="24"/>
          <w:highlight w:val="none"/>
          <w:lang w:eastAsia="zh-CN"/>
        </w:rPr>
        <w:t>。</w:t>
      </w:r>
    </w:p>
    <w:p w14:paraId="4708FC15">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7"/>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7"/>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多组学测序揭示放射性脑病损伤机制的研究（空间组、单细胞转录组、蛋白质组和代谢组）检测分析技术服务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 xml:space="preserve">5 </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6</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11</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7"/>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7"/>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7"/>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C3DD8FB">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24EE84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联系人：林老师</w:t>
      </w:r>
    </w:p>
    <w:p w14:paraId="032E13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电子邮箱：linjwei3@mail.sysu.edu.cn</w:t>
      </w:r>
    </w:p>
    <w:p w14:paraId="072128FC">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联系地址：广州市越秀区长堤大马路171号一方长堤健康产业中心（原威力斯大楼）907室 中山大学孙逸仙纪念医院招投标与采购管理办公室</w:t>
      </w:r>
    </w:p>
    <w:p w14:paraId="6E13FD1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E6A002C">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lang w:eastAsia="zh-CN"/>
        </w:rPr>
        <w:t>、响应文件提交的截止时间、地点：202</w:t>
      </w:r>
      <w:r>
        <w:rPr>
          <w:rFonts w:hint="eastAsia" w:ascii="仿宋" w:hAnsi="仿宋" w:eastAsia="仿宋" w:cs="仿宋"/>
          <w:b/>
          <w:bCs/>
          <w:color w:val="auto"/>
          <w:sz w:val="24"/>
          <w:szCs w:val="24"/>
          <w:highlight w:val="none"/>
          <w:lang w:val="en-US" w:eastAsia="zh-CN"/>
        </w:rPr>
        <w:t xml:space="preserve">5 </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中午12:00，广州市越秀区长堤大马路171号一方长堤健康产业中心（原威力斯大楼）907室。</w:t>
      </w:r>
    </w:p>
    <w:p w14:paraId="1DFAF2AC">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E3AE264">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31"/>
        <w:keepNext w:val="0"/>
        <w:keepLines w:val="0"/>
        <w:pageBreakBefore w:val="0"/>
        <w:kinsoku/>
        <w:wordWrap/>
        <w:overflowPunct/>
        <w:topLinePunct w:val="0"/>
        <w:bidi w:val="0"/>
        <w:adjustRightInd w:val="0"/>
        <w:snapToGrid w:val="0"/>
        <w:spacing w:line="360" w:lineRule="exact"/>
        <w:ind w:leftChars="3400" w:firstLine="720" w:firstLineChars="3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 xml:space="preserve">5 </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日</w:t>
      </w:r>
    </w:p>
    <w:p w14:paraId="3B75403C">
      <w:pPr>
        <w:pStyle w:val="31"/>
        <w:rPr>
          <w:color w:val="auto"/>
          <w:highlight w:val="none"/>
        </w:rPr>
      </w:pPr>
    </w:p>
    <w:p w14:paraId="523B7E81">
      <w:pPr>
        <w:pStyle w:val="31"/>
        <w:rPr>
          <w:color w:val="auto"/>
          <w:highlight w:val="none"/>
        </w:rPr>
      </w:pPr>
    </w:p>
    <w:p w14:paraId="7B08AE2A">
      <w:pPr>
        <w:pStyle w:val="31"/>
        <w:rPr>
          <w:color w:val="auto"/>
          <w:highlight w:val="none"/>
        </w:rPr>
      </w:pPr>
    </w:p>
    <w:p w14:paraId="763C632D">
      <w:pPr>
        <w:pStyle w:val="31"/>
        <w:rPr>
          <w:color w:val="auto"/>
          <w:highlight w:val="none"/>
        </w:rPr>
      </w:pPr>
    </w:p>
    <w:p w14:paraId="1C8374F1">
      <w:pPr>
        <w:pStyle w:val="31"/>
        <w:rPr>
          <w:color w:val="auto"/>
          <w:highlight w:val="none"/>
        </w:rPr>
      </w:pPr>
    </w:p>
    <w:p w14:paraId="73391BE5">
      <w:pPr>
        <w:pStyle w:val="31"/>
        <w:rPr>
          <w:color w:val="auto"/>
          <w:highlight w:val="none"/>
        </w:rPr>
      </w:pPr>
    </w:p>
    <w:p w14:paraId="2CFB9821">
      <w:pPr>
        <w:pStyle w:val="31"/>
        <w:rPr>
          <w:color w:val="auto"/>
          <w:highlight w:val="none"/>
        </w:rPr>
      </w:pPr>
    </w:p>
    <w:p w14:paraId="0E775D1F">
      <w:pPr>
        <w:pStyle w:val="31"/>
        <w:rPr>
          <w:color w:val="auto"/>
          <w:highlight w:val="none"/>
        </w:rPr>
      </w:pPr>
    </w:p>
    <w:p w14:paraId="5D95D69A">
      <w:pPr>
        <w:pStyle w:val="31"/>
        <w:rPr>
          <w:color w:val="auto"/>
          <w:highlight w:val="none"/>
        </w:rPr>
      </w:pPr>
    </w:p>
    <w:p w14:paraId="2FFC76BA">
      <w:pPr>
        <w:pStyle w:val="31"/>
        <w:rPr>
          <w:color w:val="auto"/>
          <w:highlight w:val="none"/>
        </w:rPr>
      </w:pPr>
    </w:p>
    <w:p w14:paraId="73BF78BD">
      <w:pPr>
        <w:pStyle w:val="31"/>
        <w:rPr>
          <w:color w:val="auto"/>
          <w:highlight w:val="none"/>
        </w:rPr>
      </w:pPr>
    </w:p>
    <w:p w14:paraId="3A79C033">
      <w:pPr>
        <w:pStyle w:val="31"/>
        <w:rPr>
          <w:color w:val="auto"/>
          <w:highlight w:val="none"/>
        </w:rPr>
      </w:pPr>
    </w:p>
    <w:p w14:paraId="5ECF1A33">
      <w:pPr>
        <w:rPr>
          <w:rFonts w:hint="eastAsia"/>
          <w:color w:val="auto"/>
          <w:highlight w:val="none"/>
        </w:rPr>
      </w:pPr>
      <w:bookmarkStart w:id="8" w:name="_Toc50737320"/>
      <w:bookmarkStart w:id="9" w:name="_Toc50737288"/>
      <w:bookmarkStart w:id="10" w:name="_Toc76354916"/>
      <w:bookmarkStart w:id="11" w:name="_Toc50691021"/>
      <w:bookmarkStart w:id="12" w:name="_Toc50736468"/>
      <w:bookmarkStart w:id="13" w:name="_Toc385940869"/>
      <w:bookmarkStart w:id="14" w:name="_Toc385939528"/>
      <w:bookmarkStart w:id="15" w:name="_Toc417914518"/>
    </w:p>
    <w:p w14:paraId="2084A927">
      <w:pPr>
        <w:pStyle w:val="2"/>
        <w:rPr>
          <w:rFonts w:hint="eastAsia"/>
          <w:highlight w:val="none"/>
        </w:rPr>
      </w:pPr>
    </w:p>
    <w:p w14:paraId="6C2D7C49">
      <w:pPr>
        <w:rPr>
          <w:rFonts w:hint="eastAsia"/>
        </w:rPr>
      </w:pPr>
    </w:p>
    <w:p w14:paraId="70CA6FA1">
      <w:pPr>
        <w:rPr>
          <w:rFonts w:hint="eastAsia" w:ascii="微软雅黑" w:hAnsi="微软雅黑" w:eastAsia="微软雅黑" w:cs="微软雅黑"/>
          <w:color w:val="auto"/>
          <w:highlight w:val="none"/>
        </w:rPr>
      </w:pPr>
    </w:p>
    <w:p w14:paraId="3454B807">
      <w:pPr>
        <w:pStyle w:val="2"/>
        <w:rPr>
          <w:rFonts w:hint="eastAsia" w:ascii="微软雅黑" w:hAnsi="微软雅黑" w:eastAsia="微软雅黑" w:cs="微软雅黑"/>
          <w:color w:val="auto"/>
          <w:highlight w:val="none"/>
        </w:rPr>
      </w:pPr>
    </w:p>
    <w:p w14:paraId="2920BCD0">
      <w:pPr>
        <w:rPr>
          <w:rFonts w:hint="eastAsia"/>
          <w:highlight w:val="none"/>
        </w:rPr>
      </w:pPr>
    </w:p>
    <w:p w14:paraId="68121AFE">
      <w:pPr>
        <w:pStyle w:val="2"/>
        <w:rPr>
          <w:rFonts w:hint="eastAsia"/>
          <w:color w:val="auto"/>
          <w:highlight w:val="none"/>
        </w:rPr>
      </w:pPr>
    </w:p>
    <w:p w14:paraId="777DAAC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第二章</w:t>
      </w:r>
      <w:bookmarkEnd w:id="8"/>
      <w:bookmarkEnd w:id="9"/>
      <w:bookmarkEnd w:id="10"/>
      <w:bookmarkEnd w:id="11"/>
      <w:bookmarkEnd w:id="12"/>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7BC51842">
      <w:pPr>
        <w:pStyle w:val="31"/>
        <w:rPr>
          <w:color w:val="auto"/>
          <w:highlight w:val="none"/>
        </w:rPr>
      </w:pPr>
    </w:p>
    <w:p w14:paraId="7B5409AB">
      <w:pPr>
        <w:pStyle w:val="31"/>
        <w:rPr>
          <w:color w:val="auto"/>
          <w:highlight w:val="none"/>
        </w:rPr>
      </w:pPr>
    </w:p>
    <w:p w14:paraId="579A73DC">
      <w:pPr>
        <w:pStyle w:val="31"/>
        <w:rPr>
          <w:color w:val="auto"/>
          <w:highlight w:val="none"/>
        </w:rPr>
      </w:pPr>
    </w:p>
    <w:p w14:paraId="0105CC83">
      <w:pPr>
        <w:pStyle w:val="31"/>
        <w:rPr>
          <w:color w:val="auto"/>
          <w:highlight w:val="none"/>
        </w:rPr>
      </w:pPr>
    </w:p>
    <w:p w14:paraId="0C7D97FD">
      <w:pPr>
        <w:pStyle w:val="31"/>
        <w:rPr>
          <w:color w:val="auto"/>
          <w:highlight w:val="none"/>
        </w:rPr>
      </w:pPr>
    </w:p>
    <w:p w14:paraId="41FB5545">
      <w:pPr>
        <w:pStyle w:val="31"/>
        <w:rPr>
          <w:color w:val="auto"/>
          <w:highlight w:val="none"/>
        </w:rPr>
      </w:pPr>
    </w:p>
    <w:p w14:paraId="5110413C">
      <w:pPr>
        <w:pStyle w:val="31"/>
        <w:rPr>
          <w:color w:val="auto"/>
          <w:highlight w:val="none"/>
        </w:rPr>
      </w:pPr>
    </w:p>
    <w:p w14:paraId="212397A4">
      <w:pPr>
        <w:pStyle w:val="31"/>
        <w:rPr>
          <w:color w:val="auto"/>
          <w:highlight w:val="none"/>
        </w:rPr>
      </w:pPr>
    </w:p>
    <w:p w14:paraId="39ADDE77">
      <w:pPr>
        <w:pStyle w:val="31"/>
        <w:rPr>
          <w:color w:val="auto"/>
          <w:highlight w:val="none"/>
        </w:rPr>
      </w:pPr>
    </w:p>
    <w:p w14:paraId="1E0BE797">
      <w:pPr>
        <w:pStyle w:val="31"/>
        <w:rPr>
          <w:color w:val="auto"/>
          <w:highlight w:val="none"/>
        </w:rPr>
      </w:pPr>
    </w:p>
    <w:p w14:paraId="7E8721E1">
      <w:pPr>
        <w:pStyle w:val="31"/>
        <w:rPr>
          <w:color w:val="auto"/>
          <w:highlight w:val="none"/>
        </w:rPr>
      </w:pPr>
    </w:p>
    <w:p w14:paraId="3F61F534">
      <w:pPr>
        <w:pStyle w:val="31"/>
        <w:rPr>
          <w:color w:val="auto"/>
          <w:highlight w:val="none"/>
        </w:rPr>
      </w:pPr>
    </w:p>
    <w:p w14:paraId="708FE55D">
      <w:pPr>
        <w:pStyle w:val="31"/>
        <w:rPr>
          <w:color w:val="auto"/>
          <w:highlight w:val="none"/>
        </w:rPr>
      </w:pPr>
    </w:p>
    <w:p w14:paraId="05468A54">
      <w:pPr>
        <w:pStyle w:val="31"/>
        <w:rPr>
          <w:color w:val="auto"/>
          <w:highlight w:val="none"/>
        </w:rPr>
      </w:pPr>
    </w:p>
    <w:p w14:paraId="253A6C82">
      <w:pPr>
        <w:pStyle w:val="31"/>
        <w:rPr>
          <w:color w:val="auto"/>
          <w:highlight w:val="none"/>
        </w:rPr>
      </w:pPr>
    </w:p>
    <w:p w14:paraId="7C6DA5A1">
      <w:pPr>
        <w:pStyle w:val="31"/>
        <w:rPr>
          <w:color w:val="auto"/>
          <w:highlight w:val="none"/>
        </w:rPr>
      </w:pPr>
    </w:p>
    <w:p w14:paraId="7FC74A6A">
      <w:pPr>
        <w:pStyle w:val="31"/>
        <w:rPr>
          <w:color w:val="auto"/>
          <w:highlight w:val="none"/>
        </w:rPr>
      </w:pPr>
    </w:p>
    <w:p w14:paraId="4130B247">
      <w:pPr>
        <w:pStyle w:val="31"/>
        <w:rPr>
          <w:color w:val="auto"/>
          <w:highlight w:val="none"/>
        </w:rPr>
      </w:pPr>
    </w:p>
    <w:p w14:paraId="091D03A4">
      <w:pPr>
        <w:pStyle w:val="31"/>
        <w:rPr>
          <w:color w:val="auto"/>
          <w:highlight w:val="none"/>
        </w:rPr>
      </w:pPr>
    </w:p>
    <w:p w14:paraId="5D7CDA4D">
      <w:pPr>
        <w:pStyle w:val="31"/>
        <w:rPr>
          <w:color w:val="auto"/>
          <w:highlight w:val="none"/>
        </w:rPr>
      </w:pPr>
    </w:p>
    <w:p w14:paraId="62D34784">
      <w:pPr>
        <w:pStyle w:val="31"/>
        <w:rPr>
          <w:color w:val="auto"/>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auto"/>
          <w:sz w:val="36"/>
          <w:szCs w:val="36"/>
          <w:highlight w:val="none"/>
        </w:rPr>
      </w:pPr>
      <w:r>
        <w:rPr>
          <w:rFonts w:hint="eastAsia" w:ascii="华文中宋" w:hAnsi="华文中宋" w:eastAsia="华文中宋" w:cs="华文中宋"/>
          <w:b/>
          <w:bCs/>
          <w:color w:val="auto"/>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val="en-US" w:eastAsia="zh-CN"/>
        </w:rPr>
        <w:t>1.</w:t>
      </w:r>
      <w:r>
        <w:rPr>
          <w:rFonts w:hint="eastAsia" w:ascii="仿宋" w:hAnsi="仿宋" w:eastAsia="仿宋" w:cs="仿宋"/>
          <w:b/>
          <w:bCs/>
          <w:color w:val="auto"/>
          <w:kern w:val="0"/>
          <w:sz w:val="21"/>
          <w:szCs w:val="21"/>
          <w:highlight w:val="none"/>
          <w:lang w:eastAsia="zh-CN"/>
        </w:rPr>
        <w:t>响应</w:t>
      </w:r>
      <w:r>
        <w:rPr>
          <w:rFonts w:hint="eastAsia" w:ascii="仿宋" w:hAnsi="仿宋" w:eastAsia="仿宋" w:cs="仿宋"/>
          <w:b/>
          <w:bCs/>
          <w:color w:val="auto"/>
          <w:kern w:val="0"/>
          <w:sz w:val="21"/>
          <w:szCs w:val="21"/>
          <w:highlight w:val="none"/>
          <w:lang w:val="en-US" w:eastAsia="zh-CN"/>
        </w:rPr>
        <w:t>人须对本项目所有标的物进行整体</w:t>
      </w:r>
      <w:r>
        <w:rPr>
          <w:rFonts w:hint="eastAsia" w:ascii="仿宋" w:hAnsi="仿宋" w:eastAsia="仿宋" w:cs="仿宋"/>
          <w:b/>
          <w:bCs/>
          <w:color w:val="auto"/>
          <w:kern w:val="0"/>
          <w:sz w:val="21"/>
          <w:szCs w:val="21"/>
          <w:highlight w:val="none"/>
          <w:lang w:eastAsia="zh-CN"/>
        </w:rPr>
        <w:t>响应</w:t>
      </w:r>
      <w:r>
        <w:rPr>
          <w:rFonts w:hint="eastAsia" w:ascii="仿宋" w:hAnsi="仿宋" w:eastAsia="仿宋" w:cs="仿宋"/>
          <w:b/>
          <w:bCs/>
          <w:color w:val="auto"/>
          <w:kern w:val="0"/>
          <w:sz w:val="21"/>
          <w:szCs w:val="21"/>
          <w:highlight w:val="none"/>
          <w:lang w:val="en-US" w:eastAsia="zh-CN"/>
        </w:rPr>
        <w:t>，任何只对其中一部分内容进行的</w:t>
      </w:r>
      <w:r>
        <w:rPr>
          <w:rFonts w:hint="eastAsia" w:ascii="仿宋" w:hAnsi="仿宋" w:eastAsia="仿宋" w:cs="仿宋"/>
          <w:b/>
          <w:bCs/>
          <w:color w:val="auto"/>
          <w:kern w:val="0"/>
          <w:sz w:val="21"/>
          <w:szCs w:val="21"/>
          <w:highlight w:val="none"/>
          <w:lang w:eastAsia="zh-CN"/>
        </w:rPr>
        <w:t>响应</w:t>
      </w:r>
      <w:r>
        <w:rPr>
          <w:rFonts w:hint="eastAsia" w:ascii="仿宋" w:hAnsi="仿宋" w:eastAsia="仿宋" w:cs="仿宋"/>
          <w:b/>
          <w:bCs/>
          <w:color w:val="auto"/>
          <w:kern w:val="0"/>
          <w:sz w:val="21"/>
          <w:szCs w:val="21"/>
          <w:highlight w:val="none"/>
          <w:lang w:val="en-US" w:eastAsia="zh-CN"/>
        </w:rPr>
        <w:t>都被视为无效</w:t>
      </w:r>
      <w:r>
        <w:rPr>
          <w:rFonts w:hint="eastAsia" w:ascii="仿宋" w:hAnsi="仿宋" w:eastAsia="仿宋" w:cs="仿宋"/>
          <w:b/>
          <w:bCs/>
          <w:color w:val="auto"/>
          <w:kern w:val="0"/>
          <w:sz w:val="21"/>
          <w:szCs w:val="21"/>
          <w:highlight w:val="none"/>
          <w:lang w:eastAsia="zh-CN"/>
        </w:rPr>
        <w:t>响应</w:t>
      </w:r>
      <w:r>
        <w:rPr>
          <w:rFonts w:hint="eastAsia" w:ascii="仿宋" w:hAnsi="仿宋" w:eastAsia="仿宋" w:cs="仿宋"/>
          <w:b/>
          <w:bCs/>
          <w:color w:val="auto"/>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auto"/>
          <w:highlight w:val="none"/>
        </w:rPr>
      </w:pPr>
    </w:p>
    <w:p w14:paraId="50CAE63B">
      <w:pPr>
        <w:pStyle w:val="31"/>
        <w:rPr>
          <w:rFonts w:hint="eastAsia"/>
          <w:color w:val="auto"/>
          <w:highlight w:val="none"/>
        </w:rPr>
      </w:pPr>
    </w:p>
    <w:p w14:paraId="25A969A7">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rPr>
      </w:pPr>
      <w:bookmarkStart w:id="16" w:name="_Toc385940875"/>
      <w:bookmarkStart w:id="17" w:name="_Toc385939529"/>
      <w:bookmarkStart w:id="18" w:name="_Toc417914519"/>
      <w:r>
        <w:rPr>
          <w:rFonts w:hint="eastAsia" w:ascii="仿宋" w:hAnsi="仿宋" w:eastAsia="仿宋" w:cs="仿宋"/>
          <w:b/>
          <w:color w:val="auto"/>
          <w:sz w:val="24"/>
          <w:szCs w:val="24"/>
          <w:highlight w:val="none"/>
          <w:lang w:val="en-US" w:eastAsia="zh-CN"/>
        </w:rPr>
        <w:t>采购项目内容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2665"/>
        <w:gridCol w:w="2387"/>
      </w:tblGrid>
      <w:tr w14:paraId="40F3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4" w:type="dxa"/>
            <w:vAlign w:val="center"/>
          </w:tcPr>
          <w:p w14:paraId="77554E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center"/>
              <w:textAlignment w:val="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采购标的</w:t>
            </w:r>
          </w:p>
        </w:tc>
        <w:tc>
          <w:tcPr>
            <w:tcW w:w="2665" w:type="dxa"/>
            <w:vAlign w:val="top"/>
          </w:tcPr>
          <w:p w14:paraId="3783AF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center"/>
              <w:textAlignment w:val="auto"/>
              <w:rPr>
                <w:rFonts w:hint="eastAsia" w:ascii="仿宋" w:hAnsi="仿宋" w:eastAsia="仿宋" w:cs="仿宋"/>
                <w:b/>
                <w:bCs w:val="0"/>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服务期限</w:t>
            </w:r>
          </w:p>
        </w:tc>
        <w:tc>
          <w:tcPr>
            <w:tcW w:w="2387" w:type="dxa"/>
          </w:tcPr>
          <w:p w14:paraId="277DBDB0">
            <w:pPr>
              <w:pStyle w:val="3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采购预算（最高限价）</w:t>
            </w:r>
          </w:p>
        </w:tc>
      </w:tr>
      <w:tr w14:paraId="152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4" w:type="dxa"/>
            <w:vAlign w:val="center"/>
          </w:tcPr>
          <w:p w14:paraId="0BCB932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多组学测序揭示放射性脑病损伤机制的研究（空间组、单细胞转录组、蛋白质组和代谢组）检测分析技术服务</w:t>
            </w:r>
          </w:p>
        </w:tc>
        <w:tc>
          <w:tcPr>
            <w:tcW w:w="2665" w:type="dxa"/>
            <w:vAlign w:val="center"/>
          </w:tcPr>
          <w:p w14:paraId="0F3772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自合同生效之日起</w:t>
            </w:r>
            <w:r>
              <w:rPr>
                <w:rFonts w:hint="eastAsia" w:ascii="仿宋" w:hAnsi="仿宋" w:eastAsia="仿宋" w:cs="仿宋"/>
                <w:b w:val="0"/>
                <w:bCs/>
                <w:color w:val="auto"/>
                <w:sz w:val="24"/>
                <w:szCs w:val="24"/>
                <w:highlight w:val="none"/>
                <w:vertAlign w:val="baseline"/>
                <w:lang w:val="en-US" w:eastAsia="zh-CN"/>
              </w:rPr>
              <w:t>至课题研究项目结束之日为止</w:t>
            </w:r>
            <w:r>
              <w:rPr>
                <w:rFonts w:hint="eastAsia" w:ascii="仿宋" w:hAnsi="仿宋" w:eastAsia="仿宋" w:cs="仿宋"/>
                <w:b w:val="0"/>
                <w:bCs/>
                <w:color w:val="auto"/>
                <w:sz w:val="24"/>
                <w:szCs w:val="24"/>
                <w:highlight w:val="none"/>
                <w:vertAlign w:val="baseline"/>
              </w:rPr>
              <w:t>或采购金额达到采购预算时止，以两者先到者为准。</w:t>
            </w:r>
          </w:p>
        </w:tc>
        <w:tc>
          <w:tcPr>
            <w:tcW w:w="2387" w:type="dxa"/>
            <w:vAlign w:val="center"/>
          </w:tcPr>
          <w:p w14:paraId="788D313F">
            <w:pPr>
              <w:pStyle w:val="3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50" w:beforeAutospacing="0" w:after="0" w:afterAutospacing="0" w:line="400" w:lineRule="exact"/>
              <w:ind w:left="0" w:right="0"/>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¥986000.00元</w:t>
            </w:r>
          </w:p>
        </w:tc>
      </w:tr>
    </w:tbl>
    <w:p w14:paraId="79C4586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详细技术规范请参阅</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中的“用户需求书”。</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必须对本项目的全部内容进行响应报价，如有缺漏或超出采购预算（最高限价），将导致响应无效</w:t>
      </w:r>
      <w:r>
        <w:rPr>
          <w:rFonts w:hint="eastAsia" w:ascii="仿宋" w:hAnsi="仿宋" w:eastAsia="仿宋" w:cs="仿宋"/>
          <w:color w:val="auto"/>
          <w:sz w:val="24"/>
          <w:szCs w:val="24"/>
          <w:highlight w:val="none"/>
          <w:lang w:eastAsia="zh-CN"/>
        </w:rPr>
        <w:t>。</w:t>
      </w:r>
    </w:p>
    <w:p w14:paraId="74B1E6A4">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总体要求：</w:t>
      </w:r>
    </w:p>
    <w:p w14:paraId="5053418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b w:val="0"/>
          <w:bCs/>
          <w:color w:val="auto"/>
          <w:sz w:val="24"/>
          <w:szCs w:val="24"/>
          <w:highlight w:val="none"/>
        </w:rPr>
        <w:t>应按</w:t>
      </w:r>
      <w:r>
        <w:rPr>
          <w:rFonts w:hint="eastAsia" w:ascii="仿宋" w:hAnsi="仿宋" w:eastAsia="仿宋" w:cs="仿宋"/>
          <w:b w:val="0"/>
          <w:bCs/>
          <w:color w:val="auto"/>
          <w:sz w:val="24"/>
          <w:szCs w:val="24"/>
          <w:highlight w:val="none"/>
          <w:lang w:eastAsia="zh-CN"/>
        </w:rPr>
        <w:t>采购人</w:t>
      </w:r>
      <w:r>
        <w:rPr>
          <w:rFonts w:hint="eastAsia" w:ascii="仿宋" w:hAnsi="仿宋" w:eastAsia="仿宋" w:cs="仿宋"/>
          <w:b w:val="0"/>
          <w:bCs/>
          <w:color w:val="auto"/>
          <w:sz w:val="24"/>
          <w:szCs w:val="24"/>
          <w:highlight w:val="none"/>
        </w:rPr>
        <w:t>要求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在</w:t>
      </w:r>
      <w:r>
        <w:rPr>
          <w:rFonts w:hint="eastAsia" w:ascii="仿宋" w:hAnsi="仿宋" w:eastAsia="仿宋" w:cs="仿宋"/>
          <w:b w:val="0"/>
          <w:bCs/>
          <w:color w:val="auto"/>
          <w:sz w:val="24"/>
          <w:szCs w:val="24"/>
          <w:highlight w:val="none"/>
          <w:lang w:val="en-US" w:eastAsia="zh-CN"/>
        </w:rPr>
        <w:t>服务</w:t>
      </w:r>
      <w:r>
        <w:rPr>
          <w:rFonts w:hint="eastAsia" w:ascii="仿宋" w:hAnsi="仿宋" w:eastAsia="仿宋" w:cs="仿宋"/>
          <w:b w:val="0"/>
          <w:bCs/>
          <w:color w:val="auto"/>
          <w:sz w:val="24"/>
          <w:szCs w:val="24"/>
          <w:highlight w:val="none"/>
        </w:rPr>
        <w:t>期内，完成</w:t>
      </w:r>
      <w:r>
        <w:rPr>
          <w:rFonts w:hint="eastAsia" w:ascii="仿宋" w:hAnsi="仿宋" w:eastAsia="仿宋" w:cs="仿宋"/>
          <w:b w:val="0"/>
          <w:bCs/>
          <w:color w:val="auto"/>
          <w:sz w:val="24"/>
          <w:szCs w:val="24"/>
          <w:highlight w:val="none"/>
          <w:lang w:val="en-US" w:eastAsia="zh-CN"/>
        </w:rPr>
        <w:t>一批</w:t>
      </w:r>
      <w:r>
        <w:rPr>
          <w:rFonts w:hint="eastAsia" w:ascii="仿宋" w:hAnsi="仿宋" w:eastAsia="仿宋" w:cs="仿宋"/>
          <w:b w:val="0"/>
          <w:bCs/>
          <w:color w:val="auto"/>
          <w:sz w:val="24"/>
          <w:szCs w:val="24"/>
          <w:highlight w:val="none"/>
        </w:rPr>
        <w:t>样本多组学（空间组、单细胞转录组、蛋白质组和代谢组）检测分析技术。</w:t>
      </w:r>
    </w:p>
    <w:p w14:paraId="58E8017B">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项目服务期限：</w:t>
      </w:r>
    </w:p>
    <w:p w14:paraId="6E64A43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自合同生效之日起</w:t>
      </w:r>
      <w:r>
        <w:rPr>
          <w:rFonts w:hint="eastAsia" w:ascii="仿宋" w:hAnsi="仿宋" w:eastAsia="仿宋" w:cs="仿宋"/>
          <w:b w:val="0"/>
          <w:bCs/>
          <w:color w:val="auto"/>
          <w:sz w:val="24"/>
          <w:szCs w:val="24"/>
          <w:highlight w:val="none"/>
          <w:vertAlign w:val="baseline"/>
          <w:lang w:val="en-US" w:eastAsia="zh-CN"/>
        </w:rPr>
        <w:t>至课题研究项目结束之日为止</w:t>
      </w:r>
      <w:r>
        <w:rPr>
          <w:rFonts w:hint="eastAsia" w:ascii="仿宋" w:hAnsi="仿宋" w:eastAsia="仿宋" w:cs="仿宋"/>
          <w:b w:val="0"/>
          <w:bCs/>
          <w:color w:val="auto"/>
          <w:sz w:val="24"/>
          <w:szCs w:val="24"/>
          <w:highlight w:val="none"/>
          <w:vertAlign w:val="baseline"/>
        </w:rPr>
        <w:t>或采购金额达到采购预算时止，以两者先到者为准。</w:t>
      </w:r>
    </w:p>
    <w:p w14:paraId="2B353DB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lang w:val="en-US" w:eastAsia="zh-CN"/>
        </w:rPr>
        <w:t>课题研究项目结束之日，原则上以采购人实际收到结题证书或结题批复文件的日期为准。</w:t>
      </w:r>
    </w:p>
    <w:p w14:paraId="13BBDD63">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服务内容及技术要求</w:t>
      </w:r>
    </w:p>
    <w:p w14:paraId="33D95A6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textAlignment w:val="auto"/>
        <w:rPr>
          <w:rFonts w:hint="eastAsia" w:ascii="仿宋" w:hAnsi="仿宋" w:eastAsia="仿宋" w:cs="仿宋"/>
          <w:b/>
          <w:color w:val="auto"/>
          <w:sz w:val="24"/>
          <w:szCs w:val="24"/>
          <w:highlight w:val="none"/>
          <w:lang w:val="en-US" w:eastAsia="zh-CN"/>
        </w:rPr>
      </w:pPr>
    </w:p>
    <w:tbl>
      <w:tblPr>
        <w:tblStyle w:val="2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229"/>
      </w:tblGrid>
      <w:tr w14:paraId="0179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1F1D850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项目需求</w:t>
            </w:r>
          </w:p>
        </w:tc>
        <w:tc>
          <w:tcPr>
            <w:tcW w:w="7229" w:type="dxa"/>
          </w:tcPr>
          <w:p w14:paraId="687DB9A1">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lang w:eastAsia="zh-CN"/>
                <w14:ligatures w14:val="standardContextual"/>
              </w:rPr>
              <w:t>技术规格、参数及要求具体参数</w:t>
            </w:r>
          </w:p>
        </w:tc>
      </w:tr>
      <w:tr w14:paraId="55A9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53F990DB">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p>
          <w:p w14:paraId="57F1F14D">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需求一．完成</w:t>
            </w:r>
            <w:r>
              <w:rPr>
                <w:rFonts w:hint="eastAsia" w:ascii="仿宋" w:hAnsi="仿宋" w:eastAsia="仿宋" w:cs="仿宋"/>
                <w:color w:val="auto"/>
                <w:sz w:val="24"/>
                <w:szCs w:val="24"/>
                <w:highlight w:val="none"/>
                <w:u w:val="single"/>
                <w:lang w:val="en-US" w:eastAsia="zh-CN"/>
              </w:rPr>
              <w:t>不少于</w:t>
            </w:r>
            <w:r>
              <w:rPr>
                <w:rFonts w:hint="eastAsia" w:ascii="仿宋" w:hAnsi="仿宋" w:eastAsia="仿宋" w:cs="仿宋"/>
                <w:color w:val="auto"/>
                <w:sz w:val="24"/>
                <w:szCs w:val="24"/>
                <w:highlight w:val="none"/>
                <w:u w:val="single"/>
                <w:lang w:eastAsia="zh-CN"/>
              </w:rPr>
              <w:t xml:space="preserve">10例 </w:t>
            </w:r>
            <w:r>
              <w:rPr>
                <w:rFonts w:hint="eastAsia" w:ascii="仿宋" w:hAnsi="仿宋" w:eastAsia="仿宋" w:cs="仿宋"/>
                <w:color w:val="auto"/>
                <w:sz w:val="24"/>
                <w:szCs w:val="24"/>
                <w:highlight w:val="none"/>
                <w:lang w:eastAsia="zh-CN"/>
              </w:rPr>
              <w:t>组织样本的空间转录组测序和数据分析工作，比较样本间/组间在空间转录组学中的细胞空间分布上的差异、细胞类型差异、细胞占比差异、基因表达差异及相关生物学功能。</w:t>
            </w:r>
          </w:p>
        </w:tc>
        <w:tc>
          <w:tcPr>
            <w:tcW w:w="7229" w:type="dxa"/>
          </w:tcPr>
          <w:p w14:paraId="2F67E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服务内容、</w:t>
            </w:r>
            <w:r>
              <w:rPr>
                <w:rFonts w:hint="eastAsia" w:ascii="仿宋" w:hAnsi="仿宋" w:eastAsia="仿宋" w:cs="仿宋"/>
                <w:b/>
                <w:bCs/>
                <w:color w:val="auto"/>
                <w:sz w:val="24"/>
                <w:szCs w:val="24"/>
                <w:highlight w:val="none"/>
                <w:lang w:eastAsia="zh-CN"/>
              </w:rPr>
              <w:t xml:space="preserve">样品要求、平台要求、测序需求和数据质控要求及验收标准： </w:t>
            </w:r>
          </w:p>
          <w:p w14:paraId="7B3C7692">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lang w:eastAsia="zh-CN"/>
              </w:rPr>
              <w:t>空间组学检测分析服务。</w:t>
            </w:r>
            <w:r>
              <w:rPr>
                <w:rFonts w:hint="eastAsia" w:ascii="仿宋" w:hAnsi="仿宋" w:eastAsia="仿宋" w:cs="仿宋"/>
                <w:color w:val="auto"/>
                <w:sz w:val="24"/>
                <w:szCs w:val="24"/>
                <w:highlight w:val="none"/>
                <w:lang w:val="en-US" w:eastAsia="zh-CN"/>
              </w:rPr>
              <w:t>包括但不限于以下内容：</w:t>
            </w:r>
          </w:p>
          <w:p w14:paraId="741B11F9">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对组织样本提供质检贴片；</w:t>
            </w:r>
          </w:p>
          <w:p w14:paraId="7011C473">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质检合格的样本进行组织固定与拍照、组织透化、文库制备、测序；</w:t>
            </w:r>
          </w:p>
          <w:p w14:paraId="478C2B24">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测序下机数据进行数据质控和常规生信分析。</w:t>
            </w:r>
          </w:p>
          <w:p w14:paraId="0151987E">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样品要求：</w:t>
            </w:r>
          </w:p>
          <w:p w14:paraId="5576A664">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空间转录组测序要求具有较好的RNA完整性，即RIN值≥6的检测结果。</w:t>
            </w:r>
          </w:p>
          <w:p w14:paraId="45E4EA4A">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HE染色质检结果显示：</w:t>
            </w:r>
          </w:p>
          <w:p w14:paraId="212351D8">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切面完整，且细胞核质染色切面清晰明显，符合目标切面区域，切面无组织折叠和褶皱，且无气泡和无大面积冰晶；</w:t>
            </w:r>
          </w:p>
          <w:p w14:paraId="47D4C6A1">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切片完整性：组织切面完整，无折叠、褶皱及气泡；</w:t>
            </w:r>
          </w:p>
          <w:p w14:paraId="72D968B3">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染色质量：细胞核质染色边界清晰，符合目标区域特征；</w:t>
            </w:r>
          </w:p>
          <w:p w14:paraId="4BCA884A">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冷冻处理：无大面积冰晶残留。</w:t>
            </w:r>
          </w:p>
          <w:p w14:paraId="2367E18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操作要求：</w:t>
            </w:r>
          </w:p>
          <w:p w14:paraId="380C2F88">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操作环境：10万级洁净实验室（ISO 7标准），确保无核酸污染；</w:t>
            </w:r>
          </w:p>
          <w:p w14:paraId="5B30C8AF">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质量控制节点：RNA完整性检测合格后启动测序流程；</w:t>
            </w:r>
          </w:p>
          <w:p w14:paraId="0F332FC0">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测序流程服务：包括但不限于样本处理、RNA提取质检、组织透化处理、文库构建、测序及数据分析等。</w:t>
            </w:r>
          </w:p>
          <w:p w14:paraId="31C2639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★测序需求：</w:t>
            </w:r>
          </w:p>
          <w:p w14:paraId="17AA201F">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使用高通量测序平台进行测序。</w:t>
            </w:r>
          </w:p>
          <w:p w14:paraId="5DC5BF42">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要求测序策略为双端150pb，即PE150。</w:t>
            </w:r>
          </w:p>
          <w:p w14:paraId="3A08E2E1">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w:t>
            </w:r>
            <w:r>
              <w:rPr>
                <w:rFonts w:hint="eastAsia" w:ascii="仿宋" w:hAnsi="仿宋" w:eastAsia="仿宋" w:cs="仿宋"/>
                <w:color w:val="auto"/>
                <w:sz w:val="24"/>
                <w:szCs w:val="24"/>
                <w:highlight w:val="none"/>
                <w:lang w:val="en-US" w:eastAsia="zh-CN"/>
              </w:rPr>
              <w:t>验收</w:t>
            </w:r>
            <w:r>
              <w:rPr>
                <w:rFonts w:hint="eastAsia" w:ascii="仿宋" w:hAnsi="仿宋" w:eastAsia="仿宋" w:cs="仿宋"/>
                <w:color w:val="auto"/>
                <w:sz w:val="24"/>
                <w:szCs w:val="24"/>
                <w:highlight w:val="none"/>
                <w:lang w:eastAsia="zh-CN"/>
              </w:rPr>
              <w:t>标准：</w:t>
            </w:r>
          </w:p>
          <w:p w14:paraId="60B3FA8E">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测序深度≥50k read pairs /spot；</w:t>
            </w:r>
          </w:p>
          <w:p w14:paraId="0F37692A">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过滤数据的质量值Q30(%)≥85%；</w:t>
            </w:r>
          </w:p>
          <w:p w14:paraId="57087A27">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测序饱和度&gt;50%。</w:t>
            </w:r>
          </w:p>
          <w:p w14:paraId="6BF9D218">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对于数据质量不满足于“</w:t>
            </w:r>
            <w:r>
              <w:rPr>
                <w:rFonts w:hint="eastAsia" w:ascii="仿宋" w:hAnsi="仿宋" w:eastAsia="仿宋" w:cs="仿宋"/>
                <w:color w:val="auto"/>
                <w:sz w:val="24"/>
                <w:szCs w:val="24"/>
                <w:highlight w:val="none"/>
                <w:lang w:val="en-US" w:eastAsia="zh-CN"/>
              </w:rPr>
              <w:t>3、质量验收标准</w:t>
            </w:r>
            <w:r>
              <w:rPr>
                <w:rFonts w:hint="eastAsia" w:ascii="仿宋" w:hAnsi="仿宋" w:eastAsia="仿宋" w:cs="仿宋"/>
                <w:color w:val="auto"/>
                <w:sz w:val="24"/>
                <w:szCs w:val="24"/>
                <w:highlight w:val="none"/>
                <w:lang w:eastAsia="zh-CN"/>
              </w:rPr>
              <w:t>”的样本，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必须重做建库</w:t>
            </w:r>
            <w:r>
              <w:rPr>
                <w:rFonts w:hint="eastAsia" w:ascii="仿宋" w:hAnsi="仿宋" w:eastAsia="仿宋" w:cs="仿宋"/>
                <w:color w:val="auto"/>
                <w:sz w:val="24"/>
                <w:szCs w:val="24"/>
                <w:highlight w:val="none"/>
                <w:lang w:val="en-US" w:eastAsia="zh-CN"/>
              </w:rPr>
              <w:t>检测</w:t>
            </w:r>
            <w:r>
              <w:rPr>
                <w:rFonts w:hint="eastAsia" w:ascii="仿宋" w:hAnsi="仿宋" w:eastAsia="仿宋" w:cs="仿宋"/>
                <w:color w:val="auto"/>
                <w:sz w:val="24"/>
                <w:szCs w:val="24"/>
                <w:highlight w:val="none"/>
                <w:lang w:eastAsia="zh-CN"/>
              </w:rPr>
              <w:t>直至符合质</w:t>
            </w:r>
            <w:r>
              <w:rPr>
                <w:rFonts w:hint="eastAsia" w:ascii="仿宋" w:hAnsi="仿宋" w:eastAsia="仿宋" w:cs="仿宋"/>
                <w:color w:val="auto"/>
                <w:sz w:val="24"/>
                <w:szCs w:val="24"/>
                <w:highlight w:val="none"/>
                <w:lang w:val="en-US" w:eastAsia="zh-CN"/>
              </w:rPr>
              <w:t>量</w:t>
            </w:r>
            <w:r>
              <w:rPr>
                <w:rFonts w:hint="eastAsia" w:ascii="仿宋" w:hAnsi="仿宋" w:eastAsia="仿宋" w:cs="仿宋"/>
                <w:color w:val="auto"/>
                <w:sz w:val="24"/>
                <w:szCs w:val="24"/>
                <w:highlight w:val="none"/>
                <w:lang w:eastAsia="zh-CN"/>
              </w:rPr>
              <w:t>要求。该费用已包含在响应报价中，采购人不再另行支付</w:t>
            </w:r>
            <w:r>
              <w:rPr>
                <w:rFonts w:hint="eastAsia" w:ascii="仿宋" w:hAnsi="仿宋" w:eastAsia="仿宋" w:cs="仿宋"/>
                <w:color w:val="auto"/>
                <w:sz w:val="24"/>
                <w:szCs w:val="24"/>
                <w:highlight w:val="none"/>
                <w:lang w:val="en-US" w:eastAsia="zh-CN"/>
              </w:rPr>
              <w:t>。</w:t>
            </w:r>
          </w:p>
          <w:p w14:paraId="6C02167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若连续3次实验结果低于“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质量</w:t>
            </w:r>
            <w:r>
              <w:rPr>
                <w:rFonts w:hint="eastAsia" w:ascii="仿宋" w:hAnsi="仿宋" w:eastAsia="仿宋" w:cs="仿宋"/>
                <w:color w:val="auto"/>
                <w:sz w:val="24"/>
                <w:szCs w:val="24"/>
                <w:highlight w:val="none"/>
                <w:lang w:val="en-US" w:eastAsia="zh-CN"/>
              </w:rPr>
              <w:t>验收</w:t>
            </w:r>
            <w:r>
              <w:rPr>
                <w:rFonts w:hint="eastAsia" w:ascii="仿宋" w:hAnsi="仿宋" w:eastAsia="仿宋" w:cs="仿宋"/>
                <w:color w:val="auto"/>
                <w:sz w:val="24"/>
                <w:szCs w:val="24"/>
                <w:highlight w:val="none"/>
                <w:lang w:eastAsia="zh-CN"/>
              </w:rPr>
              <w:t>标准”，</w:t>
            </w:r>
            <w:r>
              <w:rPr>
                <w:rFonts w:hint="eastAsia" w:ascii="仿宋" w:hAnsi="仿宋" w:eastAsia="仿宋" w:cs="仿宋"/>
                <w:color w:val="auto"/>
                <w:sz w:val="24"/>
                <w:szCs w:val="24"/>
                <w:highlight w:val="none"/>
                <w:lang w:val="en-US" w:eastAsia="zh-CN"/>
              </w:rPr>
              <w:t>采购人有权认定成交供应商不符合本项目的技术要求，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进行整改，有权要求成交供应商在整改期间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直至整改结束。如30个日历日内仍未整改完成，采购人有权无条件解除合同，并将供应商列入“中山大学孙逸仙纪念医院失信供应商名单”。</w:t>
            </w:r>
          </w:p>
          <w:p w14:paraId="4199551E">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★数据质控和分析要求：</w:t>
            </w:r>
          </w:p>
          <w:p w14:paraId="1909B207">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用技术对应的分析流程或软件对原始数据质控预处理：可进行mRNA空间位置恢复、过滤、参考基因组比对、基因区域注释、分子标识(MDD)校正、表达矩阵生成、组织区域提取、聚类、饱和度分析和报告生成，最终获得组织的基因表达和空间信息。</w:t>
            </w:r>
          </w:p>
          <w:p w14:paraId="79D81955">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质量控制</w:t>
            </w:r>
            <w:r>
              <w:rPr>
                <w:rFonts w:hint="eastAsia" w:ascii="仿宋" w:hAnsi="仿宋" w:eastAsia="仿宋" w:cs="仿宋"/>
                <w:color w:val="auto"/>
                <w:sz w:val="24"/>
                <w:szCs w:val="24"/>
                <w:highlight w:val="none"/>
                <w:lang w:val="en-US" w:eastAsia="zh-CN"/>
              </w:rPr>
              <w:t>验收</w:t>
            </w:r>
            <w:r>
              <w:rPr>
                <w:rFonts w:hint="eastAsia" w:ascii="仿宋" w:hAnsi="仿宋" w:eastAsia="仿宋" w:cs="仿宋"/>
                <w:color w:val="auto"/>
                <w:sz w:val="24"/>
                <w:szCs w:val="24"/>
                <w:highlight w:val="none"/>
                <w:lang w:eastAsia="zh-CN"/>
              </w:rPr>
              <w:t>要求：</w:t>
            </w:r>
          </w:p>
          <w:p w14:paraId="6A439603">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过滤后的序列比例&gt;70%；</w:t>
            </w:r>
          </w:p>
          <w:p w14:paraId="262F22CD">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唯一比对率序列比例&gt;50%；</w:t>
            </w:r>
          </w:p>
          <w:p w14:paraId="6040EEF7">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注释到参考基因组的序列比例&gt;60%；</w:t>
            </w:r>
          </w:p>
          <w:p w14:paraId="79606320">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bin50分辨率下平均基因类型&gt;400；</w:t>
            </w:r>
          </w:p>
          <w:p w14:paraId="31BA0211">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bin50分辨率下平均MID&gt;500；</w:t>
            </w:r>
          </w:p>
          <w:p w14:paraId="23DB18C8">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lang w:eastAsia="zh-CN"/>
              </w:rPr>
              <w:t>in200分辨率下平均基因数&gt;1000；</w:t>
            </w:r>
          </w:p>
          <w:p w14:paraId="479AB650">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不相关短序列比例＜10%；</w:t>
            </w:r>
          </w:p>
          <w:p w14:paraId="26F2C147">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未比对到参考基因组的序列比例＜20%；</w:t>
            </w:r>
          </w:p>
          <w:p w14:paraId="0B46D190">
            <w:pPr>
              <w:keepNext w:val="0"/>
              <w:keepLines w:val="0"/>
              <w:pageBreakBefore w:val="0"/>
              <w:widowControl w:val="0"/>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组织中MID占唯一比对序列的比例&gt;50%。</w:t>
            </w:r>
          </w:p>
          <w:p w14:paraId="2C85228F">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对于数据质量不满足于“</w:t>
            </w:r>
            <w:r>
              <w:rPr>
                <w:rFonts w:hint="eastAsia" w:ascii="仿宋" w:hAnsi="仿宋" w:eastAsia="仿宋" w:cs="仿宋"/>
                <w:color w:val="auto"/>
                <w:sz w:val="24"/>
                <w:szCs w:val="24"/>
                <w:highlight w:val="none"/>
                <w:lang w:val="en-US" w:eastAsia="zh-CN"/>
              </w:rPr>
              <w:t>2、质量控制验收标准</w:t>
            </w:r>
            <w:r>
              <w:rPr>
                <w:rFonts w:hint="eastAsia" w:ascii="仿宋" w:hAnsi="仿宋" w:eastAsia="仿宋" w:cs="仿宋"/>
                <w:color w:val="auto"/>
                <w:sz w:val="24"/>
                <w:szCs w:val="24"/>
                <w:highlight w:val="none"/>
                <w:lang w:eastAsia="zh-CN"/>
              </w:rPr>
              <w:t>”的样本，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必须重做建库</w:t>
            </w:r>
            <w:r>
              <w:rPr>
                <w:rFonts w:hint="eastAsia" w:ascii="仿宋" w:hAnsi="仿宋" w:eastAsia="仿宋" w:cs="仿宋"/>
                <w:color w:val="auto"/>
                <w:sz w:val="24"/>
                <w:szCs w:val="24"/>
                <w:highlight w:val="none"/>
                <w:lang w:val="en-US" w:eastAsia="zh-CN"/>
              </w:rPr>
              <w:t>检测</w:t>
            </w:r>
            <w:r>
              <w:rPr>
                <w:rFonts w:hint="eastAsia" w:ascii="仿宋" w:hAnsi="仿宋" w:eastAsia="仿宋" w:cs="仿宋"/>
                <w:color w:val="auto"/>
                <w:sz w:val="24"/>
                <w:szCs w:val="24"/>
                <w:highlight w:val="none"/>
                <w:lang w:eastAsia="zh-CN"/>
              </w:rPr>
              <w:t>直至符合质</w:t>
            </w:r>
            <w:r>
              <w:rPr>
                <w:rFonts w:hint="eastAsia" w:ascii="仿宋" w:hAnsi="仿宋" w:eastAsia="仿宋" w:cs="仿宋"/>
                <w:color w:val="auto"/>
                <w:sz w:val="24"/>
                <w:szCs w:val="24"/>
                <w:highlight w:val="none"/>
                <w:lang w:val="en-US" w:eastAsia="zh-CN"/>
              </w:rPr>
              <w:t>量</w:t>
            </w:r>
            <w:r>
              <w:rPr>
                <w:rFonts w:hint="eastAsia" w:ascii="仿宋" w:hAnsi="仿宋" w:eastAsia="仿宋" w:cs="仿宋"/>
                <w:color w:val="auto"/>
                <w:sz w:val="24"/>
                <w:szCs w:val="24"/>
                <w:highlight w:val="none"/>
                <w:lang w:eastAsia="zh-CN"/>
              </w:rPr>
              <w:t>要求。该费用已包含在响应报价中，采购人不再另行支付</w:t>
            </w:r>
            <w:r>
              <w:rPr>
                <w:rFonts w:hint="eastAsia" w:ascii="仿宋" w:hAnsi="仿宋" w:eastAsia="仿宋" w:cs="仿宋"/>
                <w:color w:val="auto"/>
                <w:sz w:val="24"/>
                <w:szCs w:val="24"/>
                <w:highlight w:val="none"/>
                <w:lang w:val="en-US" w:eastAsia="zh-CN"/>
              </w:rPr>
              <w:t>。</w:t>
            </w:r>
          </w:p>
          <w:p w14:paraId="2CD2FC9B">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若连续3次实验结果低于“</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质量</w:t>
            </w:r>
            <w:r>
              <w:rPr>
                <w:rFonts w:hint="eastAsia" w:ascii="仿宋" w:hAnsi="仿宋" w:eastAsia="仿宋" w:cs="仿宋"/>
                <w:color w:val="auto"/>
                <w:sz w:val="24"/>
                <w:szCs w:val="24"/>
                <w:highlight w:val="none"/>
                <w:lang w:val="en-US" w:eastAsia="zh-CN"/>
              </w:rPr>
              <w:t>控制验收</w:t>
            </w:r>
            <w:r>
              <w:rPr>
                <w:rFonts w:hint="eastAsia" w:ascii="仿宋" w:hAnsi="仿宋" w:eastAsia="仿宋" w:cs="仿宋"/>
                <w:color w:val="auto"/>
                <w:sz w:val="24"/>
                <w:szCs w:val="24"/>
                <w:highlight w:val="none"/>
                <w:lang w:eastAsia="zh-CN"/>
              </w:rPr>
              <w:t>标准”，</w:t>
            </w:r>
            <w:r>
              <w:rPr>
                <w:rFonts w:hint="eastAsia" w:ascii="仿宋" w:hAnsi="仿宋" w:eastAsia="仿宋" w:cs="仿宋"/>
                <w:color w:val="auto"/>
                <w:sz w:val="24"/>
                <w:szCs w:val="24"/>
                <w:highlight w:val="none"/>
                <w:lang w:val="en-US" w:eastAsia="zh-CN"/>
              </w:rPr>
              <w:t>采购人有权认定成交供应商不符合本项目的技术要求，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进行整改，有权要求成交供应商在整改期间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直至整改结束。如30个日历日内仍未整改完成，采购人有权无条件解除合同，并将供应商列入“中山大学孙逸仙纪念医院失信供应商名单”。</w:t>
            </w:r>
          </w:p>
          <w:p w14:paraId="4FFF1D32">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分析要求：</w:t>
            </w:r>
          </w:p>
          <w:p w14:paraId="3882BBD2">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使用Seurat包对基因定量后质控数据进行标准化处理。</w:t>
            </w:r>
          </w:p>
          <w:p w14:paraId="43276F94">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基于R语言进行KEGG、GO富集分析，图形可视化等分析。</w:t>
            </w:r>
          </w:p>
          <w:p w14:paraId="2FA8EFE7">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数据交付标准及保存：</w:t>
            </w:r>
          </w:p>
          <w:p w14:paraId="5B115830">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数据交付：</w:t>
            </w:r>
          </w:p>
          <w:p w14:paraId="29D6AEB0">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原始数据（FASTQ格式）；</w:t>
            </w:r>
          </w:p>
          <w:p w14:paraId="5679F926">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交付所有实验报告、测序原始数据，及分析结果和报告。</w:t>
            </w:r>
          </w:p>
          <w:p w14:paraId="18C5F516">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结果分析报告：分析内容包括但不限于测序数据质控、进行空间结构基因表达定量分析、细胞鉴定分析、差异表达基因功能分析、进行下游的细胞分群分析、细胞群体间差异表达基因分析等；</w:t>
            </w:r>
          </w:p>
          <w:p w14:paraId="0DACF6B8">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质控报告（含过滤序列占比&gt;70%等指标）。</w:t>
            </w:r>
          </w:p>
          <w:p w14:paraId="2117AFAF">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样本管理：</w:t>
            </w:r>
          </w:p>
          <w:p w14:paraId="4239B8BD">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剩余样本低温保存（-20℃~-80℃）≥12个月；</w:t>
            </w:r>
          </w:p>
          <w:p w14:paraId="5586790B">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样本标识系统化管理。</w:t>
            </w:r>
          </w:p>
          <w:p w14:paraId="2F269BB6">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数据存储：</w:t>
            </w:r>
          </w:p>
          <w:p w14:paraId="1AFD92DF">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加密存储</w:t>
            </w:r>
            <w:r>
              <w:rPr>
                <w:rFonts w:hint="eastAsia" w:ascii="仿宋" w:hAnsi="仿宋" w:eastAsia="仿宋" w:cs="仿宋"/>
                <w:color w:val="auto"/>
                <w:sz w:val="24"/>
                <w:szCs w:val="24"/>
                <w:highlight w:val="none"/>
                <w:lang w:val="en-US" w:eastAsia="zh-CN"/>
              </w:rPr>
              <w:t>存储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个月（含原始数据与分析结果）；</w:t>
            </w:r>
          </w:p>
          <w:p w14:paraId="455CE069">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提供定期数据备份服务。</w:t>
            </w:r>
          </w:p>
          <w:p w14:paraId="0ECD39D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其他要求： </w:t>
            </w:r>
          </w:p>
          <w:p w14:paraId="0C0D0529">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rPr>
              <w:t>★</w:t>
            </w:r>
            <w:r>
              <w:rPr>
                <w:rFonts w:hint="eastAsia" w:ascii="仿宋" w:hAnsi="仿宋" w:eastAsia="仿宋" w:cs="仿宋"/>
                <w:color w:val="auto"/>
                <w:sz w:val="24"/>
                <w:szCs w:val="24"/>
                <w:highlight w:val="none"/>
                <w:lang w:eastAsia="zh-CN"/>
              </w:rPr>
              <w:t>配置要求：</w:t>
            </w:r>
          </w:p>
          <w:p w14:paraId="2AA2679F">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响应人须具备空间转录组测序平台仪器及相应的试剂、流式细胞仪和常规分子实验仪器（如设备名称不一样，但是可以满足相应用途要求的，视为符合要求。）。 </w:t>
            </w:r>
          </w:p>
          <w:p w14:paraId="77C251E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供应商需在响应时承诺，如获中选，须在签订合同前按照上述要求配置具备相应用途的设备，并接受采购人对上述设备的核查。如发现供应商未按照承诺配置相关设备，将视为虚假响应，采购人有权取消其中标资格，并报告采购监督管理部门予以处罚。</w:t>
            </w:r>
          </w:p>
          <w:p w14:paraId="3ADF44C8">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分析能力要求：</w:t>
            </w:r>
          </w:p>
          <w:p w14:paraId="5DBF6A11">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对数据进行高级分析和定制化分析；数据分析需根据实验设计、数据结果进行参数优化，基于采购人的研究需求提供可行的分析方法并且执行数据分析和挖掘，在对于探索性的生物学问题可以对数据多次分析，尝试不同的软件方法，调试不同的参数对数据进行分析和挖掘； </w:t>
            </w:r>
          </w:p>
          <w:p w14:paraId="39D9D035">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团队配置要求：</w:t>
            </w:r>
          </w:p>
          <w:p w14:paraId="65DEE8E3">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须配备配备空间转录组专项技术团队，</w:t>
            </w:r>
            <w:r>
              <w:rPr>
                <w:rFonts w:hint="eastAsia" w:ascii="仿宋" w:hAnsi="仿宋" w:eastAsia="仿宋" w:cs="仿宋"/>
                <w:color w:val="auto"/>
                <w:sz w:val="24"/>
                <w:szCs w:val="24"/>
                <w:highlight w:val="none"/>
                <w:lang w:val="en-US" w:eastAsia="zh-CN"/>
              </w:rPr>
              <w:t>团队需配备不少于</w:t>
            </w:r>
            <w:r>
              <w:rPr>
                <w:rFonts w:hint="eastAsia" w:ascii="仿宋" w:hAnsi="仿宋" w:eastAsia="仿宋" w:cs="仿宋"/>
                <w:color w:val="auto"/>
                <w:sz w:val="24"/>
                <w:szCs w:val="24"/>
                <w:highlight w:val="none"/>
                <w:lang w:eastAsia="zh-CN"/>
              </w:rPr>
              <w:t>2名实验技术员，</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1名生信分析工程师，</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1名技术支持</w:t>
            </w:r>
            <w:r>
              <w:rPr>
                <w:rFonts w:hint="eastAsia" w:ascii="仿宋" w:hAnsi="仿宋" w:eastAsia="仿宋" w:cs="仿宋"/>
                <w:color w:val="auto"/>
                <w:sz w:val="24"/>
                <w:szCs w:val="24"/>
                <w:highlight w:val="none"/>
                <w:lang w:val="en-US" w:eastAsia="zh-CN"/>
              </w:rPr>
              <w:t>人员。</w:t>
            </w:r>
          </w:p>
          <w:p w14:paraId="2D793A5E">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通过微信群，腾讯会议定期反馈项目进展、分析进展。</w:t>
            </w:r>
          </w:p>
          <w:p w14:paraId="596B9ADC">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val="en-US" w:eastAsia="zh-CN"/>
              </w:rPr>
              <w:t>供应商不得随意更换团队人员（不能胜任除外）。（供应商需在响应文件中提供团队人员名单、联系电话、相关的学历证明文件、职称证书及响应截止前三个月内任意一个月响应供应商为其缴纳的社保缴纳证明或单位代扣个人所得税材料或有效劳动合同复印件作为团队人员的在职证明）</w:t>
            </w:r>
          </w:p>
          <w:p w14:paraId="129DFA0E">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技术支持：</w:t>
            </w:r>
          </w:p>
          <w:p w14:paraId="7DEFF4F1">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服务期内</w:t>
            </w:r>
            <w:r>
              <w:rPr>
                <w:rFonts w:hint="eastAsia" w:ascii="仿宋" w:hAnsi="仿宋" w:eastAsia="仿宋" w:cs="仿宋"/>
                <w:color w:val="auto"/>
                <w:sz w:val="24"/>
                <w:szCs w:val="24"/>
                <w:highlight w:val="none"/>
                <w:lang w:val="en-US" w:eastAsia="zh-CN"/>
              </w:rPr>
              <w:t>供应商需对采购人开展不少于</w:t>
            </w:r>
            <w:r>
              <w:rPr>
                <w:rFonts w:hint="eastAsia" w:ascii="仿宋" w:hAnsi="仿宋" w:eastAsia="仿宋" w:cs="仿宋"/>
                <w:color w:val="auto"/>
                <w:sz w:val="24"/>
                <w:szCs w:val="24"/>
                <w:highlight w:val="none"/>
                <w:lang w:eastAsia="zh-CN"/>
              </w:rPr>
              <w:t>5次专项技术交流，内容包括但不限于：样本处理，包括样品保存和运输、核酸提取、HE染色、文库构建等；技术理论知识培训，包括技术背景、原理、流程、应用等；建库流程和操作；分析流程和报告解读。（该费用已包含在响应报价中，采购人不再另行支付）。</w:t>
            </w:r>
          </w:p>
          <w:p w14:paraId="57A50BCB">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定期项目进度报告。</w:t>
            </w:r>
          </w:p>
        </w:tc>
      </w:tr>
      <w:tr w14:paraId="12F6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31BB714B">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p>
          <w:p w14:paraId="32D4FB49">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需求二：完成</w:t>
            </w:r>
            <w:r>
              <w:rPr>
                <w:rFonts w:hint="eastAsia" w:ascii="仿宋" w:hAnsi="仿宋" w:eastAsia="仿宋" w:cs="仿宋"/>
                <w:color w:val="auto"/>
                <w:sz w:val="24"/>
                <w:szCs w:val="24"/>
                <w:highlight w:val="none"/>
                <w:u w:val="single"/>
                <w:lang w:val="en-US" w:eastAsia="zh-CN"/>
              </w:rPr>
              <w:t>不少于</w:t>
            </w:r>
            <w:r>
              <w:rPr>
                <w:rFonts w:hint="eastAsia" w:ascii="仿宋" w:hAnsi="仿宋" w:eastAsia="仿宋" w:cs="仿宋"/>
                <w:color w:val="auto"/>
                <w:sz w:val="24"/>
                <w:szCs w:val="24"/>
                <w:highlight w:val="none"/>
                <w:u w:val="single"/>
                <w:lang w:eastAsia="zh-CN"/>
              </w:rPr>
              <w:t>30例</w:t>
            </w:r>
            <w:r>
              <w:rPr>
                <w:rFonts w:hint="eastAsia" w:ascii="仿宋" w:hAnsi="仿宋" w:eastAsia="仿宋" w:cs="仿宋"/>
                <w:color w:val="auto"/>
                <w:sz w:val="24"/>
                <w:szCs w:val="24"/>
                <w:highlight w:val="none"/>
                <w:lang w:eastAsia="zh-CN"/>
              </w:rPr>
              <w:t>组织样本的单细胞测序和数据分析工作，比较样本间/组间在单细胞转录组学中的细胞类型差异、细胞占比差异、基因表达差异及相关生物学功能。</w:t>
            </w:r>
          </w:p>
        </w:tc>
        <w:tc>
          <w:tcPr>
            <w:tcW w:w="7229" w:type="dxa"/>
          </w:tcPr>
          <w:p w14:paraId="07114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服务内容、</w:t>
            </w:r>
            <w:r>
              <w:rPr>
                <w:rFonts w:hint="eastAsia" w:ascii="仿宋" w:hAnsi="仿宋" w:eastAsia="仿宋" w:cs="仿宋"/>
                <w:b/>
                <w:bCs/>
                <w:color w:val="auto"/>
                <w:sz w:val="24"/>
                <w:szCs w:val="24"/>
                <w:highlight w:val="none"/>
                <w:lang w:eastAsia="zh-CN"/>
              </w:rPr>
              <w:t>细胞悬液要求、平台要求、测序需求和数据质控要求及验收标准：</w:t>
            </w:r>
          </w:p>
          <w:p w14:paraId="5CB2AEAC">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lang w:eastAsia="zh-CN"/>
              </w:rPr>
              <w:t>单细胞转录组测序分析服务。</w:t>
            </w:r>
            <w:r>
              <w:rPr>
                <w:rFonts w:hint="eastAsia" w:ascii="仿宋" w:hAnsi="仿宋" w:eastAsia="仿宋" w:cs="仿宋"/>
                <w:color w:val="auto"/>
                <w:sz w:val="24"/>
                <w:szCs w:val="24"/>
                <w:highlight w:val="none"/>
                <w:lang w:val="en-US" w:eastAsia="zh-CN"/>
              </w:rPr>
              <w:t>包括但不限于以下内容：</w:t>
            </w:r>
          </w:p>
          <w:p w14:paraId="4DE3D520">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组织样本的单细胞悬液制备和质检服务；</w:t>
            </w:r>
          </w:p>
          <w:p w14:paraId="387401E5">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质检合格的样本进行高通量单细胞平台建库,使用高通量测序平台进行测序，要求测序策略为双端150pb，即PE150；</w:t>
            </w:r>
          </w:p>
          <w:p w14:paraId="55797CCA">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测序下机数据进行数据质控和常规生信分析。</w:t>
            </w:r>
          </w:p>
          <w:p w14:paraId="4FEA4531">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细胞悬液要求：</w:t>
            </w:r>
          </w:p>
          <w:p w14:paraId="1963BD12">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细胞活性≥85%；</w:t>
            </w:r>
          </w:p>
          <w:p w14:paraId="6F8A61AF">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细胞浓度700-1200cells/ul；</w:t>
            </w:r>
          </w:p>
          <w:p w14:paraId="2548C7D7">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结团率≤10%；</w:t>
            </w:r>
          </w:p>
          <w:p w14:paraId="388468F4">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有核率≥70%。 </w:t>
            </w:r>
          </w:p>
          <w:p w14:paraId="0C6B55E1">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实验平台要求：</w:t>
            </w:r>
          </w:p>
          <w:p w14:paraId="4EA441D6">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支持利用荧光计数法和台盼蓝染色法两种方式同时进行细胞计数；</w:t>
            </w:r>
          </w:p>
          <w:p w14:paraId="12F096AC">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要求利用单细胞捕获平台及配套试剂完成样本捕获和文库构建。 </w:t>
            </w:r>
          </w:p>
          <w:p w14:paraId="1753DDDE">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rPr>
              <w:t>★</w:t>
            </w:r>
            <w:r>
              <w:rPr>
                <w:rFonts w:hint="eastAsia" w:ascii="仿宋" w:hAnsi="仿宋" w:eastAsia="仿宋" w:cs="仿宋"/>
                <w:color w:val="auto"/>
                <w:sz w:val="24"/>
                <w:szCs w:val="24"/>
                <w:highlight w:val="none"/>
                <w:lang w:eastAsia="zh-CN"/>
              </w:rPr>
              <w:t>测序需求：</w:t>
            </w:r>
          </w:p>
          <w:p w14:paraId="07ABDD2F">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要求使用高通量测序平台进行 PE150 测序；</w:t>
            </w:r>
          </w:p>
          <w:p w14:paraId="346897BC">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测序质量</w:t>
            </w:r>
            <w:r>
              <w:rPr>
                <w:rFonts w:hint="eastAsia" w:ascii="仿宋" w:hAnsi="仿宋" w:eastAsia="仿宋" w:cs="仿宋"/>
                <w:color w:val="auto"/>
                <w:sz w:val="24"/>
                <w:szCs w:val="24"/>
                <w:highlight w:val="none"/>
                <w:lang w:val="en-US" w:eastAsia="zh-CN"/>
              </w:rPr>
              <w:t>验收</w:t>
            </w:r>
            <w:r>
              <w:rPr>
                <w:rFonts w:hint="eastAsia" w:ascii="仿宋" w:hAnsi="仿宋" w:eastAsia="仿宋" w:cs="仿宋"/>
                <w:color w:val="auto"/>
                <w:sz w:val="24"/>
                <w:szCs w:val="24"/>
                <w:highlight w:val="none"/>
                <w:lang w:eastAsia="zh-CN"/>
              </w:rPr>
              <w:t>要求：</w:t>
            </w:r>
          </w:p>
          <w:p w14:paraId="5B2EA3F5">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文库质检合格后，每个转录组文库测序数据量≥150G，</w:t>
            </w:r>
          </w:p>
          <w:p w14:paraId="475DBD03">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 Q30≥85%，无 GC 分离；</w:t>
            </w:r>
          </w:p>
          <w:p w14:paraId="02173E79">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测序饱和度≥80%。 </w:t>
            </w:r>
          </w:p>
          <w:p w14:paraId="20FCB2B2">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对于数据质量不满足于“</w:t>
            </w:r>
            <w:r>
              <w:rPr>
                <w:rFonts w:hint="eastAsia" w:ascii="仿宋" w:hAnsi="仿宋" w:eastAsia="仿宋" w:cs="仿宋"/>
                <w:color w:val="auto"/>
                <w:sz w:val="24"/>
                <w:szCs w:val="24"/>
                <w:highlight w:val="none"/>
                <w:lang w:val="en-US" w:eastAsia="zh-CN"/>
              </w:rPr>
              <w:t>2、测序质量标准</w:t>
            </w:r>
            <w:r>
              <w:rPr>
                <w:rFonts w:hint="eastAsia" w:ascii="仿宋" w:hAnsi="仿宋" w:eastAsia="仿宋" w:cs="仿宋"/>
                <w:color w:val="auto"/>
                <w:sz w:val="24"/>
                <w:szCs w:val="24"/>
                <w:highlight w:val="none"/>
                <w:lang w:eastAsia="zh-CN"/>
              </w:rPr>
              <w:t>”的样本，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必须重做</w:t>
            </w:r>
            <w:r>
              <w:rPr>
                <w:rFonts w:hint="eastAsia" w:ascii="仿宋" w:hAnsi="仿宋" w:eastAsia="仿宋" w:cs="仿宋"/>
                <w:color w:val="auto"/>
                <w:sz w:val="24"/>
                <w:szCs w:val="24"/>
                <w:highlight w:val="none"/>
                <w:lang w:val="en-US" w:eastAsia="zh-CN"/>
              </w:rPr>
              <w:t>检测</w:t>
            </w:r>
            <w:r>
              <w:rPr>
                <w:rFonts w:hint="eastAsia" w:ascii="仿宋" w:hAnsi="仿宋" w:eastAsia="仿宋" w:cs="仿宋"/>
                <w:color w:val="auto"/>
                <w:sz w:val="24"/>
                <w:szCs w:val="24"/>
                <w:highlight w:val="none"/>
                <w:lang w:eastAsia="zh-CN"/>
              </w:rPr>
              <w:t>直至符合要求。该费用已包含在响应报价中，采购人不再另行支付</w:t>
            </w:r>
            <w:r>
              <w:rPr>
                <w:rFonts w:hint="eastAsia" w:ascii="仿宋" w:hAnsi="仿宋" w:eastAsia="仿宋" w:cs="仿宋"/>
                <w:color w:val="auto"/>
                <w:sz w:val="24"/>
                <w:szCs w:val="24"/>
                <w:highlight w:val="none"/>
                <w:lang w:val="en-US" w:eastAsia="zh-CN"/>
              </w:rPr>
              <w:t>。</w:t>
            </w:r>
          </w:p>
          <w:p w14:paraId="73225B51">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若连续3次实验结果低于“</w:t>
            </w:r>
            <w:r>
              <w:rPr>
                <w:rFonts w:hint="eastAsia" w:ascii="仿宋" w:hAnsi="仿宋" w:eastAsia="仿宋" w:cs="仿宋"/>
                <w:color w:val="auto"/>
                <w:sz w:val="24"/>
                <w:szCs w:val="24"/>
                <w:highlight w:val="none"/>
                <w:lang w:val="en-US" w:eastAsia="zh-CN"/>
              </w:rPr>
              <w:t>2、测序质量标准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采购人有权认定供应商不符合本项目的技术要求，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进行整改，有权要求成交供应商在整改期间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直至整改结束。如30个日历日内仍未整改完成，采购人有权无条件解除合同，并将供应商列入“中山大学孙逸仙纪念医院失信供应商名单”。</w:t>
            </w:r>
          </w:p>
          <w:p w14:paraId="07C426A7">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rPr>
              <w:t>★</w:t>
            </w:r>
            <w:r>
              <w:rPr>
                <w:rFonts w:hint="eastAsia" w:ascii="仿宋" w:hAnsi="仿宋" w:eastAsia="仿宋" w:cs="仿宋"/>
                <w:color w:val="auto"/>
                <w:sz w:val="24"/>
                <w:szCs w:val="24"/>
                <w:highlight w:val="none"/>
                <w:lang w:eastAsia="zh-CN"/>
              </w:rPr>
              <w:t>数据质控</w:t>
            </w:r>
            <w:r>
              <w:rPr>
                <w:rFonts w:hint="eastAsia" w:ascii="仿宋" w:hAnsi="仿宋" w:eastAsia="仿宋" w:cs="仿宋"/>
                <w:color w:val="auto"/>
                <w:sz w:val="24"/>
                <w:szCs w:val="24"/>
                <w:highlight w:val="none"/>
                <w:lang w:val="en-US" w:eastAsia="zh-CN"/>
              </w:rPr>
              <w:t>验收</w:t>
            </w:r>
            <w:r>
              <w:rPr>
                <w:rFonts w:hint="eastAsia" w:ascii="仿宋" w:hAnsi="仿宋" w:eastAsia="仿宋" w:cs="仿宋"/>
                <w:color w:val="auto"/>
                <w:sz w:val="24"/>
                <w:szCs w:val="24"/>
                <w:highlight w:val="none"/>
                <w:lang w:eastAsia="zh-CN"/>
              </w:rPr>
              <w:t>要求：</w:t>
            </w:r>
          </w:p>
          <w:p w14:paraId="3A779076">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捕获效能标准：</w:t>
            </w:r>
          </w:p>
          <w:p w14:paraId="5968F984">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本项目预设每个文库捕获 10000 个细胞（允许±15%误差）；此细胞捕获数为本项目预设值，具体细胞捕获数以上机实验捕获细胞数为准。</w:t>
            </w:r>
          </w:p>
          <w:p w14:paraId="7BC54EFF">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基因中位数≥1500，测序饱和度≥80%</w:t>
            </w:r>
            <w:r>
              <w:rPr>
                <w:rFonts w:hint="eastAsia" w:ascii="仿宋" w:hAnsi="仿宋" w:eastAsia="仿宋" w:cs="仿宋"/>
                <w:color w:val="auto"/>
                <w:sz w:val="24"/>
                <w:highlight w:val="none"/>
                <w:lang w:eastAsia="zh-CN"/>
              </w:rPr>
              <w:t>。</w:t>
            </w:r>
          </w:p>
          <w:p w14:paraId="4944493E">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样品解离后风险上机需及时告知。正常情况下，若细胞捕获数量超出常规的波动范围，即每个文库捕获的细胞数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6000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供应商需</w:t>
            </w:r>
            <w:r>
              <w:rPr>
                <w:rFonts w:hint="eastAsia" w:ascii="仿宋" w:hAnsi="仿宋" w:eastAsia="仿宋" w:cs="仿宋"/>
                <w:color w:val="auto"/>
                <w:sz w:val="24"/>
                <w:highlight w:val="none"/>
              </w:rPr>
              <w:t>对样本</w:t>
            </w:r>
            <w:r>
              <w:rPr>
                <w:rFonts w:hint="eastAsia" w:ascii="仿宋" w:hAnsi="仿宋" w:eastAsia="仿宋" w:cs="仿宋"/>
                <w:color w:val="auto"/>
                <w:sz w:val="24"/>
                <w:highlight w:val="none"/>
                <w:lang w:val="en-US" w:eastAsia="zh-CN"/>
              </w:rPr>
              <w:t>进行</w:t>
            </w:r>
            <w:r>
              <w:rPr>
                <w:rFonts w:hint="eastAsia" w:ascii="仿宋" w:hAnsi="仿宋" w:eastAsia="仿宋" w:cs="仿宋"/>
                <w:color w:val="auto"/>
                <w:sz w:val="24"/>
                <w:highlight w:val="none"/>
              </w:rPr>
              <w:t>重做（该费用已包含在响应报价中，采购人不再另行支付）。</w:t>
            </w:r>
          </w:p>
          <w:p w14:paraId="6D8AF4B3">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若数据报告中，细胞捕获数量在标准捕获10000个细胞的60%-85%之间，需在实验报告中标注“接近下限风险”。</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对样本</w:t>
            </w:r>
            <w:r>
              <w:rPr>
                <w:rFonts w:hint="eastAsia" w:ascii="仿宋" w:hAnsi="仿宋" w:eastAsia="仿宋" w:cs="仿宋"/>
                <w:color w:val="auto"/>
                <w:sz w:val="24"/>
                <w:highlight w:val="none"/>
                <w:lang w:val="en-US" w:eastAsia="zh-CN"/>
              </w:rPr>
              <w:t>进行</w:t>
            </w:r>
            <w:r>
              <w:rPr>
                <w:rFonts w:hint="eastAsia" w:ascii="仿宋" w:hAnsi="仿宋" w:eastAsia="仿宋" w:cs="仿宋"/>
                <w:color w:val="auto"/>
                <w:sz w:val="24"/>
                <w:highlight w:val="none"/>
              </w:rPr>
              <w:t>重做（该费用已包含在响应报价中，采购人不再另行支付）。</w:t>
            </w:r>
          </w:p>
          <w:p w14:paraId="527B3C03">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若连续3次实验结果“细胞捕获数≤6000，且基因中位数≤1200”，</w:t>
            </w:r>
            <w:r>
              <w:rPr>
                <w:rFonts w:hint="eastAsia" w:ascii="仿宋" w:hAnsi="仿宋" w:eastAsia="仿宋" w:cs="仿宋"/>
                <w:color w:val="auto"/>
                <w:sz w:val="24"/>
                <w:szCs w:val="24"/>
                <w:highlight w:val="none"/>
                <w:lang w:val="en-US" w:eastAsia="zh-CN"/>
              </w:rPr>
              <w:t>采购人有权认定供应商不符合本项目的技术要求，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进行整改，有权要求成交供应商在整改期间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直至整改结束。如30个日历日内仍未整改完成，采购人有权无条件解除合同，并将供应商列入“中山大学孙逸仙纪念医院失信供应商名单”。</w:t>
            </w:r>
          </w:p>
          <w:p w14:paraId="2D6B8D2E">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数据交付标准及保存：</w:t>
            </w:r>
          </w:p>
          <w:p w14:paraId="553B3D62">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数据交付：</w:t>
            </w:r>
          </w:p>
          <w:p w14:paraId="48EFEA10">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交付所有测序原始数据以及 cleandata 记录报告及结果； </w:t>
            </w:r>
          </w:p>
          <w:p w14:paraId="04650EA3">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结果分析报告：分析内容包含但不限于对数据进行标准分析、高级分析和定制化分析：数据质控、数据统计、单样本 t-SNE 分型、marker 基因展示、转录因子注释、蛋白互作网络、样本间 相关性分析、多样本 t-SNE 分型分析、多样本拟时分析、marker 基因聚类分析、基因共表 达分析热图、差异基因分析及差异基因通路富集分析，KEGG、GO、GSEA，并包含线粒体基因过滤、死细胞和多细胞过滤、批次效应去除等质量控制手段；样本间基因差异分析；目标细 胞群体亚聚类；细胞互作；基因互作；开发神经对抗网络分析；鉴定稀有细胞亚群，加强细 胞注释准确度；免疫细胞 Clonotype 分型，CDR3（TRA\TRB\V 基因\J 基因）丰度分析。 </w:t>
            </w:r>
          </w:p>
          <w:p w14:paraId="4D44D5B1">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数据保留时间：原始测序数据、分析结果等数据至少保留2年(或至文章发表)。 </w:t>
            </w:r>
          </w:p>
          <w:p w14:paraId="753B422D">
            <w:pPr>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加密存储</w:t>
            </w:r>
            <w:r>
              <w:rPr>
                <w:rFonts w:hint="eastAsia" w:ascii="仿宋" w:hAnsi="仿宋" w:eastAsia="仿宋" w:cs="仿宋"/>
                <w:color w:val="auto"/>
                <w:sz w:val="24"/>
                <w:szCs w:val="24"/>
                <w:highlight w:val="none"/>
                <w:lang w:val="en-US" w:eastAsia="zh-CN"/>
              </w:rPr>
              <w:t>存储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个月（含原始数据与分析结果）；</w:t>
            </w:r>
          </w:p>
          <w:p w14:paraId="5091ECC1">
            <w:pPr>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提供定期数据备份服务。</w:t>
            </w:r>
          </w:p>
          <w:p w14:paraId="669090AB">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其他要求： </w:t>
            </w:r>
          </w:p>
          <w:p w14:paraId="36196BAB">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时效性：</w:t>
            </w:r>
          </w:p>
          <w:p w14:paraId="690B145C">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因组织样本需新鲜细胞上机的特殊性，</w:t>
            </w:r>
            <w:r>
              <w:rPr>
                <w:rFonts w:hint="eastAsia" w:ascii="仿宋" w:hAnsi="仿宋" w:eastAsia="仿宋" w:cs="仿宋"/>
                <w:color w:val="auto"/>
                <w:sz w:val="24"/>
                <w:szCs w:val="24"/>
                <w:highlight w:val="none"/>
                <w:lang w:val="en-US" w:eastAsia="zh-CN"/>
              </w:rPr>
              <w:t>供应商需在</w:t>
            </w:r>
            <w:r>
              <w:rPr>
                <w:rFonts w:hint="eastAsia" w:ascii="仿宋" w:hAnsi="仿宋" w:eastAsia="仿宋" w:cs="仿宋"/>
                <w:color w:val="auto"/>
                <w:sz w:val="24"/>
                <w:szCs w:val="24"/>
                <w:highlight w:val="none"/>
                <w:lang w:eastAsia="zh-CN"/>
              </w:rPr>
              <w:t>自样本接收</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lang w:eastAsia="zh-CN"/>
              </w:rPr>
              <w:t xml:space="preserve">24小时内开始解离实验，并附上解离的质检报告和上机建议方案。 </w:t>
            </w:r>
          </w:p>
          <w:p w14:paraId="5858027C">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★配置要求：</w:t>
            </w:r>
          </w:p>
          <w:p w14:paraId="71D62412">
            <w:pPr>
              <w:keepNext w:val="0"/>
              <w:keepLines w:val="0"/>
              <w:pageBreakBefore w:val="0"/>
              <w:widowControl w:val="0"/>
              <w:numPr>
                <w:ilvl w:val="0"/>
                <w:numId w:val="34"/>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供应商须具备相应单细胞捕获平台仪器及相应的试剂（如设备名称不一样，但是可以满足相应用途要求的，视为符合要求。）；</w:t>
            </w:r>
          </w:p>
          <w:p w14:paraId="293E2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供应商需在响应时承诺，如获中标，须在签订合同前按照上述要求配置具备相应用途的设备，并接受采购人对上述设备的核查。如发现供应商未按照承诺配置相关设备，将视为虚假响应，采购人有权取消其中标资格，并报告采购监督管理部门予以处罚。</w:t>
            </w:r>
          </w:p>
          <w:p w14:paraId="6F60F579">
            <w:pPr>
              <w:keepNext w:val="0"/>
              <w:keepLines w:val="0"/>
              <w:pageBreakBefore w:val="0"/>
              <w:widowControl w:val="0"/>
              <w:numPr>
                <w:ilvl w:val="0"/>
                <w:numId w:val="34"/>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供应商须具备至少 3个版本的单细胞测序研究工具书。</w:t>
            </w:r>
          </w:p>
          <w:p w14:paraId="79027805">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分析系统：</w:t>
            </w:r>
          </w:p>
          <w:p w14:paraId="0A3FA156">
            <w:pPr>
              <w:keepNext w:val="0"/>
              <w:keepLines w:val="0"/>
              <w:pageBreakBefore w:val="0"/>
              <w:widowControl w:val="0"/>
              <w:numPr>
                <w:ilvl w:val="0"/>
                <w:numId w:val="3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供应商具有单细胞在线作图及分析平台，</w:t>
            </w:r>
          </w:p>
          <w:p w14:paraId="0B52E910">
            <w:pPr>
              <w:keepNext w:val="0"/>
              <w:keepLines w:val="0"/>
              <w:pageBreakBefore w:val="0"/>
              <w:widowControl w:val="0"/>
              <w:numPr>
                <w:ilvl w:val="0"/>
                <w:numId w:val="3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供应商具备单细胞marker基因自建数据库。</w:t>
            </w:r>
          </w:p>
          <w:p w14:paraId="0F529053">
            <w:pPr>
              <w:keepNext w:val="0"/>
              <w:keepLines w:val="0"/>
              <w:pageBreakBefore w:val="0"/>
              <w:widowControl w:val="0"/>
              <w:numPr>
                <w:ilvl w:val="0"/>
                <w:numId w:val="35"/>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供应商须提供单细胞捕获平台单细胞免疫组在线报告及在线分析作图平台，采购人可以按照自己需求审美自行操作调整参数绘制图形。</w:t>
            </w:r>
          </w:p>
          <w:p w14:paraId="00E20648">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分析能力要求：</w:t>
            </w:r>
          </w:p>
          <w:p w14:paraId="264D5C40">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数据进行高级分析和定制化分析；对单细胞捕获平台的单细胞数据分析需根据实验设计、数据结果进行参数优化，基于采购人的研究需求提供可行的分析方法并且执行数据分析和挖掘，在对于探索性的生物学问题可以对数据多次分析，尝试不同的软件方法，调试不同的参数对数据进行分析和挖掘。</w:t>
            </w:r>
          </w:p>
          <w:p w14:paraId="6E1B16FF">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团队配置要求:</w:t>
            </w:r>
          </w:p>
          <w:p w14:paraId="6C7CAE1F">
            <w:pPr>
              <w:keepNext w:val="0"/>
              <w:keepLines w:val="0"/>
              <w:pageBreakBefore w:val="0"/>
              <w:widowControl w:val="0"/>
              <w:numPr>
                <w:ilvl w:val="0"/>
                <w:numId w:val="36"/>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lang w:eastAsia="zh-CN"/>
              </w:rPr>
              <w:t>配备单细胞捕获平台技术团队，</w:t>
            </w:r>
            <w:r>
              <w:rPr>
                <w:rFonts w:hint="eastAsia" w:ascii="仿宋" w:hAnsi="仿宋" w:eastAsia="仿宋" w:cs="仿宋"/>
                <w:color w:val="auto"/>
                <w:sz w:val="24"/>
                <w:szCs w:val="24"/>
                <w:highlight w:val="none"/>
                <w:lang w:val="en-US" w:eastAsia="zh-CN"/>
              </w:rPr>
              <w:t>团队需配备不少于</w:t>
            </w:r>
            <w:r>
              <w:rPr>
                <w:rFonts w:hint="eastAsia" w:ascii="仿宋" w:hAnsi="仿宋" w:eastAsia="仿宋" w:cs="仿宋"/>
                <w:color w:val="auto"/>
                <w:sz w:val="24"/>
                <w:szCs w:val="24"/>
                <w:highlight w:val="none"/>
                <w:lang w:eastAsia="zh-CN"/>
              </w:rPr>
              <w:t>1名技术支持，</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2名实验技术员，</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1名生信分析工程师。</w:t>
            </w:r>
          </w:p>
          <w:p w14:paraId="1904B405">
            <w:pPr>
              <w:keepNext w:val="0"/>
              <w:keepLines w:val="0"/>
              <w:pageBreakBefore w:val="0"/>
              <w:widowControl w:val="0"/>
              <w:numPr>
                <w:ilvl w:val="0"/>
                <w:numId w:val="36"/>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定期通过微信工作群，腾讯会议反馈项目进展、分析进展。</w:t>
            </w:r>
          </w:p>
          <w:p w14:paraId="7C2454A1">
            <w:pPr>
              <w:keepNext w:val="0"/>
              <w:keepLines w:val="0"/>
              <w:pageBreakBefore w:val="0"/>
              <w:widowControl w:val="0"/>
              <w:numPr>
                <w:ilvl w:val="0"/>
                <w:numId w:val="36"/>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不得随意更换团队人员（不能胜任除外）。（供应商需在响应文件中提供团队人员名单、联系电话、相关的学历证明文件、职称证书及响应截止前三个月内任意一个月响应供应商为其缴纳的社保缴纳证明或单位代扣个人所得税材料或有效劳动合同复印件作为团队人员的在职证明）</w:t>
            </w:r>
          </w:p>
          <w:p w14:paraId="0A48F89C">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技术培训要求：</w:t>
            </w:r>
          </w:p>
          <w:p w14:paraId="65092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服务周期内</w:t>
            </w:r>
            <w:r>
              <w:rPr>
                <w:rFonts w:hint="eastAsia" w:ascii="仿宋" w:hAnsi="仿宋" w:eastAsia="仿宋" w:cs="仿宋"/>
                <w:color w:val="auto"/>
                <w:sz w:val="24"/>
                <w:szCs w:val="24"/>
                <w:highlight w:val="none"/>
                <w:lang w:val="en-US" w:eastAsia="zh-CN"/>
              </w:rPr>
              <w:t>供应商需对采购人开展不少于</w:t>
            </w:r>
            <w:r>
              <w:rPr>
                <w:rFonts w:hint="eastAsia" w:ascii="仿宋" w:hAnsi="仿宋" w:eastAsia="仿宋" w:cs="仿宋"/>
                <w:color w:val="auto"/>
                <w:sz w:val="24"/>
                <w:szCs w:val="24"/>
                <w:highlight w:val="none"/>
                <w:lang w:eastAsia="zh-CN"/>
              </w:rPr>
              <w:t>5次专门的单细胞技术培训，内容涉及但不限于：组织样本解离实操；上机标记实操；建库实操；R语言培训；协助搭建单细胞分析 pipeline；常用单细胞绘图软件操作培训。（该费用已包含在投标报价中，采购人不再另行支付）。</w:t>
            </w:r>
          </w:p>
        </w:tc>
      </w:tr>
      <w:tr w14:paraId="6F76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6AC1C09A">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需求三：利用DIA蛋白质组学技术对</w:t>
            </w:r>
            <w:r>
              <w:rPr>
                <w:rFonts w:hint="eastAsia" w:ascii="仿宋" w:hAnsi="仿宋" w:eastAsia="仿宋" w:cs="仿宋"/>
                <w:color w:val="auto"/>
                <w:sz w:val="24"/>
                <w:szCs w:val="24"/>
                <w:highlight w:val="none"/>
                <w:u w:val="single"/>
                <w:lang w:val="en-US" w:eastAsia="zh-CN"/>
              </w:rPr>
              <w:t>不少于</w:t>
            </w:r>
            <w:r>
              <w:rPr>
                <w:rFonts w:hint="eastAsia" w:ascii="仿宋" w:hAnsi="仿宋" w:eastAsia="仿宋" w:cs="仿宋"/>
                <w:color w:val="auto"/>
                <w:sz w:val="24"/>
                <w:szCs w:val="24"/>
                <w:highlight w:val="none"/>
                <w:u w:val="single"/>
                <w:lang w:eastAsia="zh-CN"/>
              </w:rPr>
              <w:t>200例</w:t>
            </w:r>
            <w:r>
              <w:rPr>
                <w:rFonts w:hint="eastAsia" w:ascii="仿宋" w:hAnsi="仿宋" w:eastAsia="仿宋" w:cs="仿宋"/>
                <w:color w:val="auto"/>
                <w:sz w:val="24"/>
                <w:szCs w:val="24"/>
                <w:highlight w:val="none"/>
                <w:lang w:eastAsia="zh-CN"/>
              </w:rPr>
              <w:t xml:space="preserve"> 全血样本完成检测分析服务。进行样本的总蛋白提取、质检、检测；质谱下机数据质控和常规生信分析。</w:t>
            </w:r>
          </w:p>
        </w:tc>
        <w:tc>
          <w:tcPr>
            <w:tcW w:w="7229" w:type="dxa"/>
          </w:tcPr>
          <w:p w14:paraId="49CAC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服务内容、</w:t>
            </w:r>
            <w:r>
              <w:rPr>
                <w:rFonts w:hint="eastAsia" w:ascii="仿宋" w:hAnsi="仿宋" w:eastAsia="仿宋" w:cs="仿宋"/>
                <w:b/>
                <w:bCs/>
                <w:color w:val="auto"/>
                <w:sz w:val="24"/>
                <w:szCs w:val="24"/>
                <w:highlight w:val="none"/>
                <w:lang w:eastAsia="zh-CN"/>
              </w:rPr>
              <w:t>技术服务要求和参数，数据质控要求及验收标准</w:t>
            </w:r>
            <w:r>
              <w:rPr>
                <w:rFonts w:hint="eastAsia" w:ascii="仿宋" w:hAnsi="仿宋" w:eastAsia="仿宋" w:cs="仿宋"/>
                <w:color w:val="auto"/>
                <w:sz w:val="24"/>
                <w:szCs w:val="24"/>
                <w:highlight w:val="none"/>
                <w:lang w:eastAsia="zh-CN"/>
              </w:rPr>
              <w:t>：</w:t>
            </w:r>
          </w:p>
          <w:p w14:paraId="0874C6B4">
            <w:pPr>
              <w:keepNext w:val="0"/>
              <w:keepLines w:val="0"/>
              <w:pageBreakBefore w:val="0"/>
              <w:widowControl w:val="0"/>
              <w:numPr>
                <w:ilvl w:val="0"/>
                <w:numId w:val="3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lang w:eastAsia="zh-CN"/>
              </w:rPr>
              <w:t>4D-DIA蛋白质组学检测分析服务。</w:t>
            </w:r>
            <w:r>
              <w:rPr>
                <w:rFonts w:hint="eastAsia" w:ascii="仿宋" w:hAnsi="仿宋" w:eastAsia="仿宋" w:cs="仿宋"/>
                <w:color w:val="auto"/>
                <w:sz w:val="24"/>
                <w:szCs w:val="24"/>
                <w:highlight w:val="none"/>
                <w:lang w:val="en-US" w:eastAsia="zh-CN"/>
              </w:rPr>
              <w:t>包括但不限于以下内容：</w:t>
            </w:r>
          </w:p>
          <w:p w14:paraId="3464378E">
            <w:pPr>
              <w:keepNext w:val="0"/>
              <w:keepLines w:val="0"/>
              <w:pageBreakBefore w:val="0"/>
              <w:widowControl w:val="0"/>
              <w:numPr>
                <w:ilvl w:val="0"/>
                <w:numId w:val="38"/>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人源全血样本的总蛋白提取、质检；</w:t>
            </w:r>
          </w:p>
          <w:p w14:paraId="03B42558">
            <w:pPr>
              <w:keepNext w:val="0"/>
              <w:keepLines w:val="0"/>
              <w:pageBreakBefore w:val="0"/>
              <w:widowControl w:val="0"/>
              <w:numPr>
                <w:ilvl w:val="0"/>
                <w:numId w:val="38"/>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质检合格的蛋白质样本进行4D-DIA蛋白质组学检测；</w:t>
            </w:r>
          </w:p>
          <w:p w14:paraId="310963E2">
            <w:pPr>
              <w:keepNext w:val="0"/>
              <w:keepLines w:val="0"/>
              <w:pageBreakBefore w:val="0"/>
              <w:widowControl w:val="0"/>
              <w:numPr>
                <w:ilvl w:val="0"/>
                <w:numId w:val="38"/>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质谱谱下机数据进行数据质控和常规生信分析。</w:t>
            </w:r>
          </w:p>
          <w:p w14:paraId="52B3175D">
            <w:pPr>
              <w:keepNext w:val="0"/>
              <w:keepLines w:val="0"/>
              <w:pageBreakBefore w:val="0"/>
              <w:widowControl w:val="0"/>
              <w:numPr>
                <w:ilvl w:val="0"/>
                <w:numId w:val="3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平台要求，技术参数及实验要求：</w:t>
            </w:r>
          </w:p>
          <w:p w14:paraId="0CDFF1B3">
            <w:pPr>
              <w:keepNext w:val="0"/>
              <w:keepLines w:val="0"/>
              <w:pageBreakBefore w:val="0"/>
              <w:widowControl w:val="0"/>
              <w:numPr>
                <w:ilvl w:val="0"/>
                <w:numId w:val="3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核心平台要求</w:t>
            </w:r>
            <w:r>
              <w:rPr>
                <w:rFonts w:hint="eastAsia" w:ascii="仿宋" w:hAnsi="仿宋" w:eastAsia="仿宋" w:cs="仿宋"/>
                <w:color w:val="auto"/>
                <w:sz w:val="24"/>
                <w:szCs w:val="24"/>
                <w:highlight w:val="none"/>
                <w:lang w:eastAsia="zh-CN"/>
              </w:rPr>
              <w:t>：</w:t>
            </w:r>
          </w:p>
          <w:p w14:paraId="1213D981">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采用4D-DIA蛋白质组学平台。</w:t>
            </w:r>
          </w:p>
          <w:p w14:paraId="26F18B46">
            <w:pPr>
              <w:keepNext w:val="0"/>
              <w:keepLines w:val="0"/>
              <w:pageBreakBefore w:val="0"/>
              <w:widowControl w:val="0"/>
              <w:numPr>
                <w:ilvl w:val="0"/>
                <w:numId w:val="3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质量控制</w:t>
            </w:r>
            <w:r>
              <w:rPr>
                <w:rFonts w:hint="eastAsia" w:ascii="仿宋" w:hAnsi="仿宋" w:eastAsia="仿宋" w:cs="仿宋"/>
                <w:color w:val="auto"/>
                <w:sz w:val="24"/>
                <w:szCs w:val="24"/>
                <w:highlight w:val="none"/>
                <w:shd w:val="clear" w:color="auto" w:fill="FFFFFF"/>
                <w:lang w:eastAsia="zh-CN"/>
              </w:rPr>
              <w:t>体系</w:t>
            </w:r>
            <w:r>
              <w:rPr>
                <w:rFonts w:hint="eastAsia" w:ascii="仿宋" w:hAnsi="仿宋" w:eastAsia="仿宋" w:cs="仿宋"/>
                <w:color w:val="auto"/>
                <w:sz w:val="24"/>
                <w:szCs w:val="24"/>
                <w:highlight w:val="none"/>
                <w:lang w:eastAsia="zh-CN"/>
              </w:rPr>
              <w:t>：</w:t>
            </w:r>
          </w:p>
          <w:p w14:paraId="49BA07AB">
            <w:pPr>
              <w:keepNext w:val="0"/>
              <w:keepLines w:val="0"/>
              <w:pageBreakBefore w:val="0"/>
              <w:widowControl w:val="0"/>
              <w:numPr>
                <w:ilvl w:val="0"/>
                <w:numId w:val="4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设置标准样本和混合QC样本；</w:t>
            </w:r>
          </w:p>
          <w:p w14:paraId="66348B8C">
            <w:pPr>
              <w:keepNext w:val="0"/>
              <w:keepLines w:val="0"/>
              <w:pageBreakBefore w:val="0"/>
              <w:widowControl w:val="0"/>
              <w:numPr>
                <w:ilvl w:val="0"/>
                <w:numId w:val="4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实验样本检测时，需每隔10例样本至少插入1个混合QC样本；</w:t>
            </w:r>
          </w:p>
          <w:p w14:paraId="6FBDE383">
            <w:pPr>
              <w:keepNext w:val="0"/>
              <w:keepLines w:val="0"/>
              <w:pageBreakBefore w:val="0"/>
              <w:widowControl w:val="0"/>
              <w:numPr>
                <w:ilvl w:val="0"/>
                <w:numId w:val="4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混合QC样本相关性要求大于95%，标准样本相关性要求大于98%。</w:t>
            </w:r>
          </w:p>
          <w:p w14:paraId="59DF3BEF">
            <w:pPr>
              <w:keepNext w:val="0"/>
              <w:keepLines w:val="0"/>
              <w:pageBreakBefore w:val="0"/>
              <w:widowControl w:val="0"/>
              <w:numPr>
                <w:ilvl w:val="0"/>
                <w:numId w:val="3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检测</w:t>
            </w:r>
            <w:r>
              <w:rPr>
                <w:rFonts w:hint="eastAsia" w:ascii="仿宋" w:hAnsi="仿宋" w:eastAsia="仿宋" w:cs="仿宋"/>
                <w:color w:val="auto"/>
                <w:sz w:val="24"/>
                <w:szCs w:val="24"/>
                <w:highlight w:val="none"/>
                <w:shd w:val="clear" w:color="auto" w:fill="FFFFFF"/>
                <w:lang w:val="en-US" w:eastAsia="zh-CN"/>
              </w:rPr>
              <w:t>质量要求</w:t>
            </w:r>
            <w:r>
              <w:rPr>
                <w:rFonts w:hint="eastAsia" w:ascii="仿宋" w:hAnsi="仿宋" w:eastAsia="仿宋" w:cs="仿宋"/>
                <w:color w:val="auto"/>
                <w:sz w:val="24"/>
                <w:szCs w:val="24"/>
                <w:highlight w:val="none"/>
                <w:lang w:eastAsia="zh-CN"/>
              </w:rPr>
              <w:t>：</w:t>
            </w:r>
          </w:p>
          <w:p w14:paraId="16072D36">
            <w:pPr>
              <w:keepNext w:val="0"/>
              <w:keepLines w:val="0"/>
              <w:pageBreakBefore w:val="0"/>
              <w:widowControl w:val="0"/>
              <w:numPr>
                <w:ilvl w:val="0"/>
                <w:numId w:val="4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蛋白鉴定量：总蛋白≥5,000种；</w:t>
            </w:r>
          </w:p>
          <w:p w14:paraId="477BC850">
            <w:pPr>
              <w:keepNext w:val="0"/>
              <w:keepLines w:val="0"/>
              <w:pageBreakBefore w:val="0"/>
              <w:widowControl w:val="0"/>
              <w:numPr>
                <w:ilvl w:val="0"/>
                <w:numId w:val="4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有效蛋白量：通过质控≥4,500种；</w:t>
            </w:r>
          </w:p>
          <w:p w14:paraId="207D7EDE">
            <w:pPr>
              <w:keepNext w:val="0"/>
              <w:keepLines w:val="0"/>
              <w:pageBreakBefore w:val="0"/>
              <w:widowControl w:val="0"/>
              <w:numPr>
                <w:ilvl w:val="0"/>
                <w:numId w:val="4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上机时间：≥8分钟/样本。</w:t>
            </w:r>
          </w:p>
          <w:p w14:paraId="6C17A163">
            <w:pPr>
              <w:keepNext w:val="0"/>
              <w:keepLines w:val="0"/>
              <w:pageBreakBefore w:val="0"/>
              <w:widowControl w:val="0"/>
              <w:numPr>
                <w:ilvl w:val="0"/>
                <w:numId w:val="3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检测结果验证：</w:t>
            </w:r>
          </w:p>
          <w:p w14:paraId="173C20A5">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需提供</w:t>
            </w:r>
            <w:r>
              <w:rPr>
                <w:rFonts w:hint="eastAsia" w:ascii="仿宋" w:hAnsi="仿宋" w:eastAsia="仿宋" w:cs="仿宋"/>
                <w:color w:val="auto"/>
                <w:sz w:val="24"/>
                <w:szCs w:val="24"/>
                <w:highlight w:val="none"/>
                <w:shd w:val="clear" w:color="auto" w:fill="FFFFFF"/>
                <w:lang w:eastAsia="zh-CN"/>
              </w:rPr>
              <w:t>非DIA技术</w:t>
            </w:r>
            <w:r>
              <w:rPr>
                <w:rFonts w:hint="eastAsia" w:ascii="仿宋" w:hAnsi="仿宋" w:eastAsia="仿宋" w:cs="仿宋"/>
                <w:color w:val="auto"/>
                <w:sz w:val="24"/>
                <w:szCs w:val="24"/>
                <w:highlight w:val="none"/>
                <w:lang w:eastAsia="zh-CN"/>
              </w:rPr>
              <w:t>的其他方法进行结果验证，要求全部样本验证检出蛋白数量的3‰～5‰（需提供检测技术文件</w:t>
            </w:r>
            <w:r>
              <w:rPr>
                <w:rFonts w:hint="eastAsia" w:ascii="仿宋" w:hAnsi="仿宋" w:eastAsia="仿宋" w:cs="仿宋"/>
                <w:color w:val="auto"/>
                <w:sz w:val="24"/>
                <w:szCs w:val="24"/>
                <w:highlight w:val="none"/>
                <w:lang w:val="en-US" w:eastAsia="zh-CN"/>
              </w:rPr>
              <w:t>及验证方案</w:t>
            </w:r>
            <w:r>
              <w:rPr>
                <w:rFonts w:hint="eastAsia" w:ascii="仿宋" w:hAnsi="仿宋" w:eastAsia="仿宋" w:cs="仿宋"/>
                <w:color w:val="auto"/>
                <w:sz w:val="24"/>
                <w:szCs w:val="24"/>
                <w:highlight w:val="none"/>
                <w:lang w:eastAsia="zh-CN"/>
              </w:rPr>
              <w:t>）；</w:t>
            </w:r>
          </w:p>
          <w:p w14:paraId="4FE73EF9">
            <w:pPr>
              <w:keepNext w:val="0"/>
              <w:keepLines w:val="0"/>
              <w:pageBreakBefore w:val="0"/>
              <w:widowControl w:val="0"/>
              <w:numPr>
                <w:ilvl w:val="0"/>
                <w:numId w:val="3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重复性验证要求：</w:t>
            </w:r>
          </w:p>
          <w:p w14:paraId="44D54991">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额外提供总样品数的3%的重复样品（重复样品不包含在总样品数目中）进行盲测，盲测样品结果相关性系数大于99%。</w:t>
            </w:r>
          </w:p>
          <w:p w14:paraId="788BF6CE">
            <w:pPr>
              <w:keepNext w:val="0"/>
              <w:keepLines w:val="0"/>
              <w:pageBreakBefore w:val="0"/>
              <w:widowControl w:val="0"/>
              <w:numPr>
                <w:ilvl w:val="0"/>
                <w:numId w:val="3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数据质量控制及分析要求：</w:t>
            </w:r>
          </w:p>
          <w:p w14:paraId="755398EE">
            <w:pPr>
              <w:keepNext w:val="0"/>
              <w:keepLines w:val="0"/>
              <w:pageBreakBefore w:val="0"/>
              <w:widowControl w:val="0"/>
              <w:numPr>
                <w:ilvl w:val="0"/>
                <w:numId w:val="4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供应商需提供下机数据质量控制报告；质量控制样本全局统计分析、全局鉴定结果统计分析、蛋白数目统计、归一化处理、主成分分析和相关性分析等；</w:t>
            </w:r>
          </w:p>
          <w:p w14:paraId="7FC4CDAA">
            <w:pPr>
              <w:keepNext w:val="0"/>
              <w:keepLines w:val="0"/>
              <w:pageBreakBefore w:val="0"/>
              <w:widowControl w:val="0"/>
              <w:numPr>
                <w:ilvl w:val="0"/>
                <w:numId w:val="4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供应商需协助采购人完成各分组差异蛋白统计分析、功能富集分析（GO、KEGG、Reactome、WikiPathways等分析）等；</w:t>
            </w:r>
          </w:p>
          <w:p w14:paraId="586803D8">
            <w:pPr>
              <w:keepNext w:val="0"/>
              <w:keepLines w:val="0"/>
              <w:pageBreakBefore w:val="0"/>
              <w:widowControl w:val="0"/>
              <w:numPr>
                <w:ilvl w:val="0"/>
                <w:numId w:val="3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rPr>
              <w:t>★</w:t>
            </w:r>
            <w:r>
              <w:rPr>
                <w:rFonts w:hint="eastAsia" w:ascii="仿宋" w:hAnsi="仿宋" w:eastAsia="仿宋" w:cs="仿宋"/>
                <w:color w:val="auto"/>
                <w:sz w:val="24"/>
                <w:szCs w:val="24"/>
                <w:highlight w:val="none"/>
                <w:lang w:eastAsia="zh-CN"/>
              </w:rPr>
              <w:t>数据验收标准：</w:t>
            </w:r>
          </w:p>
          <w:p w14:paraId="1196B2A6">
            <w:pPr>
              <w:keepNext w:val="0"/>
              <w:keepLines w:val="0"/>
              <w:pageBreakBefore w:val="0"/>
              <w:widowControl w:val="0"/>
              <w:numPr>
                <w:ilvl w:val="0"/>
                <w:numId w:val="4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鉴定到的蛋白数量不低于5000种，</w:t>
            </w:r>
          </w:p>
          <w:p w14:paraId="63A9B052">
            <w:pPr>
              <w:keepNext w:val="0"/>
              <w:keepLines w:val="0"/>
              <w:pageBreakBefore w:val="0"/>
              <w:widowControl w:val="0"/>
              <w:numPr>
                <w:ilvl w:val="0"/>
                <w:numId w:val="4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通过质控的蛋白数量不低于4500种；</w:t>
            </w:r>
          </w:p>
          <w:p w14:paraId="0EAB46E0">
            <w:pPr>
              <w:keepNext w:val="0"/>
              <w:keepLines w:val="0"/>
              <w:pageBreakBefore w:val="0"/>
              <w:widowControl w:val="0"/>
              <w:numPr>
                <w:ilvl w:val="0"/>
                <w:numId w:val="4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混合QC样本相关性要求大于95%，标准样本相关性要求大于98%。</w:t>
            </w:r>
          </w:p>
          <w:p w14:paraId="4422BAA8">
            <w:pPr>
              <w:keepNext w:val="0"/>
              <w:keepLines w:val="0"/>
              <w:pageBreakBefore w:val="0"/>
              <w:widowControl w:val="0"/>
              <w:numPr>
                <w:ilvl w:val="0"/>
                <w:numId w:val="4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对于数据质量不满足于“</w:t>
            </w:r>
            <w:r>
              <w:rPr>
                <w:rFonts w:hint="eastAsia" w:ascii="仿宋" w:hAnsi="仿宋" w:eastAsia="仿宋" w:cs="仿宋"/>
                <w:color w:val="auto"/>
                <w:sz w:val="24"/>
                <w:szCs w:val="24"/>
                <w:highlight w:val="none"/>
                <w:lang w:val="en-US" w:eastAsia="zh-CN"/>
              </w:rPr>
              <w:t>上述1-3点验收标准</w:t>
            </w:r>
            <w:r>
              <w:rPr>
                <w:rFonts w:hint="eastAsia" w:ascii="仿宋" w:hAnsi="仿宋" w:eastAsia="仿宋" w:cs="仿宋"/>
                <w:color w:val="auto"/>
                <w:sz w:val="24"/>
                <w:szCs w:val="24"/>
                <w:highlight w:val="none"/>
                <w:lang w:eastAsia="zh-CN"/>
              </w:rPr>
              <w:t>”的样本，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必须重做</w:t>
            </w:r>
            <w:r>
              <w:rPr>
                <w:rFonts w:hint="eastAsia" w:ascii="仿宋" w:hAnsi="仿宋" w:eastAsia="仿宋" w:cs="仿宋"/>
                <w:color w:val="auto"/>
                <w:sz w:val="24"/>
                <w:szCs w:val="24"/>
                <w:highlight w:val="none"/>
                <w:lang w:val="en-US" w:eastAsia="zh-CN"/>
              </w:rPr>
              <w:t>检测</w:t>
            </w:r>
            <w:r>
              <w:rPr>
                <w:rFonts w:hint="eastAsia" w:ascii="仿宋" w:hAnsi="仿宋" w:eastAsia="仿宋" w:cs="仿宋"/>
                <w:color w:val="auto"/>
                <w:sz w:val="24"/>
                <w:szCs w:val="24"/>
                <w:highlight w:val="none"/>
                <w:lang w:eastAsia="zh-CN"/>
              </w:rPr>
              <w:t>直至符合要求。该费用已包含在响应报价中，采购人不再另行支付</w:t>
            </w:r>
            <w:r>
              <w:rPr>
                <w:rFonts w:hint="eastAsia" w:ascii="仿宋" w:hAnsi="仿宋" w:eastAsia="仿宋" w:cs="仿宋"/>
                <w:color w:val="auto"/>
                <w:sz w:val="24"/>
                <w:szCs w:val="24"/>
                <w:highlight w:val="none"/>
                <w:lang w:val="en-US" w:eastAsia="zh-CN"/>
              </w:rPr>
              <w:t>。</w:t>
            </w:r>
          </w:p>
          <w:p w14:paraId="763A725D">
            <w:pPr>
              <w:keepNext w:val="0"/>
              <w:keepLines w:val="0"/>
              <w:pageBreakBefore w:val="0"/>
              <w:widowControl w:val="0"/>
              <w:numPr>
                <w:ilvl w:val="0"/>
                <w:numId w:val="4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若连续3次</w:t>
            </w:r>
            <w:r>
              <w:rPr>
                <w:rFonts w:hint="eastAsia" w:ascii="仿宋" w:hAnsi="仿宋" w:eastAsia="仿宋" w:cs="仿宋"/>
                <w:color w:val="auto"/>
                <w:sz w:val="24"/>
                <w:szCs w:val="24"/>
                <w:highlight w:val="none"/>
                <w:lang w:val="en-US" w:eastAsia="zh-CN"/>
              </w:rPr>
              <w:t>数据</w:t>
            </w:r>
            <w:r>
              <w:rPr>
                <w:rFonts w:hint="eastAsia" w:ascii="仿宋" w:hAnsi="仿宋" w:eastAsia="仿宋" w:cs="仿宋"/>
                <w:color w:val="auto"/>
                <w:sz w:val="24"/>
                <w:szCs w:val="24"/>
                <w:highlight w:val="none"/>
                <w:lang w:eastAsia="zh-CN"/>
              </w:rPr>
              <w:t>结果低于“</w:t>
            </w:r>
            <w:r>
              <w:rPr>
                <w:rFonts w:hint="eastAsia" w:ascii="仿宋" w:hAnsi="仿宋" w:eastAsia="仿宋" w:cs="仿宋"/>
                <w:color w:val="auto"/>
                <w:sz w:val="24"/>
                <w:szCs w:val="24"/>
                <w:highlight w:val="none"/>
                <w:lang w:val="en-US" w:eastAsia="zh-CN"/>
              </w:rPr>
              <w:t>上述1-3点验收标准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采购人有权认定供应商不符合本项目的技术要求，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进行整改，有权要求成交供应商在整改期间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直至整改结束。如30个日历日内仍未整改完成，采购人有权无条件解除合同，并将供应商列入“中山大学孙逸仙纪念医院失信供应商名单”。</w:t>
            </w:r>
          </w:p>
          <w:p w14:paraId="290383DA">
            <w:pPr>
              <w:keepNext w:val="0"/>
              <w:keepLines w:val="0"/>
              <w:pageBreakBefore w:val="0"/>
              <w:widowControl w:val="0"/>
              <w:numPr>
                <w:ilvl w:val="0"/>
                <w:numId w:val="3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团队配置要求:</w:t>
            </w:r>
          </w:p>
          <w:p w14:paraId="2CCBF38E">
            <w:pPr>
              <w:keepNext w:val="0"/>
              <w:keepLines w:val="0"/>
              <w:pageBreakBefore w:val="0"/>
              <w:widowControl w:val="0"/>
              <w:numPr>
                <w:ilvl w:val="0"/>
                <w:numId w:val="4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lang w:eastAsia="zh-CN"/>
              </w:rPr>
              <w:t>配备单细胞捕获平台技术团队，</w:t>
            </w:r>
            <w:r>
              <w:rPr>
                <w:rFonts w:hint="eastAsia" w:ascii="仿宋" w:hAnsi="仿宋" w:eastAsia="仿宋" w:cs="仿宋"/>
                <w:color w:val="auto"/>
                <w:sz w:val="24"/>
                <w:szCs w:val="24"/>
                <w:highlight w:val="none"/>
                <w:lang w:val="en-US" w:eastAsia="zh-CN"/>
              </w:rPr>
              <w:t>团队需配备不少于</w:t>
            </w:r>
            <w:r>
              <w:rPr>
                <w:rFonts w:hint="eastAsia" w:ascii="仿宋" w:hAnsi="仿宋" w:eastAsia="仿宋" w:cs="仿宋"/>
                <w:color w:val="auto"/>
                <w:sz w:val="24"/>
                <w:szCs w:val="24"/>
                <w:highlight w:val="none"/>
                <w:lang w:eastAsia="zh-CN"/>
              </w:rPr>
              <w:t>1名技术支持，</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2名实验技术员，</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1名生信分析工程师。</w:t>
            </w:r>
          </w:p>
          <w:p w14:paraId="7D56CEC2">
            <w:pPr>
              <w:keepNext w:val="0"/>
              <w:keepLines w:val="0"/>
              <w:pageBreakBefore w:val="0"/>
              <w:widowControl w:val="0"/>
              <w:numPr>
                <w:ilvl w:val="0"/>
                <w:numId w:val="4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定期通过微信工作群，腾讯会议反馈项目进展、分析进展。</w:t>
            </w:r>
          </w:p>
          <w:p w14:paraId="15A27698">
            <w:pPr>
              <w:keepNext w:val="0"/>
              <w:keepLines w:val="0"/>
              <w:pageBreakBefore w:val="0"/>
              <w:widowControl w:val="0"/>
              <w:numPr>
                <w:ilvl w:val="0"/>
                <w:numId w:val="44"/>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val="en-US" w:eastAsia="zh-CN"/>
              </w:rPr>
              <w:t>供应商不得随意更换团队人员（不能胜任除外）（供应商需在响应文件中提供团队人员名单、联系电话、相关的学历证明文件、职称证书及响应截止前三个月内任意一个月响应供应商为其缴纳的社保缴纳证明或单位代扣个人所得税材料或有效劳动合同复印件作为团队人员的在职证明）。</w:t>
            </w:r>
          </w:p>
        </w:tc>
      </w:tr>
      <w:tr w14:paraId="109E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0BA39693">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需求四：利用高通量靶向代谢脂质全谱技术对</w:t>
            </w:r>
            <w:r>
              <w:rPr>
                <w:rFonts w:hint="eastAsia" w:ascii="仿宋" w:hAnsi="仿宋" w:eastAsia="仿宋" w:cs="仿宋"/>
                <w:color w:val="auto"/>
                <w:sz w:val="24"/>
                <w:szCs w:val="24"/>
                <w:highlight w:val="none"/>
                <w:u w:val="single"/>
                <w:lang w:val="en-US" w:eastAsia="zh-CN"/>
              </w:rPr>
              <w:t>不少于</w:t>
            </w:r>
            <w:r>
              <w:rPr>
                <w:rFonts w:hint="eastAsia" w:ascii="仿宋" w:hAnsi="仿宋" w:eastAsia="仿宋" w:cs="仿宋"/>
                <w:color w:val="auto"/>
                <w:sz w:val="24"/>
                <w:szCs w:val="24"/>
                <w:highlight w:val="none"/>
                <w:u w:val="single"/>
                <w:lang w:eastAsia="zh-CN"/>
              </w:rPr>
              <w:t>200例</w:t>
            </w:r>
            <w:r>
              <w:rPr>
                <w:rFonts w:hint="eastAsia" w:ascii="仿宋" w:hAnsi="仿宋" w:eastAsia="仿宋" w:cs="仿宋"/>
                <w:color w:val="auto"/>
                <w:sz w:val="24"/>
                <w:szCs w:val="24"/>
                <w:highlight w:val="none"/>
                <w:lang w:eastAsia="zh-CN"/>
              </w:rPr>
              <w:t>全血样本完成检测分析服务；完成样本的前处理，样本的高通量靶向代谢脂质全谱检测，下机数据进行数据质控和常规生信分析。</w:t>
            </w:r>
          </w:p>
          <w:p w14:paraId="15CB5B5A">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p>
        </w:tc>
        <w:tc>
          <w:tcPr>
            <w:tcW w:w="7229" w:type="dxa"/>
          </w:tcPr>
          <w:p w14:paraId="22CBD3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服务内容、</w:t>
            </w:r>
            <w:r>
              <w:rPr>
                <w:rFonts w:hint="eastAsia" w:ascii="仿宋" w:hAnsi="仿宋" w:eastAsia="仿宋" w:cs="仿宋"/>
                <w:b/>
                <w:bCs/>
                <w:color w:val="auto"/>
                <w:sz w:val="24"/>
                <w:szCs w:val="24"/>
                <w:highlight w:val="none"/>
                <w:lang w:eastAsia="zh-CN"/>
              </w:rPr>
              <w:t>技术服务要求和参数，数据质控要求及验收标准</w:t>
            </w:r>
          </w:p>
          <w:p w14:paraId="50499072">
            <w:pPr>
              <w:keepNext w:val="0"/>
              <w:keepLines w:val="0"/>
              <w:pageBreakBefore w:val="0"/>
              <w:widowControl/>
              <w:numPr>
                <w:ilvl w:val="0"/>
                <w:numId w:val="45"/>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val="en-US" w:eastAsia="zh-CN"/>
              </w:rPr>
              <w:t>服务内容：</w:t>
            </w:r>
            <w:r>
              <w:rPr>
                <w:rFonts w:hint="eastAsia" w:ascii="仿宋" w:hAnsi="仿宋" w:eastAsia="仿宋" w:cs="仿宋"/>
                <w:color w:val="auto"/>
                <w:sz w:val="24"/>
                <w:szCs w:val="24"/>
                <w:highlight w:val="none"/>
                <w:shd w:val="clear" w:color="auto" w:fill="FFFFFF"/>
                <w:lang w:eastAsia="zh-CN"/>
              </w:rPr>
              <w:t>高通量靶向代谢脂质检测分析服务。</w:t>
            </w:r>
            <w:r>
              <w:rPr>
                <w:rFonts w:hint="eastAsia" w:ascii="仿宋" w:hAnsi="仿宋" w:eastAsia="仿宋" w:cs="仿宋"/>
                <w:color w:val="auto"/>
                <w:sz w:val="24"/>
                <w:szCs w:val="24"/>
                <w:highlight w:val="none"/>
                <w:lang w:val="en-US" w:eastAsia="zh-CN"/>
              </w:rPr>
              <w:t>包括但不限于以下内容：</w:t>
            </w:r>
          </w:p>
          <w:p w14:paraId="313739DC">
            <w:pPr>
              <w:keepNext w:val="0"/>
              <w:keepLines w:val="0"/>
              <w:pageBreakBefore w:val="0"/>
              <w:numPr>
                <w:ilvl w:val="0"/>
                <w:numId w:val="4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人源全血样本的前处理；</w:t>
            </w:r>
          </w:p>
          <w:p w14:paraId="2EB37B99">
            <w:pPr>
              <w:keepNext w:val="0"/>
              <w:keepLines w:val="0"/>
              <w:pageBreakBefore w:val="0"/>
              <w:numPr>
                <w:ilvl w:val="0"/>
                <w:numId w:val="4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处理后的样本进行高通量靶向代谢脂质检测；</w:t>
            </w:r>
          </w:p>
          <w:p w14:paraId="251466D9">
            <w:pPr>
              <w:keepNext w:val="0"/>
              <w:keepLines w:val="0"/>
              <w:pageBreakBefore w:val="0"/>
              <w:numPr>
                <w:ilvl w:val="0"/>
                <w:numId w:val="46"/>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质谱谱下机数据进行数据质控和常规生信分析。</w:t>
            </w:r>
          </w:p>
          <w:p w14:paraId="4957A8EA">
            <w:pPr>
              <w:keepNext w:val="0"/>
              <w:keepLines w:val="0"/>
              <w:pageBreakBefore w:val="0"/>
              <w:widowControl/>
              <w:numPr>
                <w:ilvl w:val="0"/>
                <w:numId w:val="45"/>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技术平台规范</w:t>
            </w:r>
          </w:p>
          <w:p w14:paraId="0FB86D3F">
            <w:pPr>
              <w:keepNext w:val="0"/>
              <w:keepLines w:val="0"/>
              <w:pageBreakBefore w:val="0"/>
              <w:numPr>
                <w:ilvl w:val="0"/>
                <w:numId w:val="47"/>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★配置要求：</w:t>
            </w:r>
          </w:p>
          <w:p w14:paraId="788B7DD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供应商须具备采用液相色谱串联三重四级杆质谱联用仪。（如设备名称不一样，但是可以满足相应用途要求的，视为符合要求。）；</w:t>
            </w:r>
          </w:p>
          <w:p w14:paraId="55C31B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供应商需在响应时承诺，如获中标，须在签订合同前按照上述要求配置具备相应用途的设备，并接受采购人对上述设备的核查。如发现供应商未按照承诺配置相关设备，将视为虚假响应，采购人有权取消其中标资格，并报告采购监督管理部门予以处罚。</w:t>
            </w:r>
          </w:p>
          <w:p w14:paraId="6141CDE7">
            <w:pPr>
              <w:keepNext w:val="0"/>
              <w:keepLines w:val="0"/>
              <w:pageBreakBefore w:val="0"/>
              <w:numPr>
                <w:ilvl w:val="0"/>
                <w:numId w:val="47"/>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定量方法</w:t>
            </w:r>
            <w:r>
              <w:rPr>
                <w:rFonts w:hint="eastAsia" w:ascii="仿宋" w:hAnsi="仿宋" w:eastAsia="仿宋" w:cs="仿宋"/>
                <w:color w:val="auto"/>
                <w:sz w:val="24"/>
                <w:szCs w:val="24"/>
                <w:highlight w:val="none"/>
                <w:lang w:eastAsia="zh-CN"/>
              </w:rPr>
              <w:t>：</w:t>
            </w:r>
          </w:p>
          <w:p w14:paraId="699A9B19">
            <w:pPr>
              <w:keepNext w:val="0"/>
              <w:keepLines w:val="0"/>
              <w:pageBreakBefore w:val="0"/>
              <w:numPr>
                <w:ilvl w:val="0"/>
                <w:numId w:val="4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采用内标+外标定量方式准确靶向定量检测目标代谢物；</w:t>
            </w:r>
          </w:p>
          <w:p w14:paraId="2A4D7324">
            <w:pPr>
              <w:keepNext w:val="0"/>
              <w:keepLines w:val="0"/>
              <w:pageBreakBefore w:val="0"/>
              <w:numPr>
                <w:ilvl w:val="0"/>
                <w:numId w:val="4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采用内标单点校正法靶向定量检测目标脂质物质；</w:t>
            </w:r>
          </w:p>
          <w:p w14:paraId="3B77456B">
            <w:pPr>
              <w:keepNext w:val="0"/>
              <w:keepLines w:val="0"/>
              <w:pageBreakBefore w:val="0"/>
              <w:numPr>
                <w:ilvl w:val="0"/>
                <w:numId w:val="4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必须提供本次实验的标准品标准曲线的数据以及实验室监控样本数据作为证明材料。</w:t>
            </w:r>
          </w:p>
          <w:p w14:paraId="1ED4E262">
            <w:pPr>
              <w:keepNext w:val="0"/>
              <w:keepLines w:val="0"/>
              <w:pageBreakBefore w:val="0"/>
              <w:numPr>
                <w:ilvl w:val="0"/>
                <w:numId w:val="48"/>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采用不少于5种前处理方法和液质平台检测方法，分别针对不同性质的代谢物和脂质进行检测。</w:t>
            </w:r>
          </w:p>
          <w:p w14:paraId="12C9BE79">
            <w:pPr>
              <w:keepNext w:val="0"/>
              <w:keepLines w:val="0"/>
              <w:pageBreakBefore w:val="0"/>
              <w:numPr>
                <w:ilvl w:val="0"/>
                <w:numId w:val="47"/>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质量控制体系：</w:t>
            </w:r>
          </w:p>
          <w:p w14:paraId="6417F998">
            <w:pPr>
              <w:keepNext w:val="0"/>
              <w:keepLines w:val="0"/>
              <w:pageBreakBefore w:val="0"/>
              <w:numPr>
                <w:ilvl w:val="0"/>
                <w:numId w:val="49"/>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设置标准样本和混合QC样本；</w:t>
            </w:r>
          </w:p>
          <w:p w14:paraId="2674C636">
            <w:pPr>
              <w:keepNext w:val="0"/>
              <w:keepLines w:val="0"/>
              <w:pageBreakBefore w:val="0"/>
              <w:numPr>
                <w:ilvl w:val="0"/>
                <w:numId w:val="49"/>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实验样本检测时，需每隔10例样本至少插入1个混合QC样本；</w:t>
            </w:r>
          </w:p>
          <w:p w14:paraId="3D943E11">
            <w:pPr>
              <w:keepNext w:val="0"/>
              <w:keepLines w:val="0"/>
              <w:pageBreakBefore w:val="0"/>
              <w:numPr>
                <w:ilvl w:val="0"/>
                <w:numId w:val="49"/>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混合QC样本相关性要求大于95%，环境质控样本相关性要求大于95%。</w:t>
            </w:r>
          </w:p>
          <w:p w14:paraId="261DF8E3">
            <w:pPr>
              <w:keepNext w:val="0"/>
              <w:keepLines w:val="0"/>
              <w:pageBreakBefore w:val="0"/>
              <w:numPr>
                <w:ilvl w:val="0"/>
                <w:numId w:val="47"/>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检测指标：</w:t>
            </w:r>
          </w:p>
          <w:p w14:paraId="0C9F1825">
            <w:pPr>
              <w:keepNext w:val="0"/>
              <w:keepLines w:val="0"/>
              <w:pageBreakBefore w:val="0"/>
              <w:numPr>
                <w:ilvl w:val="0"/>
                <w:numId w:val="5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中性极性内源代谢物覆盖量不少于600种；</w:t>
            </w:r>
          </w:p>
          <w:p w14:paraId="03CD158B">
            <w:pPr>
              <w:keepNext w:val="0"/>
              <w:keepLines w:val="0"/>
              <w:pageBreakBefore w:val="0"/>
              <w:numPr>
                <w:ilvl w:val="0"/>
                <w:numId w:val="5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脂质覆盖量不少于1400种。</w:t>
            </w:r>
          </w:p>
          <w:p w14:paraId="425BE0F9">
            <w:pPr>
              <w:keepNext w:val="0"/>
              <w:keepLines w:val="0"/>
              <w:pageBreakBefore w:val="0"/>
              <w:numPr>
                <w:ilvl w:val="0"/>
                <w:numId w:val="5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每例样本每个方法的产物的上机时间不少于60分钟。</w:t>
            </w:r>
          </w:p>
          <w:p w14:paraId="3C65469C">
            <w:pPr>
              <w:keepNext w:val="0"/>
              <w:keepLines w:val="0"/>
              <w:pageBreakBefore w:val="0"/>
              <w:numPr>
                <w:ilvl w:val="0"/>
                <w:numId w:val="47"/>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检测结果验证：</w:t>
            </w:r>
          </w:p>
          <w:p w14:paraId="7E2B0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需提供</w:t>
            </w:r>
            <w:r>
              <w:rPr>
                <w:rFonts w:hint="eastAsia" w:ascii="仿宋" w:hAnsi="仿宋" w:eastAsia="仿宋" w:cs="仿宋"/>
                <w:color w:val="auto"/>
                <w:sz w:val="24"/>
                <w:szCs w:val="24"/>
                <w:highlight w:val="none"/>
                <w:shd w:val="clear" w:color="auto" w:fill="FFFFFF"/>
                <w:lang w:eastAsia="zh-CN"/>
              </w:rPr>
              <w:t>非DIA技术</w:t>
            </w:r>
            <w:r>
              <w:rPr>
                <w:rFonts w:hint="eastAsia" w:ascii="仿宋" w:hAnsi="仿宋" w:eastAsia="仿宋" w:cs="仿宋"/>
                <w:color w:val="auto"/>
                <w:sz w:val="24"/>
                <w:szCs w:val="24"/>
                <w:highlight w:val="none"/>
                <w:lang w:eastAsia="zh-CN"/>
              </w:rPr>
              <w:t>的其他方法进行结果验证，要求全部样本验证检出代谢物数量的</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‰～5‰（需提供检测技术文件</w:t>
            </w:r>
            <w:r>
              <w:rPr>
                <w:rFonts w:hint="eastAsia" w:ascii="仿宋" w:hAnsi="仿宋" w:eastAsia="仿宋" w:cs="仿宋"/>
                <w:color w:val="auto"/>
                <w:sz w:val="24"/>
                <w:szCs w:val="24"/>
                <w:highlight w:val="none"/>
                <w:lang w:val="en-US" w:eastAsia="zh-CN"/>
              </w:rPr>
              <w:t>及验证方案</w:t>
            </w:r>
            <w:r>
              <w:rPr>
                <w:rFonts w:hint="eastAsia" w:ascii="仿宋" w:hAnsi="仿宋" w:eastAsia="仿宋" w:cs="仿宋"/>
                <w:color w:val="auto"/>
                <w:sz w:val="24"/>
                <w:szCs w:val="24"/>
                <w:highlight w:val="none"/>
                <w:lang w:eastAsia="zh-CN"/>
              </w:rPr>
              <w:t>）。</w:t>
            </w:r>
          </w:p>
          <w:p w14:paraId="1464F634">
            <w:pPr>
              <w:keepNext w:val="0"/>
              <w:keepLines w:val="0"/>
              <w:pageBreakBefore w:val="0"/>
              <w:numPr>
                <w:ilvl w:val="0"/>
                <w:numId w:val="39"/>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重复性验证要求：</w:t>
            </w:r>
          </w:p>
          <w:p w14:paraId="68D88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额外提供总样品数的3%的重复样品（重复样品不包含在总样品数目中）进行盲测，盲测样品结果相关性系数大于99%。</w:t>
            </w:r>
          </w:p>
          <w:p w14:paraId="39E9F8FD">
            <w:pPr>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数据质量控制及分析要求：</w:t>
            </w:r>
          </w:p>
          <w:p w14:paraId="4219E434">
            <w:pPr>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供应商需提供下机数据质量控制报告；质量控制样本</w:t>
            </w:r>
            <w:r>
              <w:rPr>
                <w:rFonts w:hint="eastAsia" w:ascii="仿宋" w:hAnsi="仿宋" w:eastAsia="仿宋" w:cs="仿宋"/>
                <w:bCs/>
                <w:color w:val="auto"/>
                <w:sz w:val="24"/>
                <w:szCs w:val="24"/>
                <w:highlight w:val="none"/>
                <w:lang w:eastAsia="zh-CN"/>
              </w:rPr>
              <w:t>全局统计分析、全局鉴定结果统计分析、代谢物数目统计、代谢物种类统计、标准化处理、主成分分析和相关性分析等；</w:t>
            </w:r>
          </w:p>
          <w:p w14:paraId="6FFEDCA7">
            <w:pPr>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供应商需</w:t>
            </w:r>
            <w:r>
              <w:rPr>
                <w:rFonts w:hint="eastAsia" w:ascii="仿宋" w:hAnsi="仿宋" w:eastAsia="仿宋" w:cs="仿宋"/>
                <w:bCs/>
                <w:color w:val="auto"/>
                <w:sz w:val="24"/>
                <w:szCs w:val="24"/>
                <w:highlight w:val="none"/>
                <w:lang w:eastAsia="zh-CN"/>
              </w:rPr>
              <w:t>协助采购人完成各分组差异代谢脂质的统计分析、PLS-DA分析、差异代谢脂质的成分分析、通路富集分析等；</w:t>
            </w:r>
          </w:p>
          <w:p w14:paraId="4DCA8CCA">
            <w:pPr>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rPr>
              <w:t>★</w:t>
            </w:r>
            <w:r>
              <w:rPr>
                <w:rFonts w:hint="eastAsia" w:ascii="仿宋" w:hAnsi="仿宋" w:eastAsia="仿宋" w:cs="仿宋"/>
                <w:color w:val="auto"/>
                <w:sz w:val="24"/>
                <w:szCs w:val="24"/>
                <w:highlight w:val="none"/>
                <w:lang w:eastAsia="zh-CN"/>
              </w:rPr>
              <w:t>数据验收标准：</w:t>
            </w:r>
          </w:p>
          <w:p w14:paraId="3B9017C6">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检测覆盖的中性极性内源代谢物不少于600种；</w:t>
            </w:r>
          </w:p>
          <w:p w14:paraId="149C4F4E">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覆盖的脂质不少于1400种；</w:t>
            </w:r>
          </w:p>
          <w:p w14:paraId="6152B619">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混合QC样本相关性要求大于95%，</w:t>
            </w:r>
          </w:p>
          <w:p w14:paraId="06E3FF4F">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环境质控样本相关性要求大于95%。</w:t>
            </w:r>
          </w:p>
          <w:p w14:paraId="6D0023DB">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对于数据质量不满足于“</w:t>
            </w:r>
            <w:r>
              <w:rPr>
                <w:rFonts w:hint="eastAsia" w:ascii="仿宋" w:hAnsi="仿宋" w:eastAsia="仿宋" w:cs="仿宋"/>
                <w:color w:val="auto"/>
                <w:sz w:val="24"/>
                <w:szCs w:val="24"/>
                <w:highlight w:val="none"/>
                <w:lang w:val="en-US" w:eastAsia="zh-CN"/>
              </w:rPr>
              <w:t>上述1-4点验收标准</w:t>
            </w:r>
            <w:r>
              <w:rPr>
                <w:rFonts w:hint="eastAsia" w:ascii="仿宋" w:hAnsi="仿宋" w:eastAsia="仿宋" w:cs="仿宋"/>
                <w:color w:val="auto"/>
                <w:sz w:val="24"/>
                <w:szCs w:val="24"/>
                <w:highlight w:val="none"/>
                <w:lang w:eastAsia="zh-CN"/>
              </w:rPr>
              <w:t>”的样本，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必须重做</w:t>
            </w:r>
            <w:r>
              <w:rPr>
                <w:rFonts w:hint="eastAsia" w:ascii="仿宋" w:hAnsi="仿宋" w:eastAsia="仿宋" w:cs="仿宋"/>
                <w:color w:val="auto"/>
                <w:sz w:val="24"/>
                <w:szCs w:val="24"/>
                <w:highlight w:val="none"/>
                <w:lang w:val="en-US" w:eastAsia="zh-CN"/>
              </w:rPr>
              <w:t>检测</w:t>
            </w:r>
            <w:r>
              <w:rPr>
                <w:rFonts w:hint="eastAsia" w:ascii="仿宋" w:hAnsi="仿宋" w:eastAsia="仿宋" w:cs="仿宋"/>
                <w:color w:val="auto"/>
                <w:sz w:val="24"/>
                <w:szCs w:val="24"/>
                <w:highlight w:val="none"/>
                <w:lang w:eastAsia="zh-CN"/>
              </w:rPr>
              <w:t>直至符合要求。该费用已包含在响应报价中，采购人不再另行支付</w:t>
            </w:r>
            <w:r>
              <w:rPr>
                <w:rFonts w:hint="eastAsia" w:ascii="仿宋" w:hAnsi="仿宋" w:eastAsia="仿宋" w:cs="仿宋"/>
                <w:color w:val="auto"/>
                <w:sz w:val="24"/>
                <w:szCs w:val="24"/>
                <w:highlight w:val="none"/>
                <w:lang w:val="en-US" w:eastAsia="zh-CN"/>
              </w:rPr>
              <w:t>。</w:t>
            </w:r>
          </w:p>
          <w:p w14:paraId="1DCA8BB8">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若连续3次</w:t>
            </w:r>
            <w:r>
              <w:rPr>
                <w:rFonts w:hint="eastAsia" w:ascii="仿宋" w:hAnsi="仿宋" w:eastAsia="仿宋" w:cs="仿宋"/>
                <w:color w:val="auto"/>
                <w:sz w:val="24"/>
                <w:szCs w:val="24"/>
                <w:highlight w:val="none"/>
                <w:lang w:val="en-US" w:eastAsia="zh-CN"/>
              </w:rPr>
              <w:t>数据</w:t>
            </w:r>
            <w:r>
              <w:rPr>
                <w:rFonts w:hint="eastAsia" w:ascii="仿宋" w:hAnsi="仿宋" w:eastAsia="仿宋" w:cs="仿宋"/>
                <w:color w:val="auto"/>
                <w:sz w:val="24"/>
                <w:szCs w:val="24"/>
                <w:highlight w:val="none"/>
                <w:lang w:eastAsia="zh-CN"/>
              </w:rPr>
              <w:t>结果低于“</w:t>
            </w:r>
            <w:r>
              <w:rPr>
                <w:rFonts w:hint="eastAsia" w:ascii="仿宋" w:hAnsi="仿宋" w:eastAsia="仿宋" w:cs="仿宋"/>
                <w:color w:val="auto"/>
                <w:sz w:val="24"/>
                <w:szCs w:val="24"/>
                <w:highlight w:val="none"/>
                <w:lang w:val="en-US" w:eastAsia="zh-CN"/>
              </w:rPr>
              <w:t>上述1-4点验收标准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采购人有权认定供应商不符合本项目的技术要求，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采购人有权要求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进行整改，有权要求成交供应商在整改期间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直至整改结束。如30个日历日内仍未整改完成，采购人有权无条件解除合同，并将供应商列入“中山大学孙逸仙纪念医院失信供应商名单”。</w:t>
            </w:r>
          </w:p>
          <w:p w14:paraId="3EF9DFEC">
            <w:pPr>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团队配置要求:</w:t>
            </w:r>
          </w:p>
          <w:p w14:paraId="447ADE2B">
            <w:pPr>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lang w:eastAsia="zh-CN"/>
              </w:rPr>
              <w:t>配备单细胞捕获平台技术团队，</w:t>
            </w:r>
            <w:r>
              <w:rPr>
                <w:rFonts w:hint="eastAsia" w:ascii="仿宋" w:hAnsi="仿宋" w:eastAsia="仿宋" w:cs="仿宋"/>
                <w:color w:val="auto"/>
                <w:sz w:val="24"/>
                <w:szCs w:val="24"/>
                <w:highlight w:val="none"/>
                <w:lang w:val="en-US" w:eastAsia="zh-CN"/>
              </w:rPr>
              <w:t>团队需配备不少于</w:t>
            </w:r>
            <w:r>
              <w:rPr>
                <w:rFonts w:hint="eastAsia" w:ascii="仿宋" w:hAnsi="仿宋" w:eastAsia="仿宋" w:cs="仿宋"/>
                <w:color w:val="auto"/>
                <w:sz w:val="24"/>
                <w:szCs w:val="24"/>
                <w:highlight w:val="none"/>
                <w:lang w:eastAsia="zh-CN"/>
              </w:rPr>
              <w:t>1名技术支持，</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2名实验技术员，</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lang w:eastAsia="zh-CN"/>
              </w:rPr>
              <w:t>1名生信分析工程师。</w:t>
            </w:r>
          </w:p>
          <w:p w14:paraId="2C0B8182">
            <w:pPr>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定期通过微信工作群，腾讯会议反馈项目进展、分析进展。</w:t>
            </w:r>
          </w:p>
          <w:p w14:paraId="6B958601">
            <w:pPr>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auto"/>
                <w:highlight w:val="none"/>
                <w:lang w:eastAsia="zh-CN"/>
              </w:rPr>
            </w:pPr>
            <w:r>
              <w:rPr>
                <w:rFonts w:hint="eastAsia" w:ascii="仿宋" w:hAnsi="仿宋" w:eastAsia="仿宋" w:cs="仿宋"/>
                <w:color w:val="auto"/>
                <w:sz w:val="24"/>
                <w:szCs w:val="24"/>
                <w:highlight w:val="none"/>
                <w:lang w:val="en-US" w:eastAsia="zh-CN"/>
              </w:rPr>
              <w:t>供应商不得随意更换团队人员（不能胜任除外）（响应文件中提供团队人员名单、联系电话、相关的学历证明文件、职称证书及响应截止前三个月内任意一个月响应供应商为其缴纳的社保缴纳证明或单位代扣个人所得税材料或有效劳动合同复印件作为团队人员的在职证明）。</w:t>
            </w:r>
          </w:p>
        </w:tc>
      </w:tr>
    </w:tbl>
    <w:p w14:paraId="6F7C6720">
      <w:pPr>
        <w:keepNext w:val="0"/>
        <w:keepLines w:val="0"/>
        <w:pageBreakBefore w:val="0"/>
        <w:widowControl w:val="0"/>
        <w:numPr>
          <w:ilvl w:val="0"/>
          <w:numId w:val="54"/>
        </w:numPr>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lang w:val="en-US" w:eastAsia="zh-CN"/>
        </w:rPr>
      </w:pPr>
      <w:r>
        <w:rPr>
          <w:rFonts w:hint="eastAsia" w:ascii="宋体" w:hAnsi="宋体" w:cs="宋体"/>
          <w:color w:val="auto"/>
          <w:sz w:val="24"/>
          <w:highlight w:val="none"/>
        </w:rPr>
        <w:t>★</w:t>
      </w:r>
      <w:r>
        <w:rPr>
          <w:rFonts w:hint="eastAsia" w:ascii="仿宋" w:hAnsi="仿宋" w:eastAsia="仿宋" w:cs="仿宋"/>
          <w:b/>
          <w:color w:val="auto"/>
          <w:sz w:val="24"/>
          <w:szCs w:val="24"/>
          <w:highlight w:val="none"/>
          <w:lang w:val="en-US" w:eastAsia="zh-CN"/>
        </w:rPr>
        <w:t>备注:需求一至需求四所涉及的数据要求、验收要求，均属理论层面的规范标准。在实际项目推进过程中，采购人将依据具体情境与实际需求，对相关数据要求进行灵活调整。成交供应商须秉持合作态度，无条件配合并接受上述调整安排，且采购人不会就此类调整额外支付任何费用。</w:t>
      </w:r>
    </w:p>
    <w:p w14:paraId="4CB212A7">
      <w:pPr>
        <w:pStyle w:val="2"/>
        <w:keepNext w:val="0"/>
        <w:keepLines w:val="0"/>
        <w:pageBreakBefore w:val="0"/>
        <w:widowControl w:val="0"/>
        <w:numPr>
          <w:ilvl w:val="0"/>
          <w:numId w:val="54"/>
        </w:numPr>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ascii="宋体" w:hAnsi="宋体" w:cs="宋体"/>
          <w:color w:val="auto"/>
          <w:sz w:val="24"/>
          <w:highlight w:val="none"/>
        </w:rPr>
        <w:t>★</w:t>
      </w:r>
      <w:r>
        <w:rPr>
          <w:rFonts w:hint="eastAsia" w:ascii="仿宋" w:hAnsi="仿宋" w:eastAsia="仿宋" w:cs="仿宋"/>
          <w:b/>
          <w:color w:val="auto"/>
          <w:sz w:val="24"/>
          <w:szCs w:val="24"/>
          <w:highlight w:val="none"/>
          <w:lang w:val="en-US" w:eastAsia="zh-CN"/>
        </w:rPr>
        <w:t>备注:需求一至需求四所涉及的检测数量要求，均为理想状态下的数量要求。采购人将依据具体情境与实际需求，对相关检测数量要求进行灵活调整，根据响应单价按实结算。成交供应商须秉持合作态度，无条件配合并接受上述调整安排，且采购人不会就此类调整额外支付任何费用。</w:t>
      </w:r>
    </w:p>
    <w:p w14:paraId="5EA0DAB3">
      <w:pPr>
        <w:rPr>
          <w:rFonts w:hint="eastAsia"/>
          <w:highlight w:val="none"/>
          <w:lang w:val="en-US" w:eastAsia="zh-CN"/>
        </w:rPr>
      </w:pPr>
    </w:p>
    <w:p w14:paraId="2FEE1805">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响应人须根据上述项目需求，提供详尽的项目实施方案（包括但不限于：技术路线、进度计划、质量保障措施等）、服务方案（包括但不限于：服务内容、标准、流程、响应机制等）、紧急预案（包括但不限于：风险识别、应急流程、资源调配、恢复计划等）、以及人员配置方案（包括但不限于：服务团队组建规划、服务团队配置方案、团队管理与协作机制、团队协作与沟通机制、人员变动与应急预案等）。</w:t>
      </w:r>
    </w:p>
    <w:p w14:paraId="64D84295">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服务团队要求：</w:t>
      </w:r>
    </w:p>
    <w:p w14:paraId="2E90CD2C">
      <w:pPr>
        <w:pStyle w:val="31"/>
        <w:keepNext w:val="0"/>
        <w:keepLines w:val="0"/>
        <w:pageBreakBefore w:val="0"/>
        <w:widowControl w:val="0"/>
        <w:numPr>
          <w:ilvl w:val="0"/>
          <w:numId w:val="55"/>
        </w:numPr>
        <w:kinsoku/>
        <w:wordWrap/>
        <w:overflowPunct/>
        <w:topLinePunct w:val="0"/>
        <w:autoSpaceDE/>
        <w:autoSpaceDN/>
        <w:bidi w:val="0"/>
        <w:adjustRightInd w:val="0"/>
        <w:snapToGrid w:val="0"/>
        <w:spacing w:line="360" w:lineRule="auto"/>
        <w:ind w:left="0" w:leftChars="0" w:firstLine="482"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成交供应商需根据上述需求中的团队人员要求，组建专业的技术服务团队（需在合同签订时提供详细的人员名单）。实验技术员、生信分析工程师以及技术支持人员这三个岗位，在原则上应避免由同一人兼任。若存在特殊情况，必须以书面形式向采购人提出申请，经采购人审核批准后方可实施。</w:t>
      </w:r>
    </w:p>
    <w:p w14:paraId="425C59C2">
      <w:pPr>
        <w:pStyle w:val="31"/>
        <w:keepNext w:val="0"/>
        <w:keepLines w:val="0"/>
        <w:pageBreakBefore w:val="0"/>
        <w:widowControl w:val="0"/>
        <w:numPr>
          <w:ilvl w:val="0"/>
          <w:numId w:val="55"/>
        </w:numPr>
        <w:kinsoku/>
        <w:wordWrap/>
        <w:overflowPunct/>
        <w:topLinePunct w:val="0"/>
        <w:autoSpaceDE/>
        <w:autoSpaceDN/>
        <w:bidi w:val="0"/>
        <w:adjustRightInd w:val="0"/>
        <w:snapToGrid w:val="0"/>
        <w:spacing w:line="360" w:lineRule="auto"/>
        <w:ind w:left="0" w:leftChars="0" w:firstLine="482"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成交供应商需为本项目配备一名项目负责人，负责本项目服务过程中的沟通对接和统筹协调，其具备承担过检测分析技术服务项目类似项目的业绩经验。</w:t>
      </w:r>
    </w:p>
    <w:p w14:paraId="735D1EDA">
      <w:pPr>
        <w:pStyle w:val="31"/>
        <w:keepNext w:val="0"/>
        <w:keepLines w:val="0"/>
        <w:pageBreakBefore w:val="0"/>
        <w:widowControl w:val="0"/>
        <w:numPr>
          <w:ilvl w:val="0"/>
          <w:numId w:val="55"/>
        </w:numPr>
        <w:kinsoku/>
        <w:wordWrap/>
        <w:overflowPunct/>
        <w:topLinePunct w:val="0"/>
        <w:autoSpaceDE/>
        <w:autoSpaceDN/>
        <w:bidi w:val="0"/>
        <w:adjustRightInd w:val="0"/>
        <w:snapToGrid w:val="0"/>
        <w:spacing w:line="360" w:lineRule="auto"/>
        <w:ind w:left="0" w:leftChars="0" w:firstLine="482" w:firstLineChars="0"/>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若发生人员调整（</w:t>
      </w:r>
      <w:r>
        <w:rPr>
          <w:rFonts w:hint="eastAsia" w:ascii="仿宋" w:hAnsi="仿宋" w:eastAsia="仿宋" w:cs="仿宋"/>
          <w:b w:val="0"/>
          <w:bCs/>
          <w:color w:val="auto"/>
          <w:sz w:val="24"/>
          <w:szCs w:val="24"/>
          <w:highlight w:val="none"/>
          <w:lang w:val="en-US" w:eastAsia="zh-CN"/>
        </w:rPr>
        <w:t>如</w:t>
      </w:r>
      <w:r>
        <w:rPr>
          <w:rFonts w:hint="default" w:ascii="仿宋" w:hAnsi="仿宋" w:eastAsia="仿宋" w:cs="仿宋"/>
          <w:b w:val="0"/>
          <w:bCs/>
          <w:color w:val="auto"/>
          <w:sz w:val="24"/>
          <w:szCs w:val="24"/>
          <w:highlight w:val="none"/>
          <w:lang w:val="en-US" w:eastAsia="zh-CN"/>
        </w:rPr>
        <w:t>增减、替换等</w:t>
      </w:r>
      <w:r>
        <w:rPr>
          <w:rFonts w:hint="eastAsia" w:ascii="仿宋" w:hAnsi="仿宋" w:eastAsia="仿宋" w:cs="仿宋"/>
          <w:b w:val="0"/>
          <w:bCs/>
          <w:color w:val="auto"/>
          <w:sz w:val="24"/>
          <w:szCs w:val="24"/>
          <w:highlight w:val="none"/>
          <w:lang w:val="en-US" w:eastAsia="zh-CN"/>
        </w:rPr>
        <w:t>情况</w:t>
      </w:r>
      <w:r>
        <w:rPr>
          <w:rFonts w:hint="default" w:ascii="仿宋" w:hAnsi="仿宋" w:eastAsia="仿宋" w:cs="仿宋"/>
          <w:b w:val="0"/>
          <w:bCs/>
          <w:color w:val="auto"/>
          <w:sz w:val="24"/>
          <w:szCs w:val="24"/>
          <w:highlight w:val="none"/>
          <w:lang w:val="en-US" w:eastAsia="zh-CN"/>
        </w:rPr>
        <w:t>），响应人须提前3个月书面通知采购人，并提交新人员的劳动关系证明文件。未经采购人书面同意，不得擅自更换人员。</w:t>
      </w:r>
    </w:p>
    <w:p w14:paraId="1946FF5F">
      <w:pPr>
        <w:pStyle w:val="31"/>
        <w:keepNext w:val="0"/>
        <w:keepLines w:val="0"/>
        <w:pageBreakBefore w:val="0"/>
        <w:widowControl w:val="0"/>
        <w:numPr>
          <w:ilvl w:val="0"/>
          <w:numId w:val="55"/>
        </w:numPr>
        <w:kinsoku/>
        <w:wordWrap/>
        <w:overflowPunct/>
        <w:topLinePunct w:val="0"/>
        <w:autoSpaceDE/>
        <w:autoSpaceDN/>
        <w:bidi w:val="0"/>
        <w:adjustRightInd w:val="0"/>
        <w:snapToGrid w:val="0"/>
        <w:spacing w:line="360" w:lineRule="auto"/>
        <w:ind w:left="0" w:leftChars="0" w:firstLine="482" w:firstLineChars="0"/>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成交人必须遵守劳动部门的相关规定，规范用工行为。成交人应与其派出的现场服务人员建立合法的劳动合同关系，并按照国家规定为其办理各类社会保险，同时承担全部的用工责任。成交人还需承担其派出的现场服务人员可能遭遇的意外、工伤等所有服务风险。若发生劳动争议、法律纠纷或经济纠纷，全部责任由成交人承担，与采购人无关。</w:t>
      </w:r>
    </w:p>
    <w:p w14:paraId="2CC10C2D">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2" w:firstLineChars="200"/>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售后服务</w:t>
      </w:r>
    </w:p>
    <w:p w14:paraId="2AE145A9">
      <w:pPr>
        <w:pStyle w:val="31"/>
        <w:keepNext w:val="0"/>
        <w:keepLines w:val="0"/>
        <w:pageBreakBefore w:val="0"/>
        <w:widowControl w:val="0"/>
        <w:numPr>
          <w:ilvl w:val="0"/>
          <w:numId w:val="56"/>
        </w:numPr>
        <w:kinsoku/>
        <w:wordWrap/>
        <w:overflowPunct/>
        <w:topLinePunct w:val="0"/>
        <w:autoSpaceDE/>
        <w:autoSpaceDN/>
        <w:bidi w:val="0"/>
        <w:adjustRightInd w:val="0"/>
        <w:snapToGrid w:val="0"/>
        <w:spacing w:line="360" w:lineRule="auto"/>
        <w:ind w:left="0" w:leftChars="0" w:firstLine="482"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成果交付后，成交供应商需继续提供项目咨询服务直至文章发表，费用包含在本项目报价内；如因成交供应商的原因导致项目失败，包括但不限于实验不成功、建库失败，成交供应商承担全部责任，退还采购人已付全部款项。</w:t>
      </w:r>
    </w:p>
    <w:p w14:paraId="287A640D">
      <w:pPr>
        <w:pStyle w:val="31"/>
        <w:keepNext w:val="0"/>
        <w:keepLines w:val="0"/>
        <w:pageBreakBefore w:val="0"/>
        <w:widowControl w:val="0"/>
        <w:numPr>
          <w:ilvl w:val="0"/>
          <w:numId w:val="56"/>
        </w:numPr>
        <w:kinsoku/>
        <w:wordWrap/>
        <w:overflowPunct/>
        <w:topLinePunct w:val="0"/>
        <w:autoSpaceDE/>
        <w:autoSpaceDN/>
        <w:bidi w:val="0"/>
        <w:adjustRightInd w:val="0"/>
        <w:snapToGrid w:val="0"/>
        <w:spacing w:line="360" w:lineRule="auto"/>
        <w:ind w:left="0" w:leftChars="0" w:firstLine="482" w:firstLineChars="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项目所得数据仅供采购人使用，成交供应商不得将数据用于任何其他目的，包括但不限于发表论文、申请相关研究专利等。</w:t>
      </w:r>
    </w:p>
    <w:p w14:paraId="6F14F1EC">
      <w:pPr>
        <w:pStyle w:val="31"/>
        <w:keepNext w:val="0"/>
        <w:keepLines w:val="0"/>
        <w:pageBreakBefore w:val="0"/>
        <w:widowControl w:val="0"/>
        <w:numPr>
          <w:ilvl w:val="0"/>
          <w:numId w:val="56"/>
        </w:numPr>
        <w:kinsoku/>
        <w:wordWrap/>
        <w:overflowPunct/>
        <w:topLinePunct w:val="0"/>
        <w:autoSpaceDE/>
        <w:autoSpaceDN/>
        <w:bidi w:val="0"/>
        <w:adjustRightInd w:val="0"/>
        <w:snapToGrid w:val="0"/>
        <w:spacing w:line="360" w:lineRule="auto"/>
        <w:ind w:left="0" w:leftChars="0" w:firstLine="482" w:firstLineChars="0"/>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为方便采购人使用检测数据，</w:t>
      </w:r>
      <w:r>
        <w:rPr>
          <w:rFonts w:hint="eastAsia" w:ascii="仿宋" w:hAnsi="仿宋" w:eastAsia="仿宋" w:cs="仿宋"/>
          <w:b w:val="0"/>
          <w:bCs/>
          <w:color w:val="auto"/>
          <w:sz w:val="24"/>
          <w:szCs w:val="24"/>
          <w:highlight w:val="none"/>
          <w:lang w:val="en-US" w:eastAsia="zh-CN"/>
        </w:rPr>
        <w:t>成交供应商</w:t>
      </w:r>
      <w:r>
        <w:rPr>
          <w:rFonts w:hint="default" w:ascii="仿宋" w:hAnsi="仿宋" w:eastAsia="仿宋" w:cs="仿宋"/>
          <w:b w:val="0"/>
          <w:bCs/>
          <w:color w:val="auto"/>
          <w:sz w:val="24"/>
          <w:szCs w:val="24"/>
          <w:highlight w:val="none"/>
          <w:lang w:val="en-US" w:eastAsia="zh-CN"/>
        </w:rPr>
        <w:t>应承诺在最终数据提供后，继续保留数据</w:t>
      </w:r>
      <w:r>
        <w:rPr>
          <w:rFonts w:hint="eastAsia" w:ascii="仿宋" w:hAnsi="仿宋" w:eastAsia="仿宋" w:cs="仿宋"/>
          <w:b w:val="0"/>
          <w:bCs/>
          <w:color w:val="auto"/>
          <w:sz w:val="24"/>
          <w:szCs w:val="24"/>
          <w:highlight w:val="none"/>
          <w:lang w:val="en-US" w:eastAsia="zh-CN"/>
        </w:rPr>
        <w:t>不少于</w:t>
      </w:r>
      <w:r>
        <w:rPr>
          <w:rFonts w:hint="default" w:ascii="仿宋" w:hAnsi="仿宋" w:eastAsia="仿宋" w:cs="仿宋"/>
          <w:b w:val="0"/>
          <w:bCs/>
          <w:color w:val="auto"/>
          <w:sz w:val="24"/>
          <w:szCs w:val="24"/>
          <w:highlight w:val="none"/>
          <w:lang w:val="en-US" w:eastAsia="zh-CN"/>
        </w:rPr>
        <w:t>2年</w:t>
      </w:r>
      <w:r>
        <w:rPr>
          <w:rFonts w:hint="eastAsia" w:ascii="仿宋" w:hAnsi="仿宋" w:eastAsia="仿宋" w:cs="仿宋"/>
          <w:b w:val="0"/>
          <w:bCs/>
          <w:color w:val="auto"/>
          <w:sz w:val="24"/>
          <w:szCs w:val="24"/>
          <w:highlight w:val="none"/>
          <w:lang w:val="en-US" w:eastAsia="zh-CN"/>
        </w:rPr>
        <w:t>（与需求不一致的，以需求为准）。</w:t>
      </w:r>
    </w:p>
    <w:p w14:paraId="007A9035">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提供多组学联合研究方案</w:t>
      </w:r>
    </w:p>
    <w:p w14:paraId="3B45049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结合复杂疾病病因的系统流行病学研究思路，针对采购人所招标产品进行科学研究策略制定多组学联合研究方案，围绕所得组学数据进行多组学（空间转录组、测序</w:t>
      </w:r>
      <w:r>
        <w:rPr>
          <w:rFonts w:hint="eastAsia" w:ascii="仿宋" w:hAnsi="仿宋" w:eastAsia="仿宋" w:cs="仿宋"/>
          <w:color w:val="auto"/>
          <w:sz w:val="24"/>
          <w:highlight w:val="none"/>
          <w:lang w:val="en-US" w:eastAsia="zh-CN"/>
        </w:rPr>
        <w:t>组</w:t>
      </w:r>
      <w:r>
        <w:rPr>
          <w:rFonts w:hint="eastAsia" w:ascii="仿宋" w:hAnsi="仿宋" w:eastAsia="仿宋" w:cs="仿宋"/>
          <w:color w:val="auto"/>
          <w:sz w:val="24"/>
          <w:highlight w:val="none"/>
        </w:rPr>
        <w:t>、DIA蛋白质组学、高通量靶向</w:t>
      </w:r>
      <w:r>
        <w:rPr>
          <w:rFonts w:hint="eastAsia" w:ascii="仿宋" w:hAnsi="仿宋" w:eastAsia="仿宋" w:cs="仿宋"/>
          <w:color w:val="auto"/>
          <w:sz w:val="24"/>
          <w:highlight w:val="none"/>
          <w:lang w:val="en-US" w:eastAsia="zh-CN"/>
        </w:rPr>
        <w:t>组</w:t>
      </w:r>
      <w:r>
        <w:rPr>
          <w:rFonts w:hint="eastAsia" w:ascii="仿宋" w:hAnsi="仿宋" w:eastAsia="仿宋" w:cs="仿宋"/>
          <w:color w:val="auto"/>
          <w:sz w:val="24"/>
          <w:highlight w:val="none"/>
        </w:rPr>
        <w:t>）联合研究策略顶层设计，为采购人的系统性拓展研究提供创新性思路，并呈现联合数据分析及调控机制分析内容。包括：</w:t>
      </w:r>
      <w:bookmarkStart w:id="19" w:name="_Hlk172225049"/>
    </w:p>
    <w:p w14:paraId="2D3F1BBF">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方案设计契合度：结合研究课题背景、科研需求，以及围绕疾病临床特征，通过文献调研、相关分子病因机制、公开数据库、系统生物学理论资料为依据，实现方案设计策略契合；</w:t>
      </w:r>
    </w:p>
    <w:p w14:paraId="02A1203F">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方案设计创新性：从</w:t>
      </w:r>
      <w:r>
        <w:rPr>
          <w:rFonts w:hint="eastAsia" w:ascii="仿宋" w:hAnsi="仿宋" w:eastAsia="仿宋" w:cs="仿宋"/>
          <w:color w:val="auto"/>
          <w:sz w:val="24"/>
          <w:highlight w:val="none"/>
          <w:lang w:val="en-US" w:eastAsia="zh-CN"/>
        </w:rPr>
        <w:t>包括但不限于</w:t>
      </w:r>
      <w:r>
        <w:rPr>
          <w:rFonts w:hint="eastAsia" w:ascii="仿宋" w:hAnsi="仿宋" w:eastAsia="仿宋" w:cs="仿宋"/>
          <w:color w:val="auto"/>
          <w:sz w:val="24"/>
          <w:highlight w:val="none"/>
        </w:rPr>
        <w:t>临床队列方法学、遗传组学、检测技术、生物信息统计方法方面的设计，凸显研究的特色及创新价值；</w:t>
      </w:r>
    </w:p>
    <w:p w14:paraId="70D2F1AC">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方案设计完整性：需要整合临床流行病学、以遗传组为核心的多组学、生物统计学，构建系统完整的研究体系；</w:t>
      </w:r>
    </w:p>
    <w:p w14:paraId="78FAE883">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方案设计延展性：基于中心法则和分子调控理论，方案需具有前瞻性设计，为后续该课题持续与其他组学的拓展研究提供支撑。</w:t>
      </w:r>
      <w:bookmarkEnd w:id="19"/>
    </w:p>
    <w:p w14:paraId="05631054">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zh-CN" w:eastAsia="zh-CN"/>
        </w:rPr>
        <w:t>商务要求</w:t>
      </w:r>
    </w:p>
    <w:p w14:paraId="629A2ECF">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各服务节点完成</w:t>
      </w:r>
      <w:r>
        <w:rPr>
          <w:rFonts w:hint="eastAsia" w:ascii="仿宋" w:hAnsi="仿宋" w:eastAsia="仿宋" w:cs="仿宋"/>
          <w:color w:val="auto"/>
          <w:sz w:val="24"/>
          <w:highlight w:val="none"/>
        </w:rPr>
        <w:t>期限</w:t>
      </w:r>
      <w:r>
        <w:rPr>
          <w:rFonts w:hint="eastAsia" w:ascii="仿宋" w:hAnsi="仿宋" w:eastAsia="仿宋" w:cs="仿宋"/>
          <w:color w:val="auto"/>
          <w:sz w:val="24"/>
          <w:highlight w:val="none"/>
          <w:lang w:eastAsia="zh-CN"/>
        </w:rPr>
        <w:t>：</w:t>
      </w:r>
    </w:p>
    <w:p w14:paraId="20E83B2F">
      <w:pPr>
        <w:keepNext w:val="0"/>
        <w:keepLines w:val="0"/>
        <w:pageBreakBefore w:val="0"/>
        <w:widowControl w:val="0"/>
        <w:numPr>
          <w:ilvl w:val="0"/>
          <w:numId w:val="59"/>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样本提取、质检和前处理：不多于3周（15个工作日）</w:t>
      </w:r>
      <w:r>
        <w:rPr>
          <w:rFonts w:hint="eastAsia" w:ascii="仿宋" w:hAnsi="仿宋" w:eastAsia="仿宋" w:cs="仿宋"/>
          <w:color w:val="auto"/>
          <w:sz w:val="24"/>
          <w:highlight w:val="none"/>
          <w:lang w:val="en-US" w:eastAsia="zh-CN"/>
        </w:rPr>
        <w:t>完成</w:t>
      </w:r>
      <w:r>
        <w:rPr>
          <w:rFonts w:hint="eastAsia" w:ascii="仿宋" w:hAnsi="仿宋" w:eastAsia="仿宋" w:cs="仿宋"/>
          <w:color w:val="auto"/>
          <w:sz w:val="24"/>
          <w:highlight w:val="none"/>
        </w:rPr>
        <w:t>；</w:t>
      </w:r>
    </w:p>
    <w:p w14:paraId="1283CACE">
      <w:pPr>
        <w:keepNext w:val="0"/>
        <w:keepLines w:val="0"/>
        <w:pageBreakBefore w:val="0"/>
        <w:widowControl w:val="0"/>
        <w:numPr>
          <w:ilvl w:val="0"/>
          <w:numId w:val="59"/>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检测实验和数据分析：样本质检合格后，2个月（45个工作日）</w:t>
      </w:r>
      <w:r>
        <w:rPr>
          <w:rFonts w:hint="eastAsia" w:ascii="仿宋" w:hAnsi="仿宋" w:eastAsia="仿宋" w:cs="仿宋"/>
          <w:color w:val="auto"/>
          <w:sz w:val="24"/>
          <w:highlight w:val="none"/>
          <w:lang w:val="en-US" w:eastAsia="zh-CN"/>
        </w:rPr>
        <w:t>完成</w:t>
      </w:r>
      <w:r>
        <w:rPr>
          <w:rFonts w:hint="eastAsia" w:ascii="仿宋" w:hAnsi="仿宋" w:eastAsia="仿宋" w:cs="仿宋"/>
          <w:color w:val="auto"/>
          <w:sz w:val="24"/>
          <w:highlight w:val="none"/>
        </w:rPr>
        <w:t>。</w:t>
      </w:r>
    </w:p>
    <w:p w14:paraId="0480D7DA">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项目完成时</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eastAsia="zh-CN"/>
        </w:rPr>
        <w:t>应提供给</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eastAsia="zh-CN"/>
        </w:rPr>
        <w:t>的产品及资料为：</w:t>
      </w:r>
    </w:p>
    <w:tbl>
      <w:tblPr>
        <w:tblStyle w:val="24"/>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1040"/>
        <w:gridCol w:w="1040"/>
        <w:gridCol w:w="1040"/>
        <w:gridCol w:w="2025"/>
      </w:tblGrid>
      <w:tr w14:paraId="1EB7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3" w:type="dxa"/>
            <w:tcBorders>
              <w:top w:val="single" w:color="auto" w:sz="4" w:space="0"/>
              <w:left w:val="single" w:color="auto" w:sz="4" w:space="0"/>
              <w:bottom w:val="single" w:color="auto" w:sz="4" w:space="0"/>
              <w:right w:val="single" w:color="auto" w:sz="4" w:space="0"/>
            </w:tcBorders>
            <w:noWrap/>
            <w:vAlign w:val="center"/>
          </w:tcPr>
          <w:p w14:paraId="5DE5721A">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c>
          <w:tcPr>
            <w:tcW w:w="1040" w:type="dxa"/>
            <w:tcBorders>
              <w:top w:val="single" w:color="auto" w:sz="4" w:space="0"/>
              <w:left w:val="single" w:color="auto" w:sz="4" w:space="0"/>
              <w:bottom w:val="single" w:color="auto" w:sz="4" w:space="0"/>
              <w:right w:val="single" w:color="auto" w:sz="4" w:space="0"/>
            </w:tcBorders>
            <w:noWrap/>
            <w:vAlign w:val="center"/>
          </w:tcPr>
          <w:p w14:paraId="46573A38">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w:t>
            </w:r>
          </w:p>
        </w:tc>
        <w:tc>
          <w:tcPr>
            <w:tcW w:w="1040" w:type="dxa"/>
            <w:tcBorders>
              <w:top w:val="single" w:color="auto" w:sz="4" w:space="0"/>
              <w:left w:val="single" w:color="auto" w:sz="4" w:space="0"/>
              <w:bottom w:val="single" w:color="auto" w:sz="4" w:space="0"/>
              <w:right w:val="single" w:color="auto" w:sz="4" w:space="0"/>
            </w:tcBorders>
            <w:noWrap/>
            <w:vAlign w:val="center"/>
          </w:tcPr>
          <w:p w14:paraId="1B6149F7">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040" w:type="dxa"/>
            <w:tcBorders>
              <w:top w:val="single" w:color="auto" w:sz="4" w:space="0"/>
              <w:left w:val="single" w:color="auto" w:sz="4" w:space="0"/>
              <w:bottom w:val="single" w:color="auto" w:sz="4" w:space="0"/>
              <w:right w:val="single" w:color="auto" w:sz="4" w:space="0"/>
            </w:tcBorders>
            <w:noWrap/>
            <w:vAlign w:val="center"/>
          </w:tcPr>
          <w:p w14:paraId="7E5F577A">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形式</w:t>
            </w:r>
          </w:p>
        </w:tc>
        <w:tc>
          <w:tcPr>
            <w:tcW w:w="2025" w:type="dxa"/>
            <w:tcBorders>
              <w:top w:val="single" w:color="auto" w:sz="4" w:space="0"/>
              <w:left w:val="single" w:color="auto" w:sz="4" w:space="0"/>
              <w:bottom w:val="single" w:color="auto" w:sz="4" w:space="0"/>
              <w:right w:val="single" w:color="auto" w:sz="4" w:space="0"/>
            </w:tcBorders>
            <w:noWrap/>
            <w:vAlign w:val="center"/>
          </w:tcPr>
          <w:p w14:paraId="2AABDFDA">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CC5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3" w:type="dxa"/>
            <w:tcBorders>
              <w:top w:val="single" w:color="auto" w:sz="4" w:space="0"/>
              <w:left w:val="single" w:color="auto" w:sz="4" w:space="0"/>
              <w:bottom w:val="single" w:color="auto" w:sz="4" w:space="0"/>
              <w:right w:val="single" w:color="auto" w:sz="4" w:space="0"/>
            </w:tcBorders>
            <w:vAlign w:val="center"/>
          </w:tcPr>
          <w:p w14:paraId="01499A30">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实验分析报告</w:t>
            </w:r>
          </w:p>
        </w:tc>
        <w:tc>
          <w:tcPr>
            <w:tcW w:w="1040" w:type="dxa"/>
            <w:tcBorders>
              <w:top w:val="single" w:color="auto" w:sz="4" w:space="0"/>
              <w:left w:val="single" w:color="auto" w:sz="4" w:space="0"/>
              <w:bottom w:val="single" w:color="auto" w:sz="4" w:space="0"/>
              <w:right w:val="single" w:color="auto" w:sz="4" w:space="0"/>
            </w:tcBorders>
            <w:vAlign w:val="center"/>
          </w:tcPr>
          <w:p w14:paraId="7FACD70F">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040" w:type="dxa"/>
            <w:tcBorders>
              <w:top w:val="single" w:color="auto" w:sz="4" w:space="0"/>
              <w:left w:val="single" w:color="auto" w:sz="4" w:space="0"/>
              <w:bottom w:val="single" w:color="auto" w:sz="4" w:space="0"/>
              <w:right w:val="single" w:color="auto" w:sz="4" w:space="0"/>
            </w:tcBorders>
            <w:vAlign w:val="center"/>
          </w:tcPr>
          <w:p w14:paraId="24C3606D">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40" w:type="dxa"/>
            <w:tcBorders>
              <w:top w:val="single" w:color="auto" w:sz="4" w:space="0"/>
              <w:left w:val="single" w:color="auto" w:sz="4" w:space="0"/>
              <w:bottom w:val="single" w:color="auto" w:sz="4" w:space="0"/>
              <w:right w:val="single" w:color="auto" w:sz="4" w:space="0"/>
            </w:tcBorders>
            <w:vAlign w:val="center"/>
          </w:tcPr>
          <w:p w14:paraId="7656EBE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PDF格式</w:t>
            </w:r>
          </w:p>
        </w:tc>
        <w:tc>
          <w:tcPr>
            <w:tcW w:w="2025" w:type="dxa"/>
            <w:tcBorders>
              <w:top w:val="single" w:color="auto" w:sz="4" w:space="0"/>
              <w:left w:val="single" w:color="auto" w:sz="4" w:space="0"/>
              <w:bottom w:val="single" w:color="auto" w:sz="4" w:space="0"/>
              <w:right w:val="single" w:color="auto" w:sz="4" w:space="0"/>
            </w:tcBorders>
            <w:vAlign w:val="center"/>
          </w:tcPr>
          <w:p w14:paraId="7FA58AA8">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每个组学各提交一份</w:t>
            </w:r>
          </w:p>
        </w:tc>
      </w:tr>
      <w:tr w14:paraId="6A26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3" w:type="dxa"/>
            <w:tcBorders>
              <w:top w:val="single" w:color="auto" w:sz="4" w:space="0"/>
              <w:left w:val="single" w:color="auto" w:sz="4" w:space="0"/>
              <w:bottom w:val="single" w:color="auto" w:sz="4" w:space="0"/>
              <w:right w:val="single" w:color="auto" w:sz="4" w:space="0"/>
            </w:tcBorders>
            <w:vAlign w:val="center"/>
          </w:tcPr>
          <w:p w14:paraId="07F388C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实验数据和分析结果</w:t>
            </w:r>
          </w:p>
        </w:tc>
        <w:tc>
          <w:tcPr>
            <w:tcW w:w="1040" w:type="dxa"/>
            <w:tcBorders>
              <w:top w:val="single" w:color="auto" w:sz="4" w:space="0"/>
              <w:left w:val="single" w:color="auto" w:sz="4" w:space="0"/>
              <w:bottom w:val="single" w:color="auto" w:sz="4" w:space="0"/>
              <w:right w:val="single" w:color="auto" w:sz="4" w:space="0"/>
            </w:tcBorders>
            <w:vAlign w:val="center"/>
          </w:tcPr>
          <w:p w14:paraId="24D2141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040" w:type="dxa"/>
            <w:tcBorders>
              <w:top w:val="single" w:color="auto" w:sz="4" w:space="0"/>
              <w:left w:val="single" w:color="auto" w:sz="4" w:space="0"/>
              <w:bottom w:val="single" w:color="auto" w:sz="4" w:space="0"/>
              <w:right w:val="single" w:color="auto" w:sz="4" w:space="0"/>
            </w:tcBorders>
            <w:vAlign w:val="center"/>
          </w:tcPr>
          <w:p w14:paraId="2A5A07EE">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40" w:type="dxa"/>
            <w:tcBorders>
              <w:top w:val="single" w:color="auto" w:sz="4" w:space="0"/>
              <w:left w:val="single" w:color="auto" w:sz="4" w:space="0"/>
              <w:bottom w:val="single" w:color="auto" w:sz="4" w:space="0"/>
              <w:right w:val="single" w:color="auto" w:sz="4" w:space="0"/>
            </w:tcBorders>
            <w:vAlign w:val="center"/>
          </w:tcPr>
          <w:p w14:paraId="5AEF112C">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RAR格式</w:t>
            </w:r>
          </w:p>
        </w:tc>
        <w:tc>
          <w:tcPr>
            <w:tcW w:w="2025" w:type="dxa"/>
            <w:tcBorders>
              <w:top w:val="single" w:color="auto" w:sz="4" w:space="0"/>
              <w:left w:val="single" w:color="auto" w:sz="4" w:space="0"/>
              <w:bottom w:val="single" w:color="auto" w:sz="4" w:space="0"/>
              <w:right w:val="single" w:color="auto" w:sz="4" w:space="0"/>
            </w:tcBorders>
            <w:vAlign w:val="center"/>
          </w:tcPr>
          <w:p w14:paraId="2072AB6A">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每个组学各提交一份</w:t>
            </w:r>
          </w:p>
        </w:tc>
      </w:tr>
      <w:tr w14:paraId="476A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3" w:type="dxa"/>
            <w:tcBorders>
              <w:top w:val="single" w:color="auto" w:sz="4" w:space="0"/>
              <w:left w:val="single" w:color="auto" w:sz="4" w:space="0"/>
              <w:bottom w:val="single" w:color="auto" w:sz="4" w:space="0"/>
              <w:right w:val="single" w:color="auto" w:sz="4" w:space="0"/>
            </w:tcBorders>
            <w:vAlign w:val="center"/>
          </w:tcPr>
          <w:p w14:paraId="6BB7852C">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原始数据</w:t>
            </w:r>
          </w:p>
        </w:tc>
        <w:tc>
          <w:tcPr>
            <w:tcW w:w="1040" w:type="dxa"/>
            <w:tcBorders>
              <w:top w:val="single" w:color="auto" w:sz="4" w:space="0"/>
              <w:left w:val="single" w:color="auto" w:sz="4" w:space="0"/>
              <w:bottom w:val="single" w:color="auto" w:sz="4" w:space="0"/>
              <w:right w:val="single" w:color="auto" w:sz="4" w:space="0"/>
            </w:tcBorders>
            <w:vAlign w:val="center"/>
          </w:tcPr>
          <w:p w14:paraId="7A7CCFC8">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040" w:type="dxa"/>
            <w:tcBorders>
              <w:top w:val="single" w:color="auto" w:sz="4" w:space="0"/>
              <w:left w:val="single" w:color="auto" w:sz="4" w:space="0"/>
              <w:bottom w:val="single" w:color="auto" w:sz="4" w:space="0"/>
              <w:right w:val="single" w:color="auto" w:sz="4" w:space="0"/>
            </w:tcBorders>
            <w:vAlign w:val="center"/>
          </w:tcPr>
          <w:p w14:paraId="213C33F4">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40" w:type="dxa"/>
            <w:tcBorders>
              <w:top w:val="single" w:color="auto" w:sz="4" w:space="0"/>
              <w:left w:val="single" w:color="auto" w:sz="4" w:space="0"/>
              <w:bottom w:val="single" w:color="auto" w:sz="4" w:space="0"/>
              <w:right w:val="single" w:color="auto" w:sz="4" w:space="0"/>
            </w:tcBorders>
            <w:vAlign w:val="center"/>
          </w:tcPr>
          <w:p w14:paraId="1DA1DAB4">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RAR格式</w:t>
            </w:r>
          </w:p>
        </w:tc>
        <w:tc>
          <w:tcPr>
            <w:tcW w:w="2025" w:type="dxa"/>
            <w:tcBorders>
              <w:top w:val="single" w:color="auto" w:sz="4" w:space="0"/>
              <w:left w:val="single" w:color="auto" w:sz="4" w:space="0"/>
              <w:bottom w:val="single" w:color="auto" w:sz="4" w:space="0"/>
              <w:right w:val="single" w:color="auto" w:sz="4" w:space="0"/>
            </w:tcBorders>
            <w:vAlign w:val="center"/>
          </w:tcPr>
          <w:p w14:paraId="654FF4A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每个组学各提交一份</w:t>
            </w:r>
          </w:p>
        </w:tc>
      </w:tr>
    </w:tbl>
    <w:p w14:paraId="6F08880E">
      <w:pPr>
        <w:pStyle w:val="2"/>
        <w:rPr>
          <w:rFonts w:hint="eastAsia"/>
          <w:color w:val="auto"/>
          <w:highlight w:val="none"/>
        </w:rPr>
      </w:pPr>
    </w:p>
    <w:p w14:paraId="75BF07E8">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报价要求</w:t>
      </w:r>
    </w:p>
    <w:p w14:paraId="268B7646">
      <w:pPr>
        <w:pStyle w:val="13"/>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采购采用总报价并附单价形式，供应商应按照用户需求书清单中的参考数量计算响应报价，作为本项目的投标总报价，本项目的价格评审以响应总报价为依据。供应商若中选，响应单价不可改变，本项目服务价格已包含上门取样，运输样本，检测服务等所有费用，采购人不再支付附加任何费用。供应商在响应文件报价的单价须包含完成该项目发生的全部费用，合同期内采购人不再另行支付任何费用。如响应总报价超出限价,将导致投标无效。</w:t>
      </w:r>
    </w:p>
    <w:p w14:paraId="4B35972E">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sv-SE"/>
        </w:rPr>
        <w:t>★</w:t>
      </w:r>
      <w:r>
        <w:rPr>
          <w:rFonts w:hint="eastAsia" w:ascii="仿宋" w:hAnsi="仿宋" w:eastAsia="仿宋" w:cs="仿宋"/>
          <w:color w:val="auto"/>
          <w:sz w:val="24"/>
          <w:highlight w:val="none"/>
          <w:lang w:val="zh-CN"/>
        </w:rPr>
        <w:t>支付方式：</w:t>
      </w:r>
    </w:p>
    <w:p w14:paraId="09A2D6EC">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最终结算金额 = 实际检测数量 × 响应单价</w:t>
      </w:r>
      <w:r>
        <w:rPr>
          <w:rFonts w:hint="eastAsia" w:ascii="仿宋" w:hAnsi="仿宋" w:eastAsia="仿宋" w:cs="仿宋"/>
          <w:color w:val="auto"/>
          <w:sz w:val="24"/>
          <w:highlight w:val="none"/>
          <w:lang w:eastAsia="zh-CN"/>
        </w:rPr>
        <w:t>；</w:t>
      </w:r>
    </w:p>
    <w:p w14:paraId="0C8A2276">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1期：合同签署后，</w:t>
      </w:r>
      <w:r>
        <w:rPr>
          <w:rFonts w:hint="eastAsia" w:ascii="仿宋" w:hAnsi="仿宋" w:eastAsia="仿宋" w:cs="仿宋"/>
          <w:color w:val="auto"/>
          <w:sz w:val="24"/>
          <w:highlight w:val="none"/>
          <w:lang w:val="en-US" w:eastAsia="zh-CN"/>
        </w:rPr>
        <w:t>成交供应商需在30个工作日内向采购人开具首期预付费用等额发票（发票金额 = 采购预算总金额*30%）。采购人收到发票且在满足支付条件的前提下，30个工作日内支付采购预算总金额的30%作为首期预付费用</w:t>
      </w:r>
      <w:r>
        <w:rPr>
          <w:rFonts w:hint="eastAsia" w:ascii="仿宋" w:hAnsi="仿宋" w:eastAsia="仿宋" w:cs="仿宋"/>
          <w:color w:val="auto"/>
          <w:sz w:val="24"/>
          <w:highlight w:val="none"/>
          <w:lang w:eastAsia="zh-CN"/>
        </w:rPr>
        <w:t>；</w:t>
      </w:r>
    </w:p>
    <w:p w14:paraId="6DE16DD7">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jc w:val="left"/>
        <w:textAlignment w:val="auto"/>
        <w:rPr>
          <w:rFonts w:hint="default" w:eastAsia="仿宋"/>
          <w:color w:val="auto"/>
          <w:highlight w:val="none"/>
          <w:lang w:val="en-US" w:eastAsia="zh-CN"/>
        </w:rPr>
      </w:pPr>
      <w:r>
        <w:rPr>
          <w:rFonts w:hint="eastAsia" w:ascii="仿宋" w:hAnsi="仿宋" w:eastAsia="仿宋" w:cs="仿宋"/>
          <w:color w:val="auto"/>
          <w:sz w:val="24"/>
          <w:highlight w:val="none"/>
        </w:rPr>
        <w:t>2期：实验结束后，成交供应商提交电子版项目报告</w:t>
      </w:r>
      <w:r>
        <w:rPr>
          <w:rFonts w:hint="eastAsia" w:ascii="仿宋" w:hAnsi="仿宋" w:eastAsia="仿宋" w:cs="仿宋"/>
          <w:color w:val="auto"/>
          <w:sz w:val="24"/>
          <w:highlight w:val="none"/>
          <w:lang w:val="en-US" w:eastAsia="zh-CN"/>
        </w:rPr>
        <w:t>及最终检测数量清单</w:t>
      </w:r>
      <w:r>
        <w:rPr>
          <w:rFonts w:hint="eastAsia" w:ascii="仿宋" w:hAnsi="仿宋" w:eastAsia="仿宋" w:cs="仿宋"/>
          <w:color w:val="auto"/>
          <w:sz w:val="24"/>
          <w:highlight w:val="none"/>
        </w:rPr>
        <w:t>。采购人在收到该电子版报告</w:t>
      </w:r>
      <w:r>
        <w:rPr>
          <w:rFonts w:hint="eastAsia" w:ascii="仿宋" w:hAnsi="仿宋" w:eastAsia="仿宋" w:cs="仿宋"/>
          <w:color w:val="auto"/>
          <w:sz w:val="24"/>
          <w:highlight w:val="none"/>
          <w:lang w:val="en-US" w:eastAsia="zh-CN"/>
        </w:rPr>
        <w:t>及最终检测数量清单</w:t>
      </w:r>
      <w:r>
        <w:rPr>
          <w:rFonts w:hint="eastAsia" w:ascii="仿宋" w:hAnsi="仿宋" w:eastAsia="仿宋" w:cs="仿宋"/>
          <w:color w:val="auto"/>
          <w:sz w:val="24"/>
          <w:highlight w:val="none"/>
        </w:rPr>
        <w:t>并确认结果无误后，成交供应商应向采购人提交完整的报告</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所有相关数据</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最终结算的服务费用</w:t>
      </w:r>
      <w:r>
        <w:rPr>
          <w:rFonts w:hint="eastAsia" w:ascii="仿宋" w:hAnsi="仿宋" w:eastAsia="仿宋" w:cs="仿宋"/>
          <w:color w:val="auto"/>
          <w:sz w:val="24"/>
          <w:highlight w:val="none"/>
        </w:rPr>
        <w:t>发票（发票金额 = 最终结算金额 - 首期预付费用）。采购人在收到合法有效发</w:t>
      </w:r>
      <w:r>
        <w:rPr>
          <w:rFonts w:hint="eastAsia" w:ascii="仿宋" w:hAnsi="仿宋" w:eastAsia="仿宋" w:cs="仿宋"/>
          <w:color w:val="auto"/>
          <w:sz w:val="24"/>
          <w:szCs w:val="24"/>
          <w:highlight w:val="none"/>
        </w:rPr>
        <w:t>票</w:t>
      </w:r>
      <w:r>
        <w:rPr>
          <w:rFonts w:hint="eastAsia" w:ascii="仿宋" w:hAnsi="仿宋" w:eastAsia="仿宋" w:cs="仿宋"/>
          <w:color w:val="auto"/>
          <w:sz w:val="24"/>
          <w:szCs w:val="24"/>
          <w:highlight w:val="none"/>
          <w:lang w:val="en-US" w:eastAsia="zh-CN"/>
        </w:rPr>
        <w:t>且在满足支付条件的前提下，</w:t>
      </w:r>
      <w:r>
        <w:rPr>
          <w:rFonts w:hint="eastAsia" w:ascii="仿宋" w:hAnsi="仿宋" w:eastAsia="仿宋" w:cs="仿宋"/>
          <w:color w:val="auto"/>
          <w:sz w:val="24"/>
          <w:szCs w:val="24"/>
          <w:highlight w:val="none"/>
        </w:rPr>
        <w:t>30个工作日内完成款项的支付。</w:t>
      </w:r>
    </w:p>
    <w:p w14:paraId="1687AD7A">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逾期支付合同款项的，除应当支付合同款项外，还应当每日按逾期部分合同款额的万分之五向</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偿付违约金，但因</w:t>
      </w:r>
      <w:r>
        <w:rPr>
          <w:rFonts w:hint="eastAsia" w:ascii="仿宋" w:hAnsi="仿宋" w:eastAsia="仿宋" w:cs="仿宋"/>
          <w:color w:val="auto"/>
          <w:sz w:val="24"/>
          <w:highlight w:val="none"/>
          <w:lang w:val="en-US" w:eastAsia="zh-CN"/>
        </w:rPr>
        <w:t>成交供应商自身原因导致无法及时支付的除外。</w:t>
      </w:r>
    </w:p>
    <w:p w14:paraId="41CCC9AB">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因财政国库资金支付程序不同于上述支付方式的，按最终</w:t>
      </w:r>
      <w:r>
        <w:rPr>
          <w:rFonts w:hint="eastAsia" w:ascii="仿宋" w:hAnsi="仿宋" w:eastAsia="仿宋" w:cs="仿宋"/>
          <w:b/>
          <w:bCs/>
          <w:color w:val="auto"/>
          <w:sz w:val="24"/>
          <w:szCs w:val="24"/>
          <w:highlight w:val="none"/>
          <w:lang w:val="en-US" w:eastAsia="zh-CN"/>
        </w:rPr>
        <w:t>采购人</w:t>
      </w:r>
      <w:r>
        <w:rPr>
          <w:rFonts w:hint="eastAsia" w:ascii="仿宋" w:hAnsi="仿宋" w:eastAsia="仿宋" w:cs="仿宋"/>
          <w:b/>
          <w:bCs/>
          <w:color w:val="auto"/>
          <w:sz w:val="24"/>
          <w:szCs w:val="24"/>
          <w:highlight w:val="none"/>
          <w:lang w:val="zh-CN"/>
        </w:rPr>
        <w:t>与供应商协商后的实际支付方式为准。</w:t>
      </w:r>
    </w:p>
    <w:p w14:paraId="75380CC7">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验收</w:t>
      </w:r>
      <w:r>
        <w:rPr>
          <w:rFonts w:hint="eastAsia" w:ascii="仿宋" w:hAnsi="仿宋" w:eastAsia="仿宋" w:cs="仿宋"/>
          <w:color w:val="auto"/>
          <w:sz w:val="24"/>
          <w:highlight w:val="none"/>
          <w:lang w:val="en-US" w:eastAsia="zh-CN"/>
        </w:rPr>
        <w:t>标准：</w:t>
      </w:r>
    </w:p>
    <w:p w14:paraId="53314231">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程序：分段/分期验收</w:t>
      </w:r>
    </w:p>
    <w:p w14:paraId="1CE79930">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内容和验收标准：</w:t>
      </w:r>
    </w:p>
    <w:p w14:paraId="2F56F571">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完成技术服务工作的形式：</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向采购人提交项目结题报告，说明项目完成情况；检测过程中产生的序列文件*.fq和相关生物信息分析结果文件，如果数据量小于等于100G，采购人可通过云平台链接进行数据下载；如采购人因网络等原因无法顺利下载，</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应主动提供U盘或移动硬盘传输。如果数据量大于100G，所有数据应使用U盘或移动硬盘传输数据。</w:t>
      </w:r>
    </w:p>
    <w:p w14:paraId="6209C53C">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技术服务工作成果的验收标准：对于提供样本的检测深度，数据质量，数据分析结果全部达到规定标准，并得到采购人确认。</w:t>
      </w:r>
    </w:p>
    <w:p w14:paraId="585D4FAC">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技术服务工作成果的验收方法：每个样本检测的实验标准，以及完成合同规定的生物信息学分析内容。</w:t>
      </w:r>
    </w:p>
    <w:p w14:paraId="2557ABF2">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rPr>
        <w:t>验收的时间和地点：</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应在每批样品质检合格后30个工作日内完成检测，并向采购人交付工作成果。</w:t>
      </w:r>
    </w:p>
    <w:p w14:paraId="374A9960">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★保密要求</w:t>
      </w:r>
    </w:p>
    <w:p w14:paraId="1946DFE5">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采购人、成交供应商均</w:t>
      </w:r>
      <w:r>
        <w:rPr>
          <w:rFonts w:hint="eastAsia" w:ascii="仿宋" w:hAnsi="仿宋" w:eastAsia="仿宋" w:cs="仿宋"/>
          <w:color w:val="auto"/>
          <w:sz w:val="24"/>
          <w:highlight w:val="none"/>
          <w:lang w:val="zh-CN" w:eastAsia="zh-CN"/>
        </w:rPr>
        <w:t>应履行以下保密义务：</w:t>
      </w:r>
    </w:p>
    <w:p w14:paraId="0C20119E">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保密内容（包括技术信息和经营信息）：</w:t>
      </w:r>
      <w:r>
        <w:rPr>
          <w:rFonts w:hint="eastAsia" w:ascii="仿宋" w:hAnsi="仿宋" w:eastAsia="仿宋" w:cs="仿宋"/>
          <w:color w:val="auto"/>
          <w:sz w:val="24"/>
          <w:highlight w:val="none"/>
          <w:lang w:val="en-US" w:eastAsia="zh-CN"/>
        </w:rPr>
        <w:t>采购人、成交供应商</w:t>
      </w:r>
      <w:r>
        <w:rPr>
          <w:rFonts w:hint="eastAsia" w:ascii="仿宋" w:hAnsi="仿宋" w:eastAsia="仿宋" w:cs="仿宋"/>
          <w:color w:val="auto"/>
          <w:sz w:val="24"/>
          <w:highlight w:val="none"/>
          <w:lang w:val="zh-CN" w:eastAsia="zh-CN"/>
        </w:rPr>
        <w:t>双方因本项目合同的履行而获知的不为公众所知悉的信息，包括但不限于本项目涉及的临床研究相关资料、实验内容、原始资料、技术路线、试验报告、患者隐私信息及与试验有关的资料、结果及价格等。未经采购人书面同意，成交供应商不得将上述信息泄露给任何第三方；未经</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书面同意，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不得将本项目技术路线、价格等涉及</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机密的资料泄漏给第三方。</w:t>
      </w:r>
    </w:p>
    <w:p w14:paraId="3E3BB1F5">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涉密人员范围：包括但不限于直接参与项目的实验技术人员、数据分析人员、接触数据的第三方支持人员。</w:t>
      </w:r>
    </w:p>
    <w:p w14:paraId="4F2DC09C">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保密期限：双方就本项目合同的签订之日起，直至相应保密内容由采购人向社会公众公开之日止（</w:t>
      </w:r>
      <w:r>
        <w:rPr>
          <w:rFonts w:hint="eastAsia" w:ascii="仿宋" w:hAnsi="仿宋" w:eastAsia="仿宋" w:cs="仿宋"/>
          <w:color w:val="auto"/>
          <w:sz w:val="24"/>
          <w:highlight w:val="none"/>
          <w:lang w:val="en-US" w:eastAsia="zh-CN"/>
        </w:rPr>
        <w:t>原则上不少于3年，</w:t>
      </w:r>
      <w:r>
        <w:rPr>
          <w:rFonts w:hint="eastAsia" w:ascii="仿宋" w:hAnsi="仿宋" w:eastAsia="仿宋" w:cs="仿宋"/>
          <w:color w:val="auto"/>
          <w:sz w:val="24"/>
          <w:szCs w:val="24"/>
          <w:highlight w:val="none"/>
          <w:lang w:val="en-US" w:eastAsia="zh-CN"/>
        </w:rPr>
        <w:t>具体以项目的实施情况为准</w:t>
      </w:r>
      <w:r>
        <w:rPr>
          <w:rFonts w:hint="eastAsia" w:ascii="仿宋" w:hAnsi="仿宋" w:eastAsia="仿宋" w:cs="仿宋"/>
          <w:color w:val="auto"/>
          <w:sz w:val="24"/>
          <w:highlight w:val="none"/>
          <w:lang w:val="zh-CN" w:eastAsia="zh-CN"/>
        </w:rPr>
        <w:t>）。</w:t>
      </w:r>
    </w:p>
    <w:p w14:paraId="689161F0">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泄密赔偿：</w:t>
      </w:r>
      <w:r>
        <w:rPr>
          <w:rFonts w:hint="eastAsia" w:ascii="仿宋" w:hAnsi="仿宋" w:eastAsia="仿宋" w:cs="仿宋"/>
          <w:color w:val="auto"/>
          <w:sz w:val="24"/>
          <w:highlight w:val="none"/>
          <w:lang w:val="en-US" w:eastAsia="zh-CN"/>
        </w:rPr>
        <w:t>如发生</w:t>
      </w:r>
      <w:r>
        <w:rPr>
          <w:rFonts w:hint="eastAsia" w:ascii="仿宋" w:hAnsi="仿宋" w:eastAsia="仿宋" w:cs="仿宋"/>
          <w:color w:val="auto"/>
          <w:sz w:val="24"/>
          <w:highlight w:val="none"/>
          <w:lang w:val="zh-CN" w:eastAsia="zh-CN"/>
        </w:rPr>
        <w:t>泄密事件，泄密方</w:t>
      </w:r>
      <w:r>
        <w:rPr>
          <w:rFonts w:hint="eastAsia" w:ascii="仿宋" w:hAnsi="仿宋" w:eastAsia="仿宋" w:cs="仿宋"/>
          <w:color w:val="auto"/>
          <w:sz w:val="24"/>
          <w:highlight w:val="none"/>
          <w:lang w:val="en-US" w:eastAsia="zh-CN"/>
        </w:rPr>
        <w:t>需向无责方支付赔偿款（赔偿款</w:t>
      </w:r>
      <w:r>
        <w:rPr>
          <w:rFonts w:hint="eastAsia" w:ascii="仿宋" w:hAnsi="仿宋" w:eastAsia="仿宋" w:cs="仿宋"/>
          <w:color w:val="auto"/>
          <w:sz w:val="24"/>
          <w:highlight w:val="none"/>
          <w:lang w:val="zh-CN" w:eastAsia="zh-CN"/>
        </w:rPr>
        <w:t>金额为</w:t>
      </w:r>
      <w:r>
        <w:rPr>
          <w:rFonts w:hint="eastAsia" w:ascii="仿宋" w:hAnsi="仿宋" w:eastAsia="仿宋" w:cs="仿宋"/>
          <w:color w:val="auto"/>
          <w:sz w:val="24"/>
          <w:highlight w:val="none"/>
          <w:lang w:val="en-US" w:eastAsia="zh-CN"/>
        </w:rPr>
        <w:t>不少于</w:t>
      </w:r>
      <w:r>
        <w:rPr>
          <w:rFonts w:hint="eastAsia" w:ascii="仿宋" w:hAnsi="仿宋" w:eastAsia="仿宋" w:cs="仿宋"/>
          <w:color w:val="auto"/>
          <w:sz w:val="24"/>
          <w:highlight w:val="none"/>
          <w:lang w:val="zh-CN" w:eastAsia="zh-CN"/>
        </w:rPr>
        <w:t>合同金额的 5%，</w:t>
      </w:r>
      <w:r>
        <w:rPr>
          <w:rFonts w:hint="eastAsia" w:ascii="仿宋" w:hAnsi="仿宋" w:eastAsia="仿宋" w:cs="仿宋"/>
          <w:color w:val="auto"/>
          <w:sz w:val="24"/>
          <w:highlight w:val="none"/>
          <w:lang w:val="en-US" w:eastAsia="zh-CN"/>
        </w:rPr>
        <w:t>具体赔偿金额将综合考虑泄密信息的保密等级、传播范围、对无责方业务及商誉造成的实际损害等因素确定）</w:t>
      </w:r>
      <w:r>
        <w:rPr>
          <w:rFonts w:hint="eastAsia" w:ascii="仿宋" w:hAnsi="仿宋" w:eastAsia="仿宋" w:cs="仿宋"/>
          <w:color w:val="auto"/>
          <w:sz w:val="24"/>
          <w:highlight w:val="none"/>
          <w:lang w:val="zh-CN" w:eastAsia="zh-CN"/>
        </w:rPr>
        <w:t>；如造成重大损失，无责方依法追究泄密方刑事责任。</w:t>
      </w:r>
    </w:p>
    <w:p w14:paraId="4A30AB54">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若双方对赔偿金额有争议，可协商选择双方认可的第三方专业机构进行评估，评估费用由泄密方承担，评估结果作为确定赔偿金额的依据。</w:t>
      </w:r>
    </w:p>
    <w:p w14:paraId="64744ADC">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所有专利、著作权等知识产权归采购人独有。</w:t>
      </w:r>
    </w:p>
    <w:p w14:paraId="415D927D">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不得在向采购人交付研究开发成果之前，自行将研究开发成果转让给第三人。</w:t>
      </w:r>
    </w:p>
    <w:p w14:paraId="5D11BAC6">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其它保密责任按合同其他条款约定及《中华人民共和国保守国家秘密法》等相关规定处理。</w:t>
      </w:r>
    </w:p>
    <w:p w14:paraId="3D0A68DB">
      <w:pPr>
        <w:pStyle w:val="31"/>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 双方责任及协作事项</w:t>
      </w:r>
    </w:p>
    <w:p w14:paraId="4F623550">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采购方责任：</w:t>
      </w:r>
    </w:p>
    <w:p w14:paraId="5A07CAB2">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有义务</w:t>
      </w:r>
      <w:r>
        <w:rPr>
          <w:rFonts w:hint="eastAsia" w:ascii="仿宋" w:hAnsi="仿宋" w:eastAsia="仿宋" w:cs="仿宋"/>
          <w:color w:val="auto"/>
          <w:sz w:val="24"/>
          <w:highlight w:val="none"/>
          <w:lang w:val="en-US" w:eastAsia="zh-CN"/>
        </w:rPr>
        <w:t>按时</w:t>
      </w:r>
      <w:r>
        <w:rPr>
          <w:rFonts w:hint="eastAsia" w:ascii="仿宋" w:hAnsi="仿宋" w:eastAsia="仿宋" w:cs="仿宋"/>
          <w:color w:val="auto"/>
          <w:sz w:val="24"/>
          <w:highlight w:val="none"/>
          <w:lang w:val="zh-CN" w:eastAsia="zh-CN"/>
        </w:rPr>
        <w:t>提供符合标准的样品。样品是否满足实验条件，以成交供应商出具的</w:t>
      </w:r>
      <w:r>
        <w:rPr>
          <w:rFonts w:hint="eastAsia" w:ascii="仿宋" w:hAnsi="仿宋" w:eastAsia="仿宋" w:cs="仿宋"/>
          <w:color w:val="auto"/>
          <w:sz w:val="24"/>
          <w:highlight w:val="none"/>
          <w:lang w:val="en-US" w:eastAsia="zh-CN"/>
        </w:rPr>
        <w:t>质检报告</w:t>
      </w:r>
      <w:r>
        <w:rPr>
          <w:rFonts w:hint="eastAsia" w:ascii="仿宋" w:hAnsi="仿宋" w:eastAsia="仿宋" w:cs="仿宋"/>
          <w:color w:val="auto"/>
          <w:sz w:val="24"/>
          <w:highlight w:val="none"/>
          <w:lang w:val="zh-CN" w:eastAsia="zh-CN"/>
        </w:rPr>
        <w:t>作为判定依据。若采购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所提供的样品未能达到实验标准，采购人</w:t>
      </w:r>
      <w:r>
        <w:rPr>
          <w:rFonts w:hint="eastAsia" w:ascii="仿宋" w:hAnsi="仿宋" w:eastAsia="仿宋" w:cs="仿宋"/>
          <w:color w:val="auto"/>
          <w:sz w:val="24"/>
          <w:highlight w:val="none"/>
          <w:lang w:val="en-US" w:eastAsia="zh-CN"/>
        </w:rPr>
        <w:t>原则上</w:t>
      </w:r>
      <w:r>
        <w:rPr>
          <w:rFonts w:hint="eastAsia" w:ascii="仿宋" w:hAnsi="仿宋" w:eastAsia="仿宋" w:cs="仿宋"/>
          <w:color w:val="auto"/>
          <w:sz w:val="24"/>
          <w:highlight w:val="none"/>
          <w:lang w:val="zh-CN" w:eastAsia="zh-CN"/>
        </w:rPr>
        <w:t>需在收到质检报告后的五个工作日内，以正式书面形式给出明确处理意见，决定</w:t>
      </w:r>
      <w:r>
        <w:rPr>
          <w:rFonts w:hint="eastAsia" w:ascii="仿宋" w:hAnsi="仿宋" w:eastAsia="仿宋" w:cs="仿宋"/>
          <w:color w:val="auto"/>
          <w:sz w:val="24"/>
          <w:highlight w:val="none"/>
          <w:lang w:val="en-US" w:eastAsia="zh-CN"/>
        </w:rPr>
        <w:t>是否</w:t>
      </w:r>
      <w:r>
        <w:rPr>
          <w:rFonts w:hint="eastAsia" w:ascii="仿宋" w:hAnsi="仿宋" w:eastAsia="仿宋" w:cs="仿宋"/>
          <w:color w:val="auto"/>
          <w:sz w:val="24"/>
          <w:highlight w:val="none"/>
          <w:lang w:val="zh-CN" w:eastAsia="zh-CN"/>
        </w:rPr>
        <w:t>重新提供符合要求的样品，</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lang w:val="zh-CN" w:eastAsia="zh-CN"/>
        </w:rPr>
        <w:t>终止当前实验项目。若选择终止实验，采购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应承担已开展实验样本所产生的全部相关费用。</w:t>
      </w:r>
    </w:p>
    <w:p w14:paraId="1E76448B">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highlight w:val="none"/>
          <w:lang w:val="zh-CN" w:eastAsia="zh-CN"/>
        </w:rPr>
        <w:t>若因采购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提供的样本本身存在质量问题，或样品未能按照预定时间送达等采购方自身原因，导致项目进度出现延误，成交供应商无需为此承担任何责任。</w:t>
      </w:r>
    </w:p>
    <w:p w14:paraId="39CFB56C">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highlight w:val="none"/>
          <w:lang w:val="zh-CN" w:eastAsia="zh-CN"/>
        </w:rPr>
        <w:t>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需确保所提供的样品无致病性。自合同生效之日起，即视为采购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已对样品的安全性作出郑重承诺。若因样品具有致病性而对公共安全构成潜在或实际威胁，采购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需承担由此引发的一切法律责任与经济赔偿责任。</w:t>
      </w:r>
    </w:p>
    <w:p w14:paraId="0B398816">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在整体实验推进过程中，成交供应商需与采购人保持密切且实时的沟通。若实验过程中出现具有潜在风险的环节，成交供应商</w:t>
      </w:r>
      <w:r>
        <w:rPr>
          <w:rFonts w:hint="eastAsia" w:ascii="仿宋" w:hAnsi="仿宋" w:eastAsia="仿宋" w:cs="仿宋"/>
          <w:color w:val="auto"/>
          <w:sz w:val="24"/>
          <w:highlight w:val="none"/>
          <w:lang w:val="en-US" w:eastAsia="zh-CN"/>
        </w:rPr>
        <w:t>应</w:t>
      </w:r>
      <w:r>
        <w:rPr>
          <w:rFonts w:hint="eastAsia" w:ascii="仿宋" w:hAnsi="仿宋" w:eastAsia="仿宋" w:cs="仿宋"/>
          <w:color w:val="auto"/>
          <w:sz w:val="24"/>
          <w:highlight w:val="none"/>
          <w:lang w:val="zh-CN" w:eastAsia="zh-CN"/>
        </w:rPr>
        <w:t>充分、清晰地向采购人告知风险详情，</w:t>
      </w:r>
      <w:r>
        <w:rPr>
          <w:rFonts w:hint="eastAsia" w:ascii="仿宋" w:hAnsi="仿宋" w:eastAsia="仿宋" w:cs="仿宋"/>
          <w:color w:val="auto"/>
          <w:sz w:val="24"/>
          <w:highlight w:val="none"/>
          <w:lang w:val="en-US" w:eastAsia="zh-CN"/>
        </w:rPr>
        <w:t>在取得</w:t>
      </w:r>
      <w:r>
        <w:rPr>
          <w:rFonts w:hint="eastAsia" w:ascii="仿宋" w:hAnsi="仿宋" w:eastAsia="仿宋" w:cs="仿宋"/>
          <w:color w:val="auto"/>
          <w:sz w:val="24"/>
          <w:highlight w:val="none"/>
          <w:lang w:val="zh-CN" w:eastAsia="zh-CN"/>
        </w:rPr>
        <w:t>采购人明确授权同意</w:t>
      </w:r>
      <w:r>
        <w:rPr>
          <w:rFonts w:hint="eastAsia" w:ascii="仿宋" w:hAnsi="仿宋" w:eastAsia="仿宋" w:cs="仿宋"/>
          <w:color w:val="auto"/>
          <w:sz w:val="24"/>
          <w:highlight w:val="none"/>
          <w:lang w:val="en-US" w:eastAsia="zh-CN"/>
        </w:rPr>
        <w:t>后，方可继续开展实验。</w:t>
      </w:r>
      <w:r>
        <w:rPr>
          <w:rFonts w:hint="eastAsia" w:ascii="仿宋" w:hAnsi="仿宋" w:eastAsia="仿宋" w:cs="仿宋"/>
          <w:color w:val="auto"/>
          <w:sz w:val="24"/>
          <w:highlight w:val="none"/>
          <w:lang w:val="zh-CN" w:eastAsia="zh-CN"/>
        </w:rPr>
        <w:t>采购人需承担该风险环节所产生的所有实验风险以及相关项目费用。</w:t>
      </w:r>
    </w:p>
    <w:p w14:paraId="7FA1F8B2">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若</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不能继续提供样品致使项目中断，则</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可以将已付款项（扣除已经发生的费用）的剩余部分转入下一次服务。如无后续服务，预付款将在双方结算完成后，将结余款退回</w:t>
      </w:r>
      <w:r>
        <w:rPr>
          <w:rFonts w:hint="eastAsia" w:ascii="仿宋" w:hAnsi="仿宋" w:eastAsia="仿宋" w:cs="仿宋"/>
          <w:color w:val="auto"/>
          <w:sz w:val="24"/>
          <w:highlight w:val="none"/>
          <w:lang w:val="en-US" w:eastAsia="zh-CN"/>
        </w:rPr>
        <w:t>采购人。</w:t>
      </w:r>
    </w:p>
    <w:p w14:paraId="30DE055C">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highlight w:val="none"/>
          <w:lang w:val="zh-CN" w:eastAsia="zh-CN"/>
        </w:rPr>
        <w:t>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送样时需至少提前1-2天通知</w:t>
      </w:r>
      <w:r>
        <w:rPr>
          <w:rFonts w:hint="eastAsia" w:ascii="仿宋" w:hAnsi="仿宋" w:eastAsia="仿宋" w:cs="仿宋"/>
          <w:color w:val="auto"/>
          <w:sz w:val="24"/>
          <w:highlight w:val="none"/>
          <w:lang w:val="en-US" w:eastAsia="zh-CN"/>
        </w:rPr>
        <w:t>成交供应商。</w:t>
      </w:r>
    </w:p>
    <w:p w14:paraId="0275F604">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责任：</w:t>
      </w:r>
    </w:p>
    <w:p w14:paraId="053FD7F0">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由于实验中存在的不确定因素，</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不能保证</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实验100﹪成功，但</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有责任在样本质检合格情况下，尽量保证最终实验结果的准确性，并确保符合相关数据分析参数要求。</w:t>
      </w:r>
    </w:p>
    <w:p w14:paraId="5F01C0A0">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需保证在约定期限内完成</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zh-CN" w:eastAsia="zh-CN"/>
        </w:rPr>
        <w:t>。如因</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过错导致项目延迟，</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应及时与采购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沟通，说明情况并商定完成时间。若因项目延迟给采购方造成损失，成交供应商需支付</w:t>
      </w:r>
      <w:r>
        <w:rPr>
          <w:rFonts w:hint="eastAsia" w:ascii="仿宋" w:hAnsi="仿宋" w:eastAsia="仿宋" w:cs="仿宋"/>
          <w:color w:val="auto"/>
          <w:sz w:val="24"/>
          <w:highlight w:val="none"/>
          <w:lang w:val="en-US" w:eastAsia="zh-CN"/>
        </w:rPr>
        <w:t>赔偿款</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赔偿款</w:t>
      </w:r>
      <w:r>
        <w:rPr>
          <w:rFonts w:hint="eastAsia" w:ascii="仿宋" w:hAnsi="仿宋" w:eastAsia="仿宋" w:cs="仿宋"/>
          <w:color w:val="auto"/>
          <w:sz w:val="24"/>
          <w:highlight w:val="none"/>
          <w:lang w:val="zh-CN" w:eastAsia="zh-CN"/>
        </w:rPr>
        <w:t>金额为合同金额的 5%）。</w:t>
      </w:r>
    </w:p>
    <w:p w14:paraId="1E4104A2">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需保证提交的结果与项目需求的约定一致。如因</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提供的结果不符合项目需求内容，</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应重新提供。</w:t>
      </w:r>
      <w:r>
        <w:rPr>
          <w:rFonts w:hint="eastAsia" w:ascii="仿宋" w:hAnsi="仿宋" w:eastAsia="仿宋" w:cs="仿宋"/>
          <w:color w:val="auto"/>
          <w:sz w:val="24"/>
          <w:highlight w:val="none"/>
          <w:lang w:val="en-US" w:eastAsia="zh-CN"/>
        </w:rPr>
        <w:t>涉及的</w:t>
      </w:r>
      <w:r>
        <w:rPr>
          <w:rFonts w:hint="eastAsia" w:ascii="仿宋" w:hAnsi="仿宋" w:eastAsia="仿宋" w:cs="仿宋"/>
          <w:color w:val="auto"/>
          <w:sz w:val="24"/>
          <w:highlight w:val="none"/>
          <w:lang w:val="zh-CN" w:eastAsia="zh-CN"/>
        </w:rPr>
        <w:t>费用已包含在响应报价中，采购人不再另行支付。</w:t>
      </w:r>
    </w:p>
    <w:p w14:paraId="07E87B7A">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highlight w:val="none"/>
          <w:lang w:val="zh-CN" w:eastAsia="zh-CN"/>
        </w:rPr>
        <w:t>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zh-CN" w:eastAsia="zh-CN"/>
        </w:rPr>
        <w:t>送样时需至少提前1-2天通知</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及时提供样本保存运输的方案，按照实验要求保存样品，若因</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的原因造成样品丢失，实验操作不当造成样品损坏，导致采购方项目的损失，</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需支付损失赔偿</w:t>
      </w:r>
      <w:r>
        <w:rPr>
          <w:rFonts w:hint="eastAsia" w:ascii="仿宋" w:hAnsi="仿宋" w:eastAsia="仿宋" w:cs="仿宋"/>
          <w:color w:val="auto"/>
          <w:sz w:val="24"/>
          <w:highlight w:val="none"/>
          <w:lang w:val="en-US" w:eastAsia="zh-CN"/>
        </w:rPr>
        <w:t>款</w:t>
      </w:r>
      <w:r>
        <w:rPr>
          <w:rFonts w:hint="eastAsia" w:ascii="仿宋" w:hAnsi="仿宋" w:eastAsia="仿宋" w:cs="仿宋"/>
          <w:color w:val="auto"/>
          <w:sz w:val="24"/>
          <w:highlight w:val="none"/>
          <w:lang w:val="zh-CN" w:eastAsia="zh-CN"/>
        </w:rPr>
        <w:t>(赔偿</w:t>
      </w:r>
      <w:r>
        <w:rPr>
          <w:rFonts w:hint="eastAsia" w:ascii="仿宋" w:hAnsi="仿宋" w:eastAsia="仿宋" w:cs="仿宋"/>
          <w:color w:val="auto"/>
          <w:sz w:val="24"/>
          <w:highlight w:val="none"/>
          <w:lang w:val="en-US" w:eastAsia="zh-CN"/>
        </w:rPr>
        <w:t>款金额为合同</w:t>
      </w:r>
      <w:r>
        <w:rPr>
          <w:rFonts w:hint="eastAsia" w:ascii="仿宋" w:hAnsi="仿宋" w:eastAsia="仿宋" w:cs="仿宋"/>
          <w:color w:val="auto"/>
          <w:sz w:val="24"/>
          <w:highlight w:val="none"/>
          <w:lang w:val="zh-CN" w:eastAsia="zh-CN"/>
        </w:rPr>
        <w:t>金额的2%)。</w:t>
      </w:r>
    </w:p>
    <w:p w14:paraId="38B1455F">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如因</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失误导致项目失败，</w:t>
      </w:r>
      <w:r>
        <w:rPr>
          <w:rFonts w:hint="eastAsia" w:ascii="仿宋" w:hAnsi="仿宋" w:eastAsia="仿宋" w:cs="仿宋"/>
          <w:color w:val="auto"/>
          <w:sz w:val="24"/>
          <w:highlight w:val="none"/>
          <w:lang w:val="en-US" w:eastAsia="zh-CN"/>
        </w:rPr>
        <w:t>成交供应商应</w:t>
      </w:r>
      <w:r>
        <w:rPr>
          <w:rFonts w:hint="eastAsia" w:ascii="仿宋" w:hAnsi="仿宋" w:eastAsia="仿宋" w:cs="仿宋"/>
          <w:color w:val="auto"/>
          <w:sz w:val="24"/>
          <w:highlight w:val="none"/>
          <w:lang w:val="zh-CN" w:eastAsia="zh-CN"/>
        </w:rPr>
        <w:t>承担责任，</w:t>
      </w:r>
      <w:r>
        <w:rPr>
          <w:rFonts w:hint="eastAsia" w:ascii="仿宋" w:hAnsi="仿宋" w:eastAsia="仿宋" w:cs="仿宋"/>
          <w:color w:val="auto"/>
          <w:sz w:val="24"/>
          <w:highlight w:val="none"/>
          <w:lang w:val="en-US" w:eastAsia="zh-CN"/>
        </w:rPr>
        <w:t>且需</w:t>
      </w:r>
      <w:r>
        <w:rPr>
          <w:rFonts w:hint="eastAsia" w:ascii="仿宋" w:hAnsi="仿宋" w:eastAsia="仿宋" w:cs="仿宋"/>
          <w:color w:val="auto"/>
          <w:sz w:val="24"/>
          <w:highlight w:val="none"/>
          <w:lang w:val="zh-CN" w:eastAsia="zh-CN"/>
        </w:rPr>
        <w:t>退还</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已</w:t>
      </w:r>
      <w:r>
        <w:rPr>
          <w:rFonts w:hint="eastAsia" w:ascii="仿宋" w:hAnsi="仿宋" w:eastAsia="仿宋" w:cs="仿宋"/>
          <w:color w:val="auto"/>
          <w:sz w:val="24"/>
          <w:highlight w:val="none"/>
          <w:lang w:val="en-US" w:eastAsia="zh-CN"/>
        </w:rPr>
        <w:t>经支</w:t>
      </w:r>
      <w:r>
        <w:rPr>
          <w:rFonts w:hint="eastAsia" w:ascii="仿宋" w:hAnsi="仿宋" w:eastAsia="仿宋" w:cs="仿宋"/>
          <w:color w:val="auto"/>
          <w:sz w:val="24"/>
          <w:highlight w:val="none"/>
          <w:lang w:val="zh-CN" w:eastAsia="zh-CN"/>
        </w:rPr>
        <w:t>付</w:t>
      </w:r>
      <w:r>
        <w:rPr>
          <w:rFonts w:hint="eastAsia" w:ascii="仿宋" w:hAnsi="仿宋" w:eastAsia="仿宋" w:cs="仿宋"/>
          <w:color w:val="auto"/>
          <w:sz w:val="24"/>
          <w:highlight w:val="none"/>
          <w:lang w:val="en-US" w:eastAsia="zh-CN"/>
        </w:rPr>
        <w:t>的所有</w:t>
      </w:r>
      <w:r>
        <w:rPr>
          <w:rFonts w:hint="eastAsia" w:ascii="仿宋" w:hAnsi="仿宋" w:eastAsia="仿宋" w:cs="仿宋"/>
          <w:color w:val="auto"/>
          <w:sz w:val="24"/>
          <w:highlight w:val="none"/>
          <w:lang w:val="zh-CN" w:eastAsia="zh-CN"/>
        </w:rPr>
        <w:t>款</w:t>
      </w:r>
      <w:r>
        <w:rPr>
          <w:rFonts w:hint="eastAsia" w:ascii="仿宋" w:hAnsi="仿宋" w:eastAsia="仿宋" w:cs="仿宋"/>
          <w:color w:val="auto"/>
          <w:sz w:val="24"/>
          <w:highlight w:val="none"/>
          <w:lang w:val="en-US" w:eastAsia="zh-CN"/>
        </w:rPr>
        <w:t>项。</w:t>
      </w:r>
    </w:p>
    <w:p w14:paraId="394FBF40">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如</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因项目所需，需要对实验数据增加个性化分析，则</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需要在力所能及的范围内，满足</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lang w:val="zh-CN" w:eastAsia="zh-CN"/>
        </w:rPr>
        <w:t>的合理需求。额外个性化分析需求不超过2次。</w:t>
      </w:r>
      <w:r>
        <w:rPr>
          <w:rFonts w:hint="eastAsia" w:ascii="仿宋" w:hAnsi="仿宋" w:eastAsia="仿宋" w:cs="仿宋"/>
          <w:color w:val="auto"/>
          <w:sz w:val="24"/>
          <w:highlight w:val="none"/>
          <w:lang w:val="en-US" w:eastAsia="zh-CN"/>
        </w:rPr>
        <w:t>具体费用另行商议。</w:t>
      </w:r>
    </w:p>
    <w:p w14:paraId="6DB8296C">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成交供应商转包或分包本项目的，按违约处理，采购人有权终止合同，不予支付未支付的所有款项。</w:t>
      </w:r>
    </w:p>
    <w:p w14:paraId="035704E9">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应当保证其交付给采购人的研究开发成果不侵犯任何第三人的合法权益。如有第三方向采购人提出侵犯其专利权、商标权或其它知识产权的主张，该责任应由</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val="zh-CN" w:eastAsia="zh-CN"/>
        </w:rPr>
        <w:t>承担。</w:t>
      </w:r>
    </w:p>
    <w:p w14:paraId="7D54A87C">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未经采购人同意，不得将采购人标本用于他用。</w:t>
      </w:r>
    </w:p>
    <w:p w14:paraId="101B71DE">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其他事项</w:t>
      </w:r>
    </w:p>
    <w:p w14:paraId="07EC03C7">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若有反复（多次）实验，导致合同期内项目无法完成，经双方同意，合同完成的期限可根据实验进程中重复实验的时间进行适当的延期。</w:t>
      </w:r>
    </w:p>
    <w:p w14:paraId="0F78FE22">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若在实验中遇到技术障碍，成交供应商应与采购人及时沟通，采购人应及时予以反馈，双方沟通时间应从合同工作日中扣除。</w:t>
      </w:r>
    </w:p>
    <w:p w14:paraId="1F773301">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如因不可抗拒的客观因素（如水电供应中断、灾害等）或未能预见的技术困难导致的项目延误，采购人、成交供应商双方均不承担责任。</w:t>
      </w:r>
    </w:p>
    <w:p w14:paraId="407C3EC5">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执行过程中所有环节和内容，均需遵循国家、省、市有关法律、标准、技术规范和规范性文件的最新规定。合同期内如遇国家法律法规或上级政策变动，成交供应商须无条件服从配合，并按新的法规、政策执行，采购人将不承担任何责任。如采购人有需要，应在过渡期间继续向采购人提供服务，确保项目的推进。</w:t>
      </w:r>
    </w:p>
    <w:p w14:paraId="01268F7E">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合同签订后，采购人、成交供应商双方均应严格履行，如因本合同的履行发生争议，采购人、成交供应商双方应积极协商解决，协商不成，可向采购人所在地人民法院提起诉讼。</w:t>
      </w:r>
    </w:p>
    <w:p w14:paraId="4A78B80B">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如因生物技术带有不确定性和技术风险导致项目中止，按照成交供应商实际已完成的工作量计算已发生费用，采购人、成交供应商双方各承担50%的费用。</w:t>
      </w:r>
    </w:p>
    <w:p w14:paraId="3D083EAC">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仿宋" w:hAnsi="仿宋" w:eastAsia="仿宋" w:cs="仿宋"/>
          <w:color w:val="auto"/>
          <w:sz w:val="24"/>
          <w:highlight w:val="none"/>
          <w:lang w:val="en-US" w:eastAsia="zh-CN"/>
        </w:rPr>
        <w:t>本项目合同生效后，若一方未按约定期限履行合同（付款除外），应向对方支付的违约金逾期每天以合同总价的1‰计。逾期超过30日，未违约方有权解除合同，并保留向违约方索赔的权利。</w:t>
      </w:r>
    </w:p>
    <w:p w14:paraId="34A9FB12">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仿宋" w:hAnsi="仿宋" w:eastAsia="仿宋" w:cs="仿宋"/>
          <w:color w:val="auto"/>
          <w:sz w:val="24"/>
          <w:highlight w:val="none"/>
          <w:lang w:val="en-US" w:eastAsia="zh-CN"/>
        </w:rPr>
        <w:t>其它违约责任按合同其他条款约定及《中华人民共和国民法典》规定处理。</w:t>
      </w:r>
    </w:p>
    <w:p w14:paraId="60C12BC9">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仿宋" w:hAnsi="仿宋" w:eastAsia="仿宋" w:cs="仿宋"/>
          <w:color w:val="auto"/>
          <w:sz w:val="24"/>
          <w:highlight w:val="none"/>
          <w:lang w:val="en-US" w:eastAsia="zh-CN"/>
        </w:rPr>
        <w:t>为确保本项目的规范性与严肃性，采购人、成交供应商均需遵守以下要求：</w:t>
      </w:r>
    </w:p>
    <w:p w14:paraId="35814A49">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成交供应商交付的实验报告、科研成果等，仅能用于采购人开展的科学研究；</w:t>
      </w:r>
    </w:p>
    <w:p w14:paraId="14A4F96D">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成交供应商不得将上述资料用于商业运作、非法获利，或实施任何不符合科研伦理、违背项目要求的行为；</w:t>
      </w:r>
    </w:p>
    <w:p w14:paraId="63A17B76">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auto"/>
          <w:highlight w:val="none"/>
          <w:lang w:val="en-US" w:eastAsia="zh-CN"/>
        </w:rPr>
      </w:pPr>
      <w:r>
        <w:rPr>
          <w:rFonts w:hint="eastAsia" w:ascii="仿宋" w:hAnsi="仿宋" w:eastAsia="仿宋" w:cs="仿宋"/>
          <w:color w:val="auto"/>
          <w:sz w:val="24"/>
          <w:highlight w:val="none"/>
          <w:lang w:val="en-US" w:eastAsia="zh-CN"/>
        </w:rPr>
        <w:t>采购人不得将成交供应商交付的资料用于病人诊疗及日常医疗工作，不得进行任何可能损害成交供应商权益，或违反科研规定、具有商业性质的操作；</w:t>
      </w:r>
    </w:p>
    <w:p w14:paraId="555C84FA">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auto"/>
          <w:highlight w:val="none"/>
          <w:lang w:val="en-US" w:eastAsia="zh-CN"/>
        </w:rPr>
      </w:pPr>
      <w:r>
        <w:rPr>
          <w:rFonts w:hint="eastAsia" w:ascii="仿宋" w:hAnsi="仿宋" w:eastAsia="仿宋" w:cs="仿宋"/>
          <w:color w:val="auto"/>
          <w:sz w:val="24"/>
          <w:highlight w:val="none"/>
          <w:lang w:val="en-US" w:eastAsia="zh-CN"/>
        </w:rPr>
        <w:t>如任一方违反上述规定，合同将自动失效。过错方须在合同失效之日起10个工作日内，退还所有已支付的款项，并赔偿无责方因过错方违约行为而产生的所有损失。损失计算依据相关法律法规及行业惯例，包括但不限于直接经济损失（如项目前期投入成本、已采购但未使用的设备物资费用等）、间接经济损失（如预期收益损失、因项目延误导致的其他合作机会丧失等）以及为维护自身合法权益而支出的合理费用（如差旅费、鉴定费、律师费等）。</w:t>
      </w:r>
    </w:p>
    <w:p w14:paraId="0F34D7BB">
      <w:pPr>
        <w:pStyle w:val="2"/>
        <w:rPr>
          <w:rFonts w:hint="eastAsia"/>
          <w:color w:val="auto"/>
          <w:highlight w:val="none"/>
          <w:lang w:val="en-US" w:eastAsia="zh-CN"/>
        </w:rPr>
      </w:pPr>
    </w:p>
    <w:p w14:paraId="78904436">
      <w:pPr>
        <w:pStyle w:val="2"/>
        <w:rPr>
          <w:rFonts w:hint="eastAsia" w:ascii="仿宋" w:hAnsi="仿宋" w:eastAsia="仿宋" w:cs="仿宋"/>
          <w:color w:val="auto"/>
          <w:sz w:val="24"/>
          <w:highlight w:val="none"/>
          <w:lang w:val="en-US" w:eastAsia="zh-CN"/>
        </w:rPr>
      </w:pPr>
    </w:p>
    <w:p w14:paraId="09352932">
      <w:pPr>
        <w:rPr>
          <w:rFonts w:hint="eastAsia" w:ascii="仿宋" w:hAnsi="仿宋" w:eastAsia="仿宋" w:cs="仿宋"/>
          <w:color w:val="auto"/>
          <w:sz w:val="24"/>
          <w:highlight w:val="none"/>
          <w:lang w:val="en-US" w:eastAsia="zh-CN"/>
        </w:rPr>
      </w:pPr>
    </w:p>
    <w:p w14:paraId="2D27E64D">
      <w:pPr>
        <w:pStyle w:val="32"/>
        <w:rPr>
          <w:rFonts w:hint="eastAsia"/>
          <w:color w:val="auto"/>
          <w:highlight w:val="none"/>
        </w:rPr>
      </w:pPr>
    </w:p>
    <w:p w14:paraId="2742CF50">
      <w:pPr>
        <w:pStyle w:val="32"/>
        <w:rPr>
          <w:rFonts w:hint="eastAsia"/>
          <w:color w:val="auto"/>
          <w:highlight w:val="none"/>
        </w:rPr>
      </w:pPr>
    </w:p>
    <w:p w14:paraId="664E1E23">
      <w:pPr>
        <w:pStyle w:val="32"/>
        <w:rPr>
          <w:rFonts w:hint="eastAsia"/>
          <w:color w:val="auto"/>
          <w:highlight w:val="none"/>
        </w:rPr>
      </w:pPr>
    </w:p>
    <w:p w14:paraId="281F2A2A">
      <w:pPr>
        <w:pStyle w:val="32"/>
        <w:rPr>
          <w:rFonts w:hint="eastAsia"/>
          <w:color w:val="auto"/>
          <w:highlight w:val="none"/>
        </w:rPr>
      </w:pPr>
    </w:p>
    <w:p w14:paraId="029769D8">
      <w:pPr>
        <w:pStyle w:val="32"/>
        <w:rPr>
          <w:rFonts w:hint="eastAsia"/>
          <w:color w:val="auto"/>
          <w:highlight w:val="none"/>
        </w:rPr>
      </w:pPr>
    </w:p>
    <w:p w14:paraId="1F8C4213">
      <w:pPr>
        <w:pStyle w:val="32"/>
        <w:rPr>
          <w:rFonts w:hint="eastAsia"/>
          <w:color w:val="auto"/>
          <w:highlight w:val="none"/>
        </w:rPr>
      </w:pPr>
    </w:p>
    <w:p w14:paraId="59BB883D">
      <w:pPr>
        <w:pStyle w:val="32"/>
        <w:rPr>
          <w:rFonts w:hint="eastAsia"/>
          <w:color w:val="auto"/>
          <w:highlight w:val="none"/>
        </w:rPr>
      </w:pPr>
    </w:p>
    <w:p w14:paraId="1CE52847">
      <w:pPr>
        <w:pStyle w:val="32"/>
        <w:rPr>
          <w:rFonts w:hint="eastAsia"/>
          <w:color w:val="auto"/>
          <w:highlight w:val="none"/>
        </w:rPr>
      </w:pPr>
    </w:p>
    <w:p w14:paraId="2BFFC9E6">
      <w:pPr>
        <w:pStyle w:val="32"/>
        <w:rPr>
          <w:rFonts w:hint="eastAsia"/>
          <w:color w:val="auto"/>
          <w:highlight w:val="none"/>
        </w:rPr>
      </w:pPr>
    </w:p>
    <w:p w14:paraId="0B99D7A4">
      <w:pPr>
        <w:pStyle w:val="32"/>
        <w:rPr>
          <w:rFonts w:hint="eastAsia"/>
          <w:color w:val="auto"/>
          <w:highlight w:val="none"/>
        </w:rPr>
      </w:pPr>
    </w:p>
    <w:p w14:paraId="383BC887">
      <w:pPr>
        <w:pStyle w:val="32"/>
        <w:rPr>
          <w:rFonts w:hint="eastAsia"/>
          <w:color w:val="auto"/>
          <w:highlight w:val="none"/>
        </w:rPr>
      </w:pPr>
    </w:p>
    <w:p w14:paraId="51C7FFBE">
      <w:pPr>
        <w:pStyle w:val="32"/>
        <w:rPr>
          <w:rFonts w:hint="eastAsia"/>
          <w:color w:val="auto"/>
          <w:highlight w:val="none"/>
        </w:rPr>
      </w:pPr>
    </w:p>
    <w:p w14:paraId="214DFB12">
      <w:pPr>
        <w:pStyle w:val="32"/>
        <w:rPr>
          <w:rFonts w:hint="eastAsia"/>
          <w:color w:val="auto"/>
          <w:highlight w:val="none"/>
        </w:rPr>
      </w:pPr>
    </w:p>
    <w:p w14:paraId="4155D49C">
      <w:pPr>
        <w:pStyle w:val="32"/>
        <w:rPr>
          <w:rFonts w:hint="eastAsia"/>
          <w:color w:val="auto"/>
          <w:highlight w:val="none"/>
        </w:rPr>
      </w:pPr>
    </w:p>
    <w:p w14:paraId="51C776EA">
      <w:pPr>
        <w:pStyle w:val="32"/>
        <w:rPr>
          <w:rFonts w:hint="eastAsia"/>
          <w:color w:val="auto"/>
          <w:highlight w:val="none"/>
        </w:rPr>
      </w:pPr>
    </w:p>
    <w:p w14:paraId="24E9489F">
      <w:pPr>
        <w:pStyle w:val="32"/>
        <w:rPr>
          <w:rFonts w:hint="eastAsia"/>
          <w:color w:val="auto"/>
          <w:highlight w:val="none"/>
        </w:rPr>
      </w:pPr>
    </w:p>
    <w:p w14:paraId="77E67FC3">
      <w:pPr>
        <w:pStyle w:val="32"/>
        <w:rPr>
          <w:rFonts w:hint="eastAsia"/>
          <w:color w:val="auto"/>
          <w:highlight w:val="none"/>
        </w:rPr>
      </w:pPr>
    </w:p>
    <w:p w14:paraId="6FCF14F4">
      <w:pPr>
        <w:pStyle w:val="32"/>
        <w:rPr>
          <w:rFonts w:hint="eastAsia"/>
          <w:color w:val="auto"/>
          <w:highlight w:val="none"/>
        </w:rPr>
      </w:pPr>
    </w:p>
    <w:p w14:paraId="143D47AF">
      <w:pPr>
        <w:pStyle w:val="32"/>
        <w:rPr>
          <w:rFonts w:hint="eastAsia"/>
          <w:color w:val="auto"/>
          <w:highlight w:val="none"/>
        </w:rPr>
      </w:pPr>
    </w:p>
    <w:p w14:paraId="6C83D0C2">
      <w:pPr>
        <w:pStyle w:val="32"/>
        <w:rPr>
          <w:rFonts w:hint="eastAsia"/>
          <w:color w:val="auto"/>
          <w:highlight w:val="none"/>
        </w:rPr>
      </w:pPr>
    </w:p>
    <w:p w14:paraId="155AF3F2">
      <w:pPr>
        <w:pStyle w:val="32"/>
        <w:rPr>
          <w:rFonts w:hint="eastAsia"/>
          <w:color w:val="auto"/>
          <w:highlight w:val="none"/>
        </w:rPr>
      </w:pPr>
    </w:p>
    <w:p w14:paraId="2B56927A">
      <w:pPr>
        <w:pStyle w:val="32"/>
        <w:rPr>
          <w:rFonts w:hint="eastAsia"/>
          <w:color w:val="auto"/>
          <w:highlight w:val="none"/>
        </w:rPr>
      </w:pPr>
    </w:p>
    <w:p w14:paraId="50A66C56">
      <w:pPr>
        <w:pStyle w:val="32"/>
        <w:rPr>
          <w:rFonts w:hint="eastAsia"/>
          <w:color w:val="auto"/>
          <w:highlight w:val="none"/>
        </w:rPr>
      </w:pPr>
    </w:p>
    <w:p w14:paraId="150EA704">
      <w:pPr>
        <w:pStyle w:val="32"/>
        <w:rPr>
          <w:rFonts w:hint="eastAsia"/>
          <w:color w:val="auto"/>
          <w:highlight w:val="none"/>
        </w:rPr>
      </w:pPr>
    </w:p>
    <w:p w14:paraId="2D042EE8">
      <w:pPr>
        <w:pStyle w:val="32"/>
        <w:rPr>
          <w:rFonts w:hint="eastAsia"/>
          <w:color w:val="auto"/>
          <w:highlight w:val="none"/>
        </w:rPr>
      </w:pPr>
    </w:p>
    <w:p w14:paraId="6AEFB4C4">
      <w:pPr>
        <w:pStyle w:val="32"/>
        <w:rPr>
          <w:rFonts w:hint="eastAsia"/>
          <w:color w:val="auto"/>
          <w:highlight w:val="none"/>
        </w:rPr>
      </w:pPr>
    </w:p>
    <w:p w14:paraId="43836C46">
      <w:pPr>
        <w:rPr>
          <w:rFonts w:hint="eastAsia" w:ascii="微软雅黑" w:hAnsi="微软雅黑" w:eastAsia="微软雅黑" w:cs="微软雅黑"/>
          <w:color w:val="auto"/>
          <w:highlight w:val="none"/>
        </w:rPr>
      </w:pPr>
    </w:p>
    <w:p w14:paraId="63BB5EF4">
      <w:pPr>
        <w:rPr>
          <w:rFonts w:hint="eastAsia"/>
          <w:color w:val="auto"/>
          <w:highlight w:val="none"/>
        </w:rPr>
      </w:pPr>
    </w:p>
    <w:p w14:paraId="3D67224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w:t>
      </w:r>
      <w:r>
        <w:rPr>
          <w:rFonts w:hint="eastAsia" w:ascii="微软雅黑" w:hAnsi="微软雅黑" w:eastAsia="微软雅黑" w:cs="微软雅黑"/>
          <w:color w:val="auto"/>
          <w:highlight w:val="none"/>
          <w:lang w:val="en-US" w:eastAsia="zh-CN"/>
        </w:rPr>
        <w:t xml:space="preserve"> 响应</w:t>
      </w:r>
      <w:r>
        <w:rPr>
          <w:rFonts w:hint="eastAsia" w:ascii="微软雅黑" w:hAnsi="微软雅黑" w:eastAsia="微软雅黑" w:cs="微软雅黑"/>
          <w:color w:val="auto"/>
          <w:highlight w:val="none"/>
        </w:rPr>
        <w:t>须知</w:t>
      </w:r>
      <w:bookmarkEnd w:id="16"/>
      <w:bookmarkEnd w:id="17"/>
      <w:bookmarkEnd w:id="18"/>
    </w:p>
    <w:p w14:paraId="20A24F62">
      <w:pPr>
        <w:pStyle w:val="31"/>
        <w:rPr>
          <w:rFonts w:hint="eastAsia"/>
          <w:color w:val="auto"/>
          <w:highlight w:val="none"/>
        </w:rPr>
      </w:pPr>
    </w:p>
    <w:p w14:paraId="711D7E37">
      <w:pPr>
        <w:pStyle w:val="31"/>
        <w:rPr>
          <w:rFonts w:hint="eastAsia"/>
          <w:color w:val="auto"/>
          <w:highlight w:val="none"/>
        </w:rPr>
      </w:pPr>
    </w:p>
    <w:p w14:paraId="69F5DBD4">
      <w:pPr>
        <w:pStyle w:val="31"/>
        <w:rPr>
          <w:rFonts w:hint="eastAsia"/>
          <w:color w:val="auto"/>
          <w:highlight w:val="none"/>
        </w:rPr>
      </w:pPr>
    </w:p>
    <w:p w14:paraId="60344E0F">
      <w:pPr>
        <w:pStyle w:val="31"/>
        <w:rPr>
          <w:rFonts w:hint="eastAsia"/>
          <w:color w:val="auto"/>
          <w:highlight w:val="none"/>
        </w:rPr>
      </w:pPr>
    </w:p>
    <w:p w14:paraId="4890433F">
      <w:pPr>
        <w:pStyle w:val="31"/>
        <w:rPr>
          <w:rFonts w:hint="eastAsia"/>
          <w:color w:val="auto"/>
          <w:highlight w:val="none"/>
        </w:rPr>
      </w:pPr>
    </w:p>
    <w:p w14:paraId="25F80A85">
      <w:pPr>
        <w:pStyle w:val="31"/>
        <w:rPr>
          <w:rFonts w:hint="eastAsia"/>
          <w:color w:val="auto"/>
          <w:highlight w:val="none"/>
        </w:rPr>
      </w:pPr>
    </w:p>
    <w:p w14:paraId="713F8C25">
      <w:pPr>
        <w:pStyle w:val="31"/>
        <w:rPr>
          <w:rFonts w:hint="eastAsia"/>
          <w:color w:val="auto"/>
          <w:highlight w:val="none"/>
        </w:rPr>
      </w:pPr>
    </w:p>
    <w:p w14:paraId="7BF76161">
      <w:pPr>
        <w:pStyle w:val="31"/>
        <w:rPr>
          <w:rFonts w:hint="eastAsia"/>
          <w:color w:val="auto"/>
          <w:highlight w:val="none"/>
        </w:rPr>
      </w:pPr>
    </w:p>
    <w:p w14:paraId="0B091919">
      <w:pPr>
        <w:pStyle w:val="31"/>
        <w:rPr>
          <w:rFonts w:hint="eastAsia"/>
          <w:color w:val="auto"/>
          <w:highlight w:val="none"/>
        </w:rPr>
      </w:pPr>
    </w:p>
    <w:p w14:paraId="68C98261">
      <w:pPr>
        <w:pStyle w:val="31"/>
        <w:rPr>
          <w:rFonts w:hint="eastAsia"/>
          <w:color w:val="auto"/>
          <w:highlight w:val="none"/>
        </w:rPr>
      </w:pPr>
    </w:p>
    <w:p w14:paraId="6F6AD690">
      <w:pPr>
        <w:pStyle w:val="31"/>
        <w:rPr>
          <w:rFonts w:hint="eastAsia"/>
          <w:color w:val="auto"/>
          <w:highlight w:val="none"/>
        </w:rPr>
      </w:pPr>
    </w:p>
    <w:p w14:paraId="6EAB4FC9">
      <w:pPr>
        <w:pStyle w:val="31"/>
        <w:rPr>
          <w:rFonts w:hint="eastAsia"/>
          <w:color w:val="auto"/>
          <w:highlight w:val="none"/>
        </w:rPr>
      </w:pPr>
    </w:p>
    <w:p w14:paraId="0A2BB9E2">
      <w:pPr>
        <w:pStyle w:val="31"/>
        <w:rPr>
          <w:rFonts w:hint="eastAsia"/>
          <w:color w:val="auto"/>
          <w:highlight w:val="none"/>
        </w:rPr>
      </w:pPr>
    </w:p>
    <w:p w14:paraId="0CFBF047">
      <w:pPr>
        <w:pStyle w:val="31"/>
        <w:rPr>
          <w:rFonts w:hint="eastAsia"/>
          <w:color w:val="auto"/>
          <w:highlight w:val="none"/>
        </w:rPr>
      </w:pPr>
    </w:p>
    <w:p w14:paraId="0C75579C">
      <w:pPr>
        <w:pStyle w:val="31"/>
        <w:rPr>
          <w:rFonts w:hint="eastAsia"/>
          <w:color w:val="auto"/>
          <w:highlight w:val="none"/>
        </w:rPr>
      </w:pPr>
    </w:p>
    <w:p w14:paraId="19B892A5">
      <w:pPr>
        <w:pStyle w:val="31"/>
        <w:rPr>
          <w:rFonts w:hint="eastAsia"/>
          <w:color w:val="auto"/>
          <w:highlight w:val="none"/>
        </w:rPr>
      </w:pPr>
    </w:p>
    <w:p w14:paraId="5D9772DF">
      <w:pPr>
        <w:pStyle w:val="31"/>
        <w:rPr>
          <w:rFonts w:hint="eastAsia"/>
          <w:color w:val="auto"/>
          <w:highlight w:val="none"/>
        </w:rPr>
      </w:pPr>
    </w:p>
    <w:p w14:paraId="706DAF68">
      <w:pPr>
        <w:pStyle w:val="31"/>
        <w:rPr>
          <w:rFonts w:hint="eastAsia"/>
          <w:color w:val="auto"/>
          <w:highlight w:val="none"/>
        </w:rPr>
      </w:pPr>
    </w:p>
    <w:p w14:paraId="4155099F">
      <w:pPr>
        <w:pStyle w:val="31"/>
        <w:rPr>
          <w:rFonts w:hint="eastAsia"/>
          <w:color w:val="auto"/>
          <w:highlight w:val="none"/>
        </w:rPr>
      </w:pPr>
    </w:p>
    <w:p w14:paraId="67FF39B6">
      <w:pPr>
        <w:pStyle w:val="31"/>
        <w:rPr>
          <w:rFonts w:hint="eastAsia"/>
          <w:color w:val="auto"/>
          <w:highlight w:val="none"/>
        </w:rPr>
      </w:pPr>
    </w:p>
    <w:p w14:paraId="1FB2C232">
      <w:pPr>
        <w:pStyle w:val="31"/>
        <w:rPr>
          <w:rFonts w:hint="eastAsia"/>
          <w:color w:val="auto"/>
          <w:highlight w:val="none"/>
        </w:rPr>
      </w:pPr>
    </w:p>
    <w:p w14:paraId="2BB9883B">
      <w:pPr>
        <w:pStyle w:val="31"/>
        <w:rPr>
          <w:rFonts w:hint="eastAsia"/>
          <w:color w:val="auto"/>
          <w:highlight w:val="none"/>
        </w:rPr>
      </w:pPr>
    </w:p>
    <w:p w14:paraId="020E775D">
      <w:pPr>
        <w:pStyle w:val="31"/>
        <w:rPr>
          <w:rFonts w:hint="eastAsia"/>
          <w:color w:val="auto"/>
          <w:highlight w:val="none"/>
        </w:rPr>
      </w:pPr>
    </w:p>
    <w:p w14:paraId="1D5B48B5">
      <w:pPr>
        <w:pStyle w:val="31"/>
        <w:rPr>
          <w:rFonts w:hint="eastAsia"/>
          <w:color w:val="auto"/>
          <w:highlight w:val="none"/>
        </w:rPr>
      </w:pPr>
    </w:p>
    <w:p w14:paraId="2EB240AB">
      <w:pPr>
        <w:pStyle w:val="31"/>
        <w:rPr>
          <w:rFonts w:hint="eastAsia"/>
          <w:color w:val="auto"/>
          <w:highlight w:val="none"/>
        </w:rPr>
      </w:pPr>
    </w:p>
    <w:p w14:paraId="7229B002">
      <w:pPr>
        <w:pageBreakBefore w:val="0"/>
        <w:numPr>
          <w:ilvl w:val="0"/>
          <w:numId w:val="0"/>
        </w:numPr>
        <w:kinsoku/>
        <w:wordWrap/>
        <w:overflowPunct/>
        <w:topLinePunct w:val="0"/>
        <w:bidi w:val="0"/>
        <w:spacing w:line="360" w:lineRule="auto"/>
        <w:ind w:right="0" w:rightChars="0"/>
        <w:jc w:val="center"/>
        <w:outlineLvl w:val="1"/>
        <w:rPr>
          <w:rFonts w:hint="eastAsia" w:ascii="宋体" w:hAnsi="宋体" w:cs="宋体"/>
          <w:b/>
          <w:bCs/>
          <w:color w:val="auto"/>
          <w:sz w:val="36"/>
          <w:szCs w:val="36"/>
          <w:highlight w:val="none"/>
        </w:rPr>
      </w:pPr>
      <w:r>
        <w:rPr>
          <w:rFonts w:hint="eastAsia" w:ascii="华文中宋" w:hAnsi="华文中宋" w:eastAsia="华文中宋" w:cs="华文中宋"/>
          <w:b/>
          <w:bCs/>
          <w:color w:val="auto"/>
          <w:sz w:val="36"/>
          <w:szCs w:val="36"/>
          <w:highlight w:val="none"/>
        </w:rPr>
        <w:t>响应须知</w:t>
      </w:r>
    </w:p>
    <w:p w14:paraId="66BB4D3E">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响应文件格式</w:t>
      </w:r>
    </w:p>
    <w:p w14:paraId="2C1A61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须按本</w:t>
      </w:r>
      <w:r>
        <w:rPr>
          <w:rFonts w:hint="eastAsia" w:ascii="仿宋" w:hAnsi="仿宋" w:eastAsia="仿宋" w:cs="仿宋"/>
          <w:color w:val="auto"/>
          <w:sz w:val="24"/>
          <w:szCs w:val="24"/>
          <w:highlight w:val="none"/>
          <w:lang w:val="en-US" w:eastAsia="zh-CN"/>
        </w:rPr>
        <w:t>比选文件</w:t>
      </w:r>
      <w:r>
        <w:rPr>
          <w:rFonts w:hint="eastAsia" w:ascii="仿宋" w:hAnsi="仿宋" w:eastAsia="仿宋" w:cs="仿宋"/>
          <w:color w:val="auto"/>
          <w:sz w:val="24"/>
          <w:szCs w:val="24"/>
          <w:highlight w:val="none"/>
        </w:rPr>
        <w:t>中提供的</w:t>
      </w:r>
      <w:r>
        <w:rPr>
          <w:rFonts w:hint="eastAsia" w:ascii="仿宋" w:hAnsi="仿宋" w:eastAsia="仿宋" w:cs="仿宋"/>
          <w:color w:val="auto"/>
          <w:sz w:val="24"/>
          <w:szCs w:val="24"/>
          <w:highlight w:val="none"/>
          <w:lang w:val="en-US" w:eastAsia="zh-CN"/>
        </w:rPr>
        <w:t>响应文件编制要求</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第五章</w:t>
      </w:r>
      <w:r>
        <w:rPr>
          <w:rFonts w:hint="eastAsia" w:ascii="仿宋" w:hAnsi="仿宋" w:eastAsia="仿宋" w:cs="仿宋"/>
          <w:color w:val="auto"/>
          <w:sz w:val="24"/>
          <w:szCs w:val="24"/>
          <w:highlight w:val="none"/>
        </w:rPr>
        <w:t>）以A4版面统一编制（每份内页须按顺序加注页码），以及按有关要求提供相关的</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资料等。</w:t>
      </w:r>
    </w:p>
    <w:p w14:paraId="25501BDE">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响应文件的递交</w:t>
      </w:r>
    </w:p>
    <w:p w14:paraId="6AD07DD6">
      <w:pPr>
        <w:keepNext w:val="0"/>
        <w:keepLines w:val="0"/>
        <w:pageBreakBefore w:val="0"/>
        <w:widowControl w:val="0"/>
        <w:numPr>
          <w:ilvl w:val="0"/>
          <w:numId w:val="71"/>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响应</w:t>
      </w:r>
      <w:r>
        <w:rPr>
          <w:rFonts w:hint="eastAsia" w:ascii="仿宋" w:hAnsi="仿宋" w:eastAsia="仿宋" w:cs="仿宋"/>
          <w:b w:val="0"/>
          <w:bCs/>
          <w:color w:val="auto"/>
          <w:sz w:val="24"/>
          <w:szCs w:val="24"/>
          <w:highlight w:val="none"/>
        </w:rPr>
        <w:t>文件的密封和标记</w:t>
      </w:r>
    </w:p>
    <w:p w14:paraId="47D8A21A">
      <w:pPr>
        <w:keepNext w:val="0"/>
        <w:keepLines w:val="0"/>
        <w:pageBreakBefore w:val="0"/>
        <w:widowControl w:val="0"/>
        <w:numPr>
          <w:ilvl w:val="0"/>
          <w:numId w:val="7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lang w:eastAsia="zh-CN"/>
        </w:rPr>
        <w:t>应将纸质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B0E48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3E22EF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firstLine="602" w:firstLineChars="200"/>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响应</w:t>
            </w:r>
            <w:r>
              <w:rPr>
                <w:rFonts w:hint="eastAsia" w:ascii="仿宋" w:hAnsi="仿宋" w:eastAsia="仿宋" w:cs="仿宋"/>
                <w:b/>
                <w:bCs/>
                <w:color w:val="auto"/>
                <w:sz w:val="30"/>
                <w:szCs w:val="30"/>
                <w:highlight w:val="none"/>
              </w:rPr>
              <w:t>文件（正/副本）</w:t>
            </w:r>
          </w:p>
          <w:p w14:paraId="77E38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收件人：中山大学孙逸仙纪念医院</w:t>
            </w:r>
          </w:p>
          <w:p w14:paraId="67FAEFF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bCs/>
                <w:color w:val="auto"/>
                <w:szCs w:val="20"/>
                <w:highlight w:val="none"/>
              </w:rPr>
            </w:pPr>
            <w:r>
              <w:rPr>
                <w:rFonts w:hint="eastAsia" w:ascii="仿宋" w:hAnsi="仿宋" w:eastAsia="仿宋" w:cs="仿宋"/>
                <w:bCs/>
                <w:color w:val="auto"/>
                <w:szCs w:val="21"/>
                <w:highlight w:val="none"/>
              </w:rPr>
              <w:t>项目名称：填写</w:t>
            </w:r>
            <w:r>
              <w:rPr>
                <w:rFonts w:hint="eastAsia" w:ascii="仿宋" w:hAnsi="仿宋" w:eastAsia="仿宋" w:cs="仿宋"/>
                <w:bCs/>
                <w:color w:val="auto"/>
                <w:szCs w:val="21"/>
                <w:highlight w:val="none"/>
                <w:lang w:eastAsia="zh-CN"/>
              </w:rPr>
              <w:t>比选文件</w:t>
            </w:r>
            <w:r>
              <w:rPr>
                <w:rFonts w:hint="eastAsia" w:ascii="仿宋" w:hAnsi="仿宋" w:eastAsia="仿宋" w:cs="仿宋"/>
                <w:bCs/>
                <w:color w:val="auto"/>
                <w:szCs w:val="21"/>
                <w:highlight w:val="none"/>
              </w:rPr>
              <w:t>第一章“</w:t>
            </w:r>
            <w:r>
              <w:rPr>
                <w:rFonts w:hint="eastAsia" w:ascii="仿宋" w:hAnsi="仿宋" w:eastAsia="仿宋" w:cs="仿宋"/>
                <w:bCs/>
                <w:color w:val="auto"/>
                <w:szCs w:val="21"/>
                <w:highlight w:val="none"/>
                <w:lang w:val="en-US" w:eastAsia="zh-CN"/>
              </w:rPr>
              <w:t>比选邀请</w:t>
            </w:r>
            <w:r>
              <w:rPr>
                <w:rFonts w:hint="eastAsia" w:ascii="仿宋" w:hAnsi="仿宋" w:eastAsia="仿宋" w:cs="仿宋"/>
                <w:bCs/>
                <w:color w:val="auto"/>
                <w:szCs w:val="21"/>
                <w:highlight w:val="none"/>
              </w:rPr>
              <w:t>函”中写明的</w:t>
            </w:r>
            <w:r>
              <w:rPr>
                <w:rFonts w:hint="eastAsia" w:ascii="仿宋" w:hAnsi="仿宋" w:eastAsia="仿宋" w:cs="仿宋"/>
                <w:bCs/>
                <w:color w:val="auto"/>
                <w:szCs w:val="20"/>
                <w:highlight w:val="none"/>
              </w:rPr>
              <w:t>项目名称</w:t>
            </w:r>
          </w:p>
          <w:p w14:paraId="3B732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响应人</w:t>
            </w:r>
            <w:r>
              <w:rPr>
                <w:rFonts w:hint="eastAsia" w:ascii="仿宋" w:hAnsi="仿宋" w:eastAsia="仿宋" w:cs="仿宋"/>
                <w:bCs/>
                <w:color w:val="auto"/>
                <w:szCs w:val="21"/>
                <w:highlight w:val="none"/>
              </w:rPr>
              <w:t>名称（</w:t>
            </w:r>
            <w:r>
              <w:rPr>
                <w:rFonts w:hint="eastAsia" w:ascii="仿宋" w:hAnsi="仿宋" w:eastAsia="仿宋" w:cs="仿宋"/>
                <w:bCs/>
                <w:color w:val="auto"/>
                <w:szCs w:val="21"/>
                <w:highlight w:val="none"/>
                <w:lang w:val="en-US" w:eastAsia="zh-CN"/>
              </w:rPr>
              <w:t>加</w:t>
            </w:r>
            <w:r>
              <w:rPr>
                <w:rFonts w:hint="eastAsia" w:ascii="仿宋" w:hAnsi="仿宋" w:eastAsia="仿宋" w:cs="仿宋"/>
                <w:bCs/>
                <w:color w:val="auto"/>
                <w:szCs w:val="21"/>
                <w:highlight w:val="none"/>
              </w:rPr>
              <w:t>盖</w:t>
            </w:r>
            <w:r>
              <w:rPr>
                <w:rFonts w:hint="eastAsia" w:ascii="仿宋" w:hAnsi="仿宋" w:eastAsia="仿宋" w:cs="仿宋"/>
                <w:bCs/>
                <w:color w:val="auto"/>
                <w:szCs w:val="21"/>
                <w:highlight w:val="none"/>
                <w:lang w:val="en-US" w:eastAsia="zh-CN"/>
              </w:rPr>
              <w:t>公</w:t>
            </w:r>
            <w:r>
              <w:rPr>
                <w:rFonts w:hint="eastAsia" w:ascii="仿宋" w:hAnsi="仿宋" w:eastAsia="仿宋" w:cs="仿宋"/>
                <w:bCs/>
                <w:color w:val="auto"/>
                <w:szCs w:val="21"/>
                <w:highlight w:val="none"/>
              </w:rPr>
              <w:t>章）：</w:t>
            </w:r>
          </w:p>
          <w:p w14:paraId="6A390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 系 人：</w:t>
            </w:r>
          </w:p>
          <w:p w14:paraId="4397B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联系电话：</w:t>
            </w:r>
          </w:p>
          <w:p w14:paraId="0E83E036">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center"/>
              <w:textAlignment w:val="auto"/>
              <w:rPr>
                <w:rFonts w:hint="eastAsia" w:ascii="仿宋" w:hAnsi="仿宋" w:eastAsia="仿宋" w:cs="仿宋"/>
                <w:color w:val="auto"/>
                <w:sz w:val="24"/>
                <w:szCs w:val="36"/>
                <w:highlight w:val="none"/>
              </w:rPr>
            </w:pPr>
            <w:r>
              <w:rPr>
                <w:rFonts w:hint="eastAsia" w:ascii="仿宋" w:hAnsi="仿宋" w:eastAsia="仿宋" w:cs="仿宋"/>
                <w:b/>
                <w:bCs/>
                <w:color w:val="auto"/>
                <w:sz w:val="24"/>
                <w:szCs w:val="36"/>
                <w:highlight w:val="none"/>
              </w:rPr>
              <w:t>本项目</w:t>
            </w:r>
            <w:r>
              <w:rPr>
                <w:rFonts w:hint="eastAsia" w:ascii="仿宋" w:hAnsi="仿宋" w:eastAsia="仿宋" w:cs="仿宋"/>
                <w:b/>
                <w:bCs/>
                <w:color w:val="auto"/>
                <w:sz w:val="24"/>
                <w:szCs w:val="36"/>
                <w:highlight w:val="none"/>
                <w:lang w:val="en-US" w:eastAsia="zh-CN"/>
              </w:rPr>
              <w:t>采购比选会议</w:t>
            </w:r>
            <w:r>
              <w:rPr>
                <w:rFonts w:hint="eastAsia" w:ascii="仿宋" w:hAnsi="仿宋" w:eastAsia="仿宋" w:cs="仿宋"/>
                <w:b/>
                <w:bCs/>
                <w:color w:val="auto"/>
                <w:sz w:val="24"/>
                <w:szCs w:val="36"/>
                <w:highlight w:val="none"/>
                <w:lang w:eastAsia="zh-CN"/>
              </w:rPr>
              <w:t>之前</w:t>
            </w:r>
            <w:r>
              <w:rPr>
                <w:rFonts w:hint="eastAsia" w:ascii="仿宋" w:hAnsi="仿宋" w:eastAsia="仿宋" w:cs="仿宋"/>
                <w:b/>
                <w:bCs/>
                <w:color w:val="auto"/>
                <w:sz w:val="24"/>
                <w:szCs w:val="36"/>
                <w:highlight w:val="none"/>
              </w:rPr>
              <w:t>不得启封</w:t>
            </w:r>
          </w:p>
          <w:p w14:paraId="2CF3F91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firstLine="422" w:firstLineChars="200"/>
              <w:jc w:val="center"/>
              <w:textAlignment w:val="auto"/>
              <w:rPr>
                <w:rFonts w:hint="eastAsia" w:ascii="仿宋" w:hAnsi="仿宋" w:eastAsia="仿宋" w:cs="仿宋"/>
                <w:b/>
                <w:bCs/>
                <w:color w:val="auto"/>
                <w:highlight w:val="none"/>
              </w:rPr>
            </w:pPr>
          </w:p>
        </w:tc>
      </w:tr>
    </w:tbl>
    <w:p w14:paraId="67EBB7A9">
      <w:pPr>
        <w:keepNext w:val="0"/>
        <w:keepLines w:val="0"/>
        <w:pageBreakBefore w:val="0"/>
        <w:widowControl w:val="0"/>
        <w:numPr>
          <w:ilvl w:val="0"/>
          <w:numId w:val="73"/>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响应人应编制响应文件</w:t>
      </w:r>
      <w:r>
        <w:rPr>
          <w:rFonts w:hint="eastAsia" w:ascii="仿宋" w:hAnsi="仿宋" w:eastAsia="仿宋" w:cs="仿宋"/>
          <w:b w:val="0"/>
          <w:bCs/>
          <w:color w:val="auto"/>
          <w:sz w:val="24"/>
          <w:szCs w:val="24"/>
          <w:highlight w:val="none"/>
          <w:u w:val="single"/>
          <w:lang w:val="en-US" w:eastAsia="zh-CN"/>
        </w:rPr>
        <w:t>正本一份和副本贰份</w:t>
      </w:r>
      <w:r>
        <w:rPr>
          <w:rFonts w:hint="eastAsia" w:ascii="仿宋" w:hAnsi="仿宋" w:eastAsia="仿宋" w:cs="仿宋"/>
          <w:b w:val="0"/>
          <w:bCs/>
          <w:color w:val="auto"/>
          <w:sz w:val="24"/>
          <w:szCs w:val="24"/>
          <w:highlight w:val="none"/>
          <w:lang w:val="en-US" w:eastAsia="zh-CN"/>
        </w:rPr>
        <w:t>，响应文件的副本可采用正本的复印件，并在封面及骑缝均加盖</w:t>
      </w:r>
      <w:r>
        <w:rPr>
          <w:rFonts w:hint="eastAsia" w:ascii="仿宋" w:hAnsi="仿宋" w:eastAsia="仿宋" w:cs="仿宋"/>
          <w:b/>
          <w:bCs w:val="0"/>
          <w:color w:val="auto"/>
          <w:sz w:val="24"/>
          <w:szCs w:val="24"/>
          <w:highlight w:val="none"/>
          <w:lang w:val="en-US" w:eastAsia="zh-CN"/>
        </w:rPr>
        <w:t>鲜章</w:t>
      </w:r>
      <w:r>
        <w:rPr>
          <w:rFonts w:hint="eastAsia" w:ascii="仿宋" w:hAnsi="仿宋" w:eastAsia="仿宋" w:cs="仿宋"/>
          <w:b w:val="0"/>
          <w:bCs/>
          <w:color w:val="auto"/>
          <w:sz w:val="24"/>
          <w:szCs w:val="24"/>
          <w:highlight w:val="none"/>
          <w:lang w:val="en-US" w:eastAsia="zh-CN"/>
        </w:rPr>
        <w:t>。若副本内容与正本不符，以正本内容为准。</w:t>
      </w:r>
    </w:p>
    <w:p w14:paraId="19FC66F6">
      <w:pPr>
        <w:keepNext w:val="0"/>
        <w:keepLines w:val="0"/>
        <w:pageBreakBefore w:val="0"/>
        <w:widowControl w:val="0"/>
        <w:numPr>
          <w:ilvl w:val="0"/>
          <w:numId w:val="73"/>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对未经装订的响应文件可能发生的文件散落或缺损，由此产生的后果由响应人承担。</w:t>
      </w:r>
    </w:p>
    <w:p w14:paraId="6D3421C3">
      <w:pPr>
        <w:keepNext w:val="0"/>
        <w:keepLines w:val="0"/>
        <w:pageBreakBefore w:val="0"/>
        <w:widowControl w:val="0"/>
        <w:numPr>
          <w:ilvl w:val="0"/>
          <w:numId w:val="73"/>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响应文件的“正本”及所有“副本”的封面及骑缝均须加盖响应人</w:t>
      </w:r>
      <w:r>
        <w:rPr>
          <w:rFonts w:hint="eastAsia" w:ascii="仿宋" w:hAnsi="仿宋" w:eastAsia="仿宋" w:cs="仿宋"/>
          <w:b/>
          <w:bCs/>
          <w:color w:val="auto"/>
          <w:sz w:val="24"/>
          <w:szCs w:val="24"/>
          <w:highlight w:val="none"/>
          <w:lang w:val="en-US" w:eastAsia="zh-CN"/>
        </w:rPr>
        <w:t>鲜章</w:t>
      </w:r>
      <w:r>
        <w:rPr>
          <w:rFonts w:hint="eastAsia" w:ascii="仿宋" w:hAnsi="仿宋" w:eastAsia="仿宋" w:cs="仿宋"/>
          <w:color w:val="auto"/>
          <w:sz w:val="24"/>
          <w:szCs w:val="24"/>
          <w:highlight w:val="none"/>
          <w:lang w:val="en-US" w:eastAsia="zh-CN"/>
        </w:rPr>
        <w:t>。</w:t>
      </w:r>
    </w:p>
    <w:p w14:paraId="1EF90034">
      <w:pPr>
        <w:keepNext w:val="0"/>
        <w:keepLines w:val="0"/>
        <w:pageBreakBefore w:val="0"/>
        <w:widowControl w:val="0"/>
        <w:numPr>
          <w:ilvl w:val="0"/>
          <w:numId w:val="71"/>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对响应文件投递的要求</w:t>
      </w:r>
    </w:p>
    <w:p w14:paraId="6D3483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应当在响应文件提交截止时间前，将响应文件密封送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达</w:t>
      </w:r>
      <w:r>
        <w:rPr>
          <w:rFonts w:hint="eastAsia" w:ascii="仿宋" w:hAnsi="仿宋" w:eastAsia="仿宋" w:cs="仿宋"/>
          <w:color w:val="auto"/>
          <w:sz w:val="24"/>
          <w:szCs w:val="24"/>
          <w:highlight w:val="none"/>
          <w:lang w:eastAsia="zh-CN"/>
        </w:rPr>
        <w:t>我院</w:t>
      </w:r>
      <w:r>
        <w:rPr>
          <w:rFonts w:hint="eastAsia" w:ascii="仿宋" w:hAnsi="仿宋" w:eastAsia="仿宋" w:cs="仿宋"/>
          <w:color w:val="auto"/>
          <w:sz w:val="24"/>
          <w:szCs w:val="24"/>
          <w:highlight w:val="none"/>
        </w:rPr>
        <w:t>指定地点。</w:t>
      </w:r>
    </w:p>
    <w:p w14:paraId="65B25AE0">
      <w:pPr>
        <w:keepNext w:val="0"/>
        <w:keepLines w:val="0"/>
        <w:pageBreakBefore w:val="0"/>
        <w:widowControl w:val="0"/>
        <w:numPr>
          <w:ilvl w:val="0"/>
          <w:numId w:val="71"/>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响应文件的修改和撤回</w:t>
      </w:r>
    </w:p>
    <w:p w14:paraId="2C1483F8">
      <w:pPr>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截止时间前，可以对所递交的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文件进行补充、修改或者撤回，并</w:t>
      </w:r>
      <w:r>
        <w:rPr>
          <w:rFonts w:hint="eastAsia" w:ascii="仿宋" w:hAnsi="仿宋" w:eastAsia="仿宋" w:cs="仿宋"/>
          <w:color w:val="auto"/>
          <w:sz w:val="24"/>
          <w:szCs w:val="24"/>
          <w:highlight w:val="none"/>
          <w:lang w:val="en-US" w:eastAsia="zh-CN"/>
        </w:rPr>
        <w:t>书面</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。补充、修改的内容应当按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要求签署、盖章，并作为</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文件的组成部分。</w:t>
      </w:r>
    </w:p>
    <w:p w14:paraId="59EBC5D2">
      <w:pPr>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文件中的任何重要的插字、涂改和增删，必须由法定代表人或经其正式授权的代表在旁边签字或盖章才有效。</w:t>
      </w:r>
    </w:p>
    <w:p w14:paraId="227DCD85">
      <w:pPr>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lang w:eastAsia="zh-CN"/>
        </w:rPr>
        <w:t>截止</w:t>
      </w:r>
      <w:r>
        <w:rPr>
          <w:rFonts w:hint="eastAsia" w:ascii="仿宋" w:hAnsi="仿宋" w:eastAsia="仿宋" w:cs="仿宋"/>
          <w:color w:val="auto"/>
          <w:sz w:val="24"/>
          <w:szCs w:val="24"/>
          <w:highlight w:val="none"/>
        </w:rPr>
        <w:t>时间之后，</w:t>
      </w:r>
      <w:r>
        <w:rPr>
          <w:rFonts w:hint="eastAsia" w:ascii="仿宋" w:hAnsi="仿宋" w:eastAsia="仿宋" w:cs="仿宋"/>
          <w:color w:val="auto"/>
          <w:sz w:val="24"/>
          <w:szCs w:val="24"/>
          <w:highlight w:val="none"/>
          <w:lang w:eastAsia="zh-CN"/>
        </w:rPr>
        <w:t>响应人</w:t>
      </w:r>
      <w:r>
        <w:rPr>
          <w:rFonts w:hint="eastAsia" w:ascii="仿宋" w:hAnsi="仿宋" w:eastAsia="仿宋" w:cs="仿宋"/>
          <w:color w:val="auto"/>
          <w:sz w:val="24"/>
          <w:szCs w:val="24"/>
          <w:highlight w:val="none"/>
        </w:rPr>
        <w:t>不得对其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文件做任何修改和补充。</w:t>
      </w:r>
    </w:p>
    <w:p w14:paraId="77E32DDA">
      <w:pPr>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不接受《</w:t>
      </w:r>
      <w:r>
        <w:rPr>
          <w:rFonts w:hint="eastAsia" w:ascii="仿宋" w:hAnsi="仿宋" w:eastAsia="仿宋" w:cs="仿宋"/>
          <w:color w:val="auto"/>
          <w:sz w:val="24"/>
          <w:szCs w:val="24"/>
          <w:highlight w:val="none"/>
          <w:lang w:val="en-US" w:eastAsia="zh-CN"/>
        </w:rPr>
        <w:t>比选邀请</w:t>
      </w:r>
      <w:r>
        <w:rPr>
          <w:rFonts w:hint="eastAsia" w:ascii="仿宋" w:hAnsi="仿宋" w:eastAsia="仿宋" w:cs="仿宋"/>
          <w:color w:val="auto"/>
          <w:sz w:val="24"/>
          <w:szCs w:val="24"/>
          <w:highlight w:val="none"/>
        </w:rPr>
        <w:t>函》</w:t>
      </w:r>
      <w:r>
        <w:rPr>
          <w:rFonts w:hint="eastAsia" w:ascii="仿宋" w:hAnsi="仿宋" w:eastAsia="仿宋" w:cs="仿宋"/>
          <w:color w:val="auto"/>
          <w:sz w:val="24"/>
          <w:szCs w:val="24"/>
          <w:highlight w:val="none"/>
          <w:lang w:val="en-US" w:eastAsia="zh-CN"/>
        </w:rPr>
        <w:t>中规定外的响应文件递交形式</w:t>
      </w:r>
      <w:r>
        <w:rPr>
          <w:rFonts w:hint="eastAsia" w:ascii="仿宋" w:hAnsi="仿宋" w:eastAsia="仿宋" w:cs="仿宋"/>
          <w:color w:val="auto"/>
          <w:sz w:val="24"/>
          <w:szCs w:val="24"/>
          <w:highlight w:val="none"/>
        </w:rPr>
        <w:t>。</w:t>
      </w:r>
    </w:p>
    <w:p w14:paraId="6D7E1879">
      <w:pPr>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所提交的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文件在</w:t>
      </w:r>
      <w:r>
        <w:rPr>
          <w:rFonts w:hint="eastAsia" w:ascii="仿宋" w:hAnsi="仿宋" w:eastAsia="仿宋" w:cs="仿宋"/>
          <w:color w:val="auto"/>
          <w:sz w:val="24"/>
          <w:szCs w:val="24"/>
          <w:highlight w:val="none"/>
          <w:lang w:val="en-US" w:eastAsia="zh-CN"/>
        </w:rPr>
        <w:t>采购比选会议</w:t>
      </w:r>
      <w:r>
        <w:rPr>
          <w:rFonts w:hint="eastAsia" w:ascii="仿宋" w:hAnsi="仿宋" w:eastAsia="仿宋" w:cs="仿宋"/>
          <w:color w:val="auto"/>
          <w:sz w:val="24"/>
          <w:szCs w:val="24"/>
          <w:highlight w:val="none"/>
        </w:rPr>
        <w:t>结束后，无论</w:t>
      </w:r>
      <w:r>
        <w:rPr>
          <w:rFonts w:hint="eastAsia" w:ascii="仿宋" w:hAnsi="仿宋" w:eastAsia="仿宋" w:cs="仿宋"/>
          <w:color w:val="auto"/>
          <w:sz w:val="24"/>
          <w:szCs w:val="24"/>
          <w:highlight w:val="none"/>
          <w:lang w:eastAsia="zh-CN"/>
        </w:rPr>
        <w:t>采购结果</w:t>
      </w:r>
      <w:r>
        <w:rPr>
          <w:rFonts w:hint="eastAsia" w:ascii="仿宋" w:hAnsi="仿宋" w:eastAsia="仿宋" w:cs="仿宋"/>
          <w:color w:val="auto"/>
          <w:sz w:val="24"/>
          <w:szCs w:val="24"/>
          <w:highlight w:val="none"/>
        </w:rPr>
        <w:t>与否都不退还。</w:t>
      </w:r>
    </w:p>
    <w:p w14:paraId="2EB0297F">
      <w:pPr>
        <w:keepNext w:val="0"/>
        <w:keepLines w:val="0"/>
        <w:pageBreakBefore w:val="0"/>
        <w:widowControl w:val="0"/>
        <w:numPr>
          <w:ilvl w:val="0"/>
          <w:numId w:val="71"/>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样品</w:t>
      </w:r>
    </w:p>
    <w:p w14:paraId="096AFFCD">
      <w:pPr>
        <w:keepNext w:val="0"/>
        <w:keepLines w:val="0"/>
        <w:pageBreakBefore w:val="0"/>
        <w:widowControl w:val="0"/>
        <w:numPr>
          <w:ilvl w:val="0"/>
          <w:numId w:val="75"/>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本项目如要求提交样品的，我院在收取样品时没有对样品外观进行验收及性能测试，对样品的破损或质量概不负责。</w:t>
      </w:r>
    </w:p>
    <w:p w14:paraId="51B786F9">
      <w:pPr>
        <w:keepNext w:val="0"/>
        <w:keepLines w:val="0"/>
        <w:pageBreakBefore w:val="0"/>
        <w:widowControl w:val="0"/>
        <w:numPr>
          <w:ilvl w:val="0"/>
          <w:numId w:val="75"/>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由于我院存放样品的空间有限，如采购人无需留存样品的情况下，请各有关响应人在参与本项目采购比选会议结束后当日内主动取回，否则视同响应人不再认领，我院有权进行处理。</w:t>
      </w:r>
    </w:p>
    <w:p w14:paraId="7DDB99C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响应</w:t>
      </w:r>
      <w:r>
        <w:rPr>
          <w:rFonts w:hint="eastAsia" w:ascii="仿宋" w:hAnsi="仿宋" w:eastAsia="仿宋" w:cs="仿宋"/>
          <w:b w:val="0"/>
          <w:bCs/>
          <w:color w:val="auto"/>
          <w:sz w:val="24"/>
          <w:szCs w:val="24"/>
          <w:highlight w:val="none"/>
        </w:rPr>
        <w:t>文件的拒收</w:t>
      </w:r>
    </w:p>
    <w:p w14:paraId="31C51D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b w:val="0"/>
          <w:bCs/>
          <w:color w:val="auto"/>
          <w:sz w:val="24"/>
          <w:szCs w:val="24"/>
          <w:highlight w:val="none"/>
          <w:lang w:eastAsia="zh-CN"/>
        </w:rPr>
        <w:t>在</w:t>
      </w:r>
      <w:r>
        <w:rPr>
          <w:rFonts w:hint="eastAsia" w:ascii="仿宋" w:hAnsi="仿宋" w:eastAsia="仿宋" w:cs="仿宋"/>
          <w:b w:val="0"/>
          <w:bCs/>
          <w:color w:val="auto"/>
          <w:sz w:val="24"/>
          <w:szCs w:val="24"/>
          <w:highlight w:val="none"/>
          <w:lang w:val="en-US" w:eastAsia="zh-CN"/>
        </w:rPr>
        <w:t>响应文件提交</w:t>
      </w:r>
      <w:r>
        <w:rPr>
          <w:rFonts w:hint="eastAsia" w:ascii="仿宋" w:hAnsi="仿宋" w:eastAsia="仿宋" w:cs="仿宋"/>
          <w:b w:val="0"/>
          <w:bCs/>
          <w:color w:val="auto"/>
          <w:sz w:val="24"/>
          <w:szCs w:val="24"/>
          <w:highlight w:val="none"/>
          <w:lang w:eastAsia="zh-CN"/>
        </w:rPr>
        <w:t>截止时间后送达的或未送达指定地点的响应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lang w:val="en-US" w:eastAsia="zh-CN"/>
        </w:rPr>
        <w:t>或响应</w:t>
      </w:r>
      <w:r>
        <w:rPr>
          <w:rFonts w:hint="eastAsia" w:ascii="仿宋" w:hAnsi="仿宋" w:eastAsia="仿宋" w:cs="仿宋"/>
          <w:color w:val="auto"/>
          <w:sz w:val="24"/>
          <w:szCs w:val="24"/>
          <w:highlight w:val="none"/>
          <w:lang w:eastAsia="zh-CN"/>
        </w:rPr>
        <w:t>文件未密封的，</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为无效文件，</w:t>
      </w:r>
      <w:r>
        <w:rPr>
          <w:rFonts w:hint="eastAsia" w:ascii="仿宋" w:hAnsi="仿宋" w:eastAsia="仿宋" w:cs="仿宋"/>
          <w:color w:val="auto"/>
          <w:sz w:val="24"/>
          <w:szCs w:val="24"/>
          <w:highlight w:val="none"/>
          <w:lang w:val="en-US" w:eastAsia="zh-CN"/>
        </w:rPr>
        <w:t>我院有权利</w:t>
      </w:r>
      <w:r>
        <w:rPr>
          <w:rFonts w:hint="eastAsia" w:ascii="仿宋" w:hAnsi="仿宋" w:eastAsia="仿宋" w:cs="仿宋"/>
          <w:color w:val="auto"/>
          <w:sz w:val="24"/>
          <w:szCs w:val="24"/>
          <w:highlight w:val="none"/>
          <w:lang w:eastAsia="zh-CN"/>
        </w:rPr>
        <w:t>拒收。</w:t>
      </w:r>
    </w:p>
    <w:p w14:paraId="5F7EDFD1">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采购比选会议和评审原则</w:t>
      </w:r>
    </w:p>
    <w:p w14:paraId="5347ABB8">
      <w:pPr>
        <w:keepNext w:val="0"/>
        <w:keepLines w:val="0"/>
        <w:pageBreakBefore w:val="0"/>
        <w:widowControl w:val="0"/>
        <w:numPr>
          <w:ilvl w:val="0"/>
          <w:numId w:val="76"/>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组织采购比选会议</w:t>
      </w:r>
    </w:p>
    <w:p w14:paraId="22A40B30">
      <w:pPr>
        <w:keepNext w:val="0"/>
        <w:keepLines w:val="0"/>
        <w:pageBreakBefore w:val="0"/>
        <w:widowControl w:val="0"/>
        <w:numPr>
          <w:ilvl w:val="0"/>
          <w:numId w:val="77"/>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报名结束后采购人组织采购比选会议。</w:t>
      </w:r>
    </w:p>
    <w:p w14:paraId="3ABCE7CC">
      <w:pPr>
        <w:keepNext w:val="0"/>
        <w:keepLines w:val="0"/>
        <w:pageBreakBefore w:val="0"/>
        <w:widowControl w:val="0"/>
        <w:numPr>
          <w:ilvl w:val="0"/>
          <w:numId w:val="77"/>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报价一览表内容与响应文件中的明细报价表内容不一致的，以报价一览表为准。</w:t>
      </w:r>
    </w:p>
    <w:p w14:paraId="062D83A1">
      <w:pPr>
        <w:keepNext w:val="0"/>
        <w:keepLines w:val="0"/>
        <w:pageBreakBefore w:val="0"/>
        <w:widowControl w:val="0"/>
        <w:numPr>
          <w:ilvl w:val="0"/>
          <w:numId w:val="77"/>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根据评审委员会对各响应人响应文件的综合评分情况，编写评审报告。</w:t>
      </w:r>
    </w:p>
    <w:p w14:paraId="2B009E1F">
      <w:pPr>
        <w:keepNext w:val="0"/>
        <w:keepLines w:val="0"/>
        <w:pageBreakBefore w:val="0"/>
        <w:widowControl w:val="0"/>
        <w:numPr>
          <w:ilvl w:val="0"/>
          <w:numId w:val="76"/>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评审原则</w:t>
      </w:r>
    </w:p>
    <w:p w14:paraId="41C08E75">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评审委员会由采购人组织的评审专家组成，评审专家从专家库中随机抽取。</w:t>
      </w:r>
    </w:p>
    <w:p w14:paraId="299E5E21">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本次评审采用综合评分法，</w:t>
      </w:r>
      <w:r>
        <w:rPr>
          <w:rFonts w:hint="eastAsia" w:ascii="仿宋" w:hAnsi="仿宋" w:eastAsia="仿宋" w:cs="仿宋"/>
          <w:b/>
          <w:bCs/>
          <w:color w:val="auto"/>
          <w:sz w:val="24"/>
          <w:szCs w:val="24"/>
          <w:highlight w:val="none"/>
          <w:lang w:val="en-US" w:eastAsia="zh-CN"/>
        </w:rPr>
        <w:t>只接受一次报价</w:t>
      </w:r>
      <w:r>
        <w:rPr>
          <w:rFonts w:hint="eastAsia" w:ascii="仿宋" w:hAnsi="仿宋" w:eastAsia="仿宋" w:cs="仿宋"/>
          <w:color w:val="auto"/>
          <w:sz w:val="24"/>
          <w:szCs w:val="24"/>
          <w:highlight w:val="none"/>
          <w:lang w:val="en-US" w:eastAsia="zh-CN"/>
        </w:rPr>
        <w:t>。</w:t>
      </w:r>
    </w:p>
    <w:p w14:paraId="386204AB">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采购人根据《资格审查表》内容逐条对响应文件的资格性进行评审，审查每份响应文件是否满足资格要求。</w:t>
      </w:r>
    </w:p>
    <w:p w14:paraId="2CEDDB59">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6146C3C">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资格审查或符合性审查不通过的均视为无效响应。无效响应不能进入商务、技术及价格评审。</w:t>
      </w:r>
    </w:p>
    <w:p w14:paraId="5784B481">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评审内容：评审委员会对通过资格审查和符合性审查的响应文件进行商务、技术和价格的评审。</w:t>
      </w:r>
    </w:p>
    <w:p w14:paraId="5DE0C368">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资格审查</w:t>
      </w:r>
    </w:p>
    <w:p w14:paraId="1896006B">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auto"/>
          <w:sz w:val="28"/>
          <w:szCs w:val="32"/>
          <w:highlight w:val="none"/>
        </w:rPr>
      </w:pPr>
      <w:r>
        <w:rPr>
          <w:rFonts w:hint="eastAsia" w:ascii="仿宋" w:hAnsi="仿宋" w:eastAsia="仿宋" w:cs="仿宋"/>
          <w:b/>
          <w:bCs w:val="0"/>
          <w:color w:val="auto"/>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E02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410E85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731" w:type="dxa"/>
          </w:tcPr>
          <w:p w14:paraId="5ED895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14:paraId="11CC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6BBD8B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731" w:type="dxa"/>
          </w:tcPr>
          <w:p w14:paraId="57C479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人应具备以下条件：（</w:t>
            </w:r>
            <w:r>
              <w:rPr>
                <w:rFonts w:hint="eastAsia" w:ascii="仿宋" w:hAnsi="仿宋" w:eastAsia="仿宋" w:cs="仿宋"/>
                <w:color w:val="auto"/>
                <w:sz w:val="24"/>
                <w:szCs w:val="24"/>
                <w:highlight w:val="none"/>
                <w:lang w:eastAsia="zh-CN"/>
              </w:rPr>
              <w:t>响应人</w:t>
            </w:r>
            <w:r>
              <w:rPr>
                <w:rFonts w:hint="eastAsia" w:ascii="仿宋" w:hAnsi="仿宋" w:eastAsia="仿宋" w:cs="仿宋"/>
                <w:color w:val="auto"/>
                <w:sz w:val="24"/>
                <w:szCs w:val="24"/>
                <w:highlight w:val="none"/>
              </w:rPr>
              <w:t>出具有效的承诺函并加盖公章）</w:t>
            </w:r>
          </w:p>
          <w:p w14:paraId="78DC47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①具有良好的商业信誉和健全的财务会计制度；</w:t>
            </w:r>
          </w:p>
          <w:p w14:paraId="5A064A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②有依法缴纳税收和社会保障资金的良好记录；</w:t>
            </w:r>
          </w:p>
          <w:p w14:paraId="77A12C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③具备履行合同所必需的设备和专业技术能力；</w:t>
            </w:r>
          </w:p>
          <w:p w14:paraId="7D8BDC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④参加本次采购活动前三年内，在经营活动中没有重大违法记录。</w:t>
            </w:r>
          </w:p>
        </w:tc>
      </w:tr>
      <w:tr w14:paraId="0E3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731D1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val="en-US" w:eastAsia="zh-CN"/>
              </w:rPr>
            </w:pPr>
          </w:p>
          <w:p w14:paraId="14947B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8731" w:type="dxa"/>
          </w:tcPr>
          <w:p w14:paraId="7E3A17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2EE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4252C9FA">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8731" w:type="dxa"/>
          </w:tcPr>
          <w:p w14:paraId="636BF2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eastAsia="zh-CN"/>
              </w:rPr>
              <w:t>响应人</w:t>
            </w:r>
            <w:r>
              <w:rPr>
                <w:rFonts w:hint="eastAsia" w:ascii="仿宋" w:hAnsi="仿宋" w:eastAsia="仿宋" w:cs="仿宋"/>
                <w:color w:val="auto"/>
                <w:sz w:val="24"/>
                <w:szCs w:val="24"/>
                <w:highlight w:val="none"/>
              </w:rPr>
              <w:t>出具有效的承诺函并加盖公章）</w:t>
            </w:r>
          </w:p>
        </w:tc>
      </w:tr>
      <w:tr w14:paraId="139B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11916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4</w:t>
            </w:r>
          </w:p>
        </w:tc>
        <w:tc>
          <w:tcPr>
            <w:tcW w:w="8731" w:type="dxa"/>
          </w:tcPr>
          <w:p w14:paraId="7CFD52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2A29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23F4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5</w:t>
            </w:r>
          </w:p>
        </w:tc>
        <w:tc>
          <w:tcPr>
            <w:tcW w:w="8731" w:type="dxa"/>
          </w:tcPr>
          <w:p w14:paraId="5979AA0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出具有效的加盖公章声明函）。</w:t>
            </w:r>
          </w:p>
        </w:tc>
      </w:tr>
      <w:tr w14:paraId="72CB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E19D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8731" w:type="dxa"/>
          </w:tcPr>
          <w:p w14:paraId="328237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710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27EAA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p>
        </w:tc>
        <w:tc>
          <w:tcPr>
            <w:tcW w:w="8731" w:type="dxa"/>
          </w:tcPr>
          <w:p w14:paraId="10E2887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出具加盖公章、有单位负责人（法定代表人）签名的《供应商廉洁守约承诺书》（格式和内容详见第五章，不得擅自删改）</w:t>
            </w:r>
          </w:p>
        </w:tc>
      </w:tr>
      <w:tr w14:paraId="512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587A7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8</w:t>
            </w:r>
          </w:p>
        </w:tc>
        <w:tc>
          <w:tcPr>
            <w:tcW w:w="8731" w:type="dxa"/>
          </w:tcPr>
          <w:p w14:paraId="0DDAC9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已</w:t>
            </w:r>
            <w:r>
              <w:rPr>
                <w:rFonts w:hint="eastAsia" w:ascii="仿宋" w:hAnsi="仿宋" w:eastAsia="仿宋" w:cs="仿宋"/>
                <w:color w:val="auto"/>
                <w:sz w:val="24"/>
                <w:szCs w:val="24"/>
                <w:highlight w:val="none"/>
                <w:lang w:val="en-US" w:eastAsia="zh-CN"/>
              </w:rPr>
              <w:t>成功报名本项目</w:t>
            </w:r>
            <w:r>
              <w:rPr>
                <w:rFonts w:hint="eastAsia" w:ascii="仿宋" w:hAnsi="仿宋" w:eastAsia="仿宋" w:cs="仿宋"/>
                <w:color w:val="auto"/>
                <w:sz w:val="24"/>
                <w:szCs w:val="24"/>
                <w:highlight w:val="none"/>
                <w:lang w:val="zh-CN"/>
              </w:rPr>
              <w:t>。</w:t>
            </w:r>
          </w:p>
        </w:tc>
      </w:tr>
    </w:tbl>
    <w:p w14:paraId="7D4AF6C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61E397B3">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符合性审查</w:t>
      </w:r>
    </w:p>
    <w:p w14:paraId="00469B28">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auto"/>
          <w:kern w:val="2"/>
          <w:sz w:val="28"/>
          <w:szCs w:val="28"/>
          <w:highlight w:val="none"/>
        </w:rPr>
      </w:pPr>
      <w:r>
        <w:rPr>
          <w:rFonts w:hint="eastAsia" w:ascii="仿宋" w:hAnsi="仿宋" w:eastAsia="仿宋" w:cs="仿宋"/>
          <w:b/>
          <w:bCs/>
          <w:color w:val="auto"/>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p>
          <w:p w14:paraId="452A3D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793AE2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响应报价：</w:t>
            </w:r>
          </w:p>
          <w:p w14:paraId="4C6CC8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①响应报价未超过本项目最高限价。</w:t>
            </w:r>
          </w:p>
          <w:p w14:paraId="393C9A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②对本项目的全部内容进行响应报价。</w:t>
            </w:r>
          </w:p>
          <w:p w14:paraId="00EA57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质量的书面说明等相关证明材料的。</w:t>
            </w:r>
          </w:p>
          <w:p w14:paraId="59EFB6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④响应报价是唯一确定的。</w:t>
            </w:r>
          </w:p>
          <w:p w14:paraId="2FD09E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提供《响应</w:t>
            </w:r>
            <w:r>
              <w:rPr>
                <w:rFonts w:hint="eastAsia" w:ascii="仿宋" w:hAnsi="仿宋" w:eastAsia="仿宋" w:cs="仿宋"/>
                <w:color w:val="auto"/>
                <w:sz w:val="24"/>
                <w:szCs w:val="24"/>
                <w:highlight w:val="none"/>
                <w:lang w:val="en-US" w:eastAsia="zh-CN"/>
              </w:rPr>
              <w:t>承诺</w:t>
            </w:r>
            <w:r>
              <w:rPr>
                <w:rFonts w:hint="eastAsia" w:ascii="仿宋" w:hAnsi="仿宋" w:eastAsia="仿宋" w:cs="仿宋"/>
                <w:color w:val="auto"/>
                <w:sz w:val="24"/>
                <w:szCs w:val="24"/>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lang w:val="en-US" w:eastAsia="zh-CN"/>
              </w:rPr>
            </w:pPr>
          </w:p>
          <w:p w14:paraId="64E14C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响应文件按照</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规定要求签署、盖章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包括封面、骑缝以及含有“签字”“盖章”字眼的每一处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不得改动本比选文件中已明确要求不得擅自删改的部分，以及遵守比选文件中已列明必须遵照执行否则按无效响应处理的各类要求。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rPr>
              <w:t>本公开</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中的“★”号条款要求：响应方案</w:t>
            </w:r>
            <w:r>
              <w:rPr>
                <w:rFonts w:hint="eastAsia" w:ascii="仿宋" w:hAnsi="仿宋" w:eastAsia="仿宋" w:cs="仿宋"/>
                <w:color w:val="auto"/>
                <w:sz w:val="24"/>
                <w:szCs w:val="24"/>
                <w:highlight w:val="none"/>
                <w:lang w:val="en-US" w:eastAsia="zh-CN"/>
              </w:rPr>
              <w:t>一一</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32"/>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文件未含有采购人不能接受的附加条件</w:t>
            </w:r>
            <w:r>
              <w:rPr>
                <w:rFonts w:hint="eastAsia" w:ascii="仿宋" w:hAnsi="仿宋" w:eastAsia="仿宋" w:cs="仿宋"/>
                <w:color w:val="auto"/>
                <w:sz w:val="24"/>
                <w:szCs w:val="24"/>
                <w:highlight w:val="none"/>
                <w:lang w:eastAsia="zh-CN"/>
              </w:rPr>
              <w:t>。</w:t>
            </w:r>
          </w:p>
        </w:tc>
      </w:tr>
    </w:tbl>
    <w:p w14:paraId="2B7289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textAlignment w:val="auto"/>
        <w:rPr>
          <w:rFonts w:hint="eastAsia" w:ascii="仿宋" w:hAnsi="仿宋" w:eastAsia="仿宋" w:cs="仿宋"/>
          <w:color w:val="auto"/>
          <w:sz w:val="24"/>
          <w:szCs w:val="24"/>
          <w:highlight w:val="none"/>
          <w:lang w:val="en-US" w:eastAsia="zh-CN"/>
        </w:rPr>
      </w:pPr>
    </w:p>
    <w:p w14:paraId="3B2C841F">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分值（权重）分配</w:t>
      </w:r>
    </w:p>
    <w:p w14:paraId="62E880E0">
      <w:pPr>
        <w:keepNext w:val="0"/>
        <w:keepLines w:val="0"/>
        <w:pageBreakBefore w:val="0"/>
        <w:widowControl w:val="0"/>
        <w:numPr>
          <w:ilvl w:val="0"/>
          <w:numId w:val="79"/>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评分总值最高为100分，商务、服务及最终报价得分分值（权重）设置如下：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BA0D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B69E74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auto"/>
                <w:kern w:val="2"/>
                <w:sz w:val="24"/>
                <w:szCs w:val="24"/>
                <w:highlight w:val="none"/>
              </w:rPr>
            </w:pPr>
            <w:r>
              <w:rPr>
                <w:rFonts w:hint="eastAsia" w:ascii="仿宋" w:hAnsi="仿宋" w:eastAsia="仿宋" w:cs="仿宋"/>
                <w:b/>
                <w:bCs w:val="0"/>
                <w:color w:val="auto"/>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376EFF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商务</w:t>
            </w:r>
            <w:r>
              <w:rPr>
                <w:rFonts w:hint="eastAsia" w:ascii="仿宋" w:hAnsi="仿宋" w:eastAsia="仿宋" w:cs="仿宋"/>
                <w:b/>
                <w:bCs w:val="0"/>
                <w:color w:val="auto"/>
                <w:spacing w:val="-4"/>
                <w:kern w:val="2"/>
                <w:sz w:val="24"/>
                <w:szCs w:val="24"/>
                <w:highlight w:val="none"/>
                <w:lang w:val="en-US" w:eastAsia="zh-CN"/>
              </w:rPr>
              <w:t>评分（24</w:t>
            </w:r>
            <w:r>
              <w:rPr>
                <w:rFonts w:hint="eastAsia" w:ascii="仿宋" w:hAnsi="仿宋" w:eastAsia="仿宋" w:cs="仿宋"/>
                <w:b/>
                <w:bCs w:val="0"/>
                <w:color w:val="auto"/>
                <w:kern w:val="2"/>
                <w:sz w:val="24"/>
                <w:szCs w:val="24"/>
                <w:highlight w:val="none"/>
                <w:lang w:val="en-US" w:eastAsia="zh-CN"/>
              </w:rPr>
              <w:t>%</w:t>
            </w:r>
            <w:r>
              <w:rPr>
                <w:rFonts w:hint="eastAsia" w:ascii="仿宋" w:hAnsi="仿宋" w:eastAsia="仿宋" w:cs="仿宋"/>
                <w:b/>
                <w:bCs w:val="0"/>
                <w:color w:val="auto"/>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112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auto"/>
                <w:kern w:val="2"/>
                <w:sz w:val="24"/>
                <w:szCs w:val="24"/>
                <w:highlight w:val="none"/>
              </w:rPr>
            </w:pPr>
            <w:r>
              <w:rPr>
                <w:rFonts w:hint="eastAsia" w:ascii="仿宋" w:hAnsi="仿宋" w:eastAsia="仿宋" w:cs="仿宋"/>
                <w:b/>
                <w:bCs w:val="0"/>
                <w:color w:val="auto"/>
                <w:kern w:val="2"/>
                <w:sz w:val="24"/>
                <w:szCs w:val="24"/>
                <w:highlight w:val="none"/>
                <w:lang w:val="en-US" w:eastAsia="zh-CN"/>
              </w:rPr>
              <w:t>服务</w:t>
            </w:r>
            <w:r>
              <w:rPr>
                <w:rFonts w:hint="eastAsia" w:ascii="仿宋" w:hAnsi="仿宋" w:eastAsia="仿宋" w:cs="仿宋"/>
                <w:b/>
                <w:bCs w:val="0"/>
                <w:color w:val="auto"/>
                <w:spacing w:val="-4"/>
                <w:kern w:val="2"/>
                <w:sz w:val="24"/>
                <w:szCs w:val="24"/>
                <w:highlight w:val="none"/>
                <w:lang w:val="en-US" w:eastAsia="zh-CN"/>
              </w:rPr>
              <w:t>评分（56</w:t>
            </w:r>
            <w:r>
              <w:rPr>
                <w:rFonts w:hint="eastAsia" w:ascii="仿宋" w:hAnsi="仿宋" w:eastAsia="仿宋" w:cs="仿宋"/>
                <w:b/>
                <w:bCs w:val="0"/>
                <w:color w:val="auto"/>
                <w:kern w:val="2"/>
                <w:sz w:val="24"/>
                <w:szCs w:val="24"/>
                <w:highlight w:val="none"/>
                <w:lang w:val="en-US" w:eastAsia="zh-CN"/>
              </w:rPr>
              <w:t>%</w:t>
            </w:r>
            <w:r>
              <w:rPr>
                <w:rFonts w:hint="eastAsia" w:ascii="仿宋" w:hAnsi="仿宋" w:eastAsia="仿宋" w:cs="仿宋"/>
                <w:b/>
                <w:bCs w:val="0"/>
                <w:color w:val="auto"/>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110B73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auto"/>
                <w:kern w:val="2"/>
                <w:sz w:val="24"/>
                <w:szCs w:val="24"/>
                <w:highlight w:val="none"/>
              </w:rPr>
            </w:pPr>
            <w:r>
              <w:rPr>
                <w:rFonts w:hint="eastAsia" w:ascii="仿宋" w:hAnsi="仿宋" w:eastAsia="仿宋" w:cs="仿宋"/>
                <w:b/>
                <w:bCs w:val="0"/>
                <w:color w:val="auto"/>
                <w:spacing w:val="-4"/>
                <w:kern w:val="2"/>
                <w:sz w:val="24"/>
                <w:szCs w:val="24"/>
                <w:highlight w:val="none"/>
                <w:lang w:val="en-US" w:eastAsia="zh-CN"/>
              </w:rPr>
              <w:t>价格得分（20</w:t>
            </w:r>
            <w:r>
              <w:rPr>
                <w:rFonts w:hint="eastAsia" w:ascii="仿宋" w:hAnsi="仿宋" w:eastAsia="仿宋" w:cs="仿宋"/>
                <w:b/>
                <w:bCs w:val="0"/>
                <w:color w:val="auto"/>
                <w:kern w:val="2"/>
                <w:sz w:val="24"/>
                <w:szCs w:val="24"/>
                <w:highlight w:val="none"/>
                <w:lang w:val="en-US" w:eastAsia="zh-CN"/>
              </w:rPr>
              <w:t>%</w:t>
            </w:r>
            <w:r>
              <w:rPr>
                <w:rFonts w:hint="eastAsia" w:ascii="仿宋" w:hAnsi="仿宋" w:eastAsia="仿宋" w:cs="仿宋"/>
                <w:b/>
                <w:bCs w:val="0"/>
                <w:color w:val="auto"/>
                <w:spacing w:val="-4"/>
                <w:kern w:val="2"/>
                <w:sz w:val="24"/>
                <w:szCs w:val="24"/>
                <w:highlight w:val="none"/>
                <w:lang w:val="en-US" w:eastAsia="zh-CN"/>
              </w:rPr>
              <w:t>）</w:t>
            </w:r>
          </w:p>
        </w:tc>
      </w:tr>
      <w:tr w14:paraId="55AFD0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470A9E2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E4C5B0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lang w:val="en-US" w:eastAsia="zh-CN"/>
              </w:rPr>
              <w:t>24分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06694C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lang w:val="en-US" w:eastAsia="zh-CN"/>
              </w:rPr>
              <w:t>56分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33779F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20分</w:t>
            </w:r>
          </w:p>
        </w:tc>
      </w:tr>
    </w:tbl>
    <w:p w14:paraId="351471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textAlignment w:val="auto"/>
        <w:outlineLvl w:val="2"/>
        <w:rPr>
          <w:rFonts w:hint="eastAsia" w:ascii="仿宋" w:hAnsi="仿宋" w:eastAsia="仿宋" w:cs="仿宋"/>
          <w:color w:val="auto"/>
          <w:sz w:val="24"/>
          <w:szCs w:val="24"/>
          <w:highlight w:val="none"/>
          <w:lang w:val="en-US" w:eastAsia="zh-CN"/>
        </w:rPr>
      </w:pPr>
    </w:p>
    <w:p w14:paraId="652C9960">
      <w:pPr>
        <w:keepNext w:val="0"/>
        <w:keepLines w:val="0"/>
        <w:pageBreakBefore w:val="0"/>
        <w:widowControl w:val="0"/>
        <w:numPr>
          <w:ilvl w:val="0"/>
          <w:numId w:val="79"/>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商务评分：评审小组就各响应文件对商务评审内容的各项要求进行评分，评审的具体内容见《商务评审表》：</w:t>
      </w:r>
    </w:p>
    <w:p w14:paraId="6E870FE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auto"/>
          <w:kern w:val="1"/>
          <w:sz w:val="28"/>
          <w:szCs w:val="28"/>
          <w:highlight w:val="none"/>
          <w:lang w:val="en-US" w:eastAsia="zh-CN"/>
        </w:rPr>
      </w:pPr>
      <w:r>
        <w:rPr>
          <w:rFonts w:hint="eastAsia" w:ascii="仿宋" w:hAnsi="仿宋" w:eastAsia="仿宋" w:cs="仿宋"/>
          <w:b/>
          <w:bCs w:val="0"/>
          <w:color w:val="auto"/>
          <w:kern w:val="1"/>
          <w:sz w:val="28"/>
          <w:szCs w:val="28"/>
          <w:highlight w:val="none"/>
          <w:lang w:val="en-US" w:eastAsia="zh-CN"/>
        </w:rPr>
        <w:t>商务评审表（24分）</w:t>
      </w:r>
    </w:p>
    <w:tbl>
      <w:tblPr>
        <w:tblStyle w:val="25"/>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6"/>
        <w:gridCol w:w="6892"/>
      </w:tblGrid>
      <w:tr w14:paraId="3CA1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483A21DF">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b/>
                <w:bCs/>
                <w:color w:val="auto"/>
                <w:sz w:val="20"/>
                <w:szCs w:val="20"/>
                <w:highlight w:val="none"/>
              </w:rPr>
              <w:t>评审内容</w:t>
            </w:r>
          </w:p>
        </w:tc>
        <w:tc>
          <w:tcPr>
            <w:tcW w:w="776" w:type="dxa"/>
            <w:vAlign w:val="center"/>
          </w:tcPr>
          <w:p w14:paraId="5E701324">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b/>
                <w:bCs/>
                <w:color w:val="auto"/>
                <w:sz w:val="20"/>
                <w:szCs w:val="20"/>
                <w:highlight w:val="none"/>
              </w:rPr>
              <w:t>分值</w:t>
            </w:r>
          </w:p>
        </w:tc>
        <w:tc>
          <w:tcPr>
            <w:tcW w:w="6892" w:type="dxa"/>
            <w:vAlign w:val="center"/>
          </w:tcPr>
          <w:p w14:paraId="60889A07">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kern w:val="2"/>
                <w:sz w:val="20"/>
                <w:szCs w:val="20"/>
                <w:highlight w:val="none"/>
                <w:vertAlign w:val="baseline"/>
                <w:lang w:val="en-US" w:eastAsia="zh-CN"/>
              </w:rPr>
            </w:pPr>
            <w:r>
              <w:rPr>
                <w:rFonts w:hint="eastAsia" w:ascii="仿宋" w:hAnsi="仿宋" w:eastAsia="仿宋" w:cs="仿宋"/>
                <w:b/>
                <w:bCs w:val="0"/>
                <w:color w:val="auto"/>
                <w:kern w:val="2"/>
                <w:sz w:val="20"/>
                <w:szCs w:val="20"/>
                <w:highlight w:val="none"/>
                <w:lang w:val="en-US" w:eastAsia="zh-CN"/>
              </w:rPr>
              <w:t>评审细则</w:t>
            </w:r>
          </w:p>
        </w:tc>
      </w:tr>
      <w:tr w14:paraId="77E0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6AD37D0A">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管理体系认证情况</w:t>
            </w:r>
          </w:p>
        </w:tc>
        <w:tc>
          <w:tcPr>
            <w:tcW w:w="776" w:type="dxa"/>
            <w:vAlign w:val="center"/>
          </w:tcPr>
          <w:p w14:paraId="43A0923A">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9</w:t>
            </w:r>
          </w:p>
        </w:tc>
        <w:tc>
          <w:tcPr>
            <w:tcW w:w="6892" w:type="dxa"/>
            <w:vAlign w:val="center"/>
          </w:tcPr>
          <w:p w14:paraId="0BF7DBE3">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具备以下管理体系认证证书且在有效期内的，每项得</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分，最高得</w:t>
            </w:r>
            <w:r>
              <w:rPr>
                <w:rFonts w:hint="eastAsia" w:ascii="仿宋" w:hAnsi="仿宋" w:eastAsia="仿宋" w:cs="仿宋"/>
                <w:bCs/>
                <w:color w:val="auto"/>
                <w:sz w:val="21"/>
                <w:szCs w:val="21"/>
                <w:highlight w:val="none"/>
                <w:lang w:val="en-US" w:eastAsia="zh-CN"/>
              </w:rPr>
              <w:t>9</w:t>
            </w:r>
            <w:r>
              <w:rPr>
                <w:rFonts w:hint="eastAsia" w:ascii="仿宋" w:hAnsi="仿宋" w:eastAsia="仿宋" w:cs="仿宋"/>
                <w:bCs/>
                <w:color w:val="auto"/>
                <w:sz w:val="21"/>
                <w:szCs w:val="21"/>
                <w:highlight w:val="none"/>
              </w:rPr>
              <w:t>分。（1）质量管理体系认证证书；（2）环境管理体系认证证书；（3）职业健康安全管理体系认证证书。</w:t>
            </w:r>
          </w:p>
          <w:p w14:paraId="05D75106">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color w:val="auto"/>
                <w:sz w:val="21"/>
                <w:szCs w:val="21"/>
                <w:highlight w:val="none"/>
              </w:rPr>
            </w:pPr>
            <w:r>
              <w:rPr>
                <w:rFonts w:hint="eastAsia" w:ascii="仿宋" w:hAnsi="仿宋" w:eastAsia="仿宋" w:cs="仿宋"/>
                <w:bCs/>
                <w:color w:val="auto"/>
                <w:sz w:val="21"/>
                <w:szCs w:val="21"/>
                <w:highlight w:val="none"/>
              </w:rPr>
              <w:t>注：须提供有效期内的证书复印件，加盖供应商公章，未提供不得分；若所提供的证书认证范围与本项目无关的，不得分。</w:t>
            </w:r>
          </w:p>
        </w:tc>
      </w:tr>
      <w:tr w14:paraId="0F56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6EACC5F7">
            <w:pPr>
              <w:keepNext w:val="0"/>
              <w:keepLines w:val="0"/>
              <w:suppressLineNumbers w:val="0"/>
              <w:spacing w:before="0" w:beforeAutospacing="0" w:after="0" w:afterAutospacing="0" w:line="320" w:lineRule="exact"/>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同类项目业绩</w:t>
            </w:r>
          </w:p>
        </w:tc>
        <w:tc>
          <w:tcPr>
            <w:tcW w:w="776" w:type="dxa"/>
            <w:vAlign w:val="center"/>
          </w:tcPr>
          <w:p w14:paraId="3DDF8B56">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c>
          <w:tcPr>
            <w:tcW w:w="6892" w:type="dxa"/>
            <w:vAlign w:val="center"/>
          </w:tcPr>
          <w:p w14:paraId="7E327C3E">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提供2022年1月1日以来（以合同签订时间为准）同类检测分析技术服务项目业绩：</w:t>
            </w:r>
          </w:p>
          <w:p w14:paraId="74AECD07">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每提供一项业绩得2分，最高得10分，</w:t>
            </w:r>
          </w:p>
          <w:p w14:paraId="678AB390">
            <w:pPr>
              <w:keepNext w:val="0"/>
              <w:keepLines w:val="0"/>
              <w:numPr>
                <w:ilvl w:val="0"/>
                <w:numId w:val="0"/>
              </w:numPr>
              <w:suppressLineNumbers w:val="0"/>
              <w:spacing w:before="0" w:beforeAutospacing="0" w:after="0" w:afterAutospacing="0"/>
              <w:ind w:left="0" w:leftChars="0" w:right="0" w:firstLine="0" w:firstLineChars="0"/>
              <w:rPr>
                <w:rFonts w:hint="default" w:ascii="仿宋" w:hAnsi="仿宋" w:eastAsia="仿宋" w:cs="仿宋"/>
                <w:b w:val="0"/>
                <w:bCs w:val="0"/>
                <w:color w:val="auto"/>
                <w:kern w:val="2"/>
                <w:sz w:val="21"/>
                <w:szCs w:val="21"/>
                <w:highlight w:val="none"/>
                <w:lang w:val="en-US" w:eastAsia="zh-CN"/>
              </w:rPr>
            </w:pPr>
            <w:r>
              <w:rPr>
                <w:rFonts w:hint="eastAsia" w:ascii="仿宋" w:hAnsi="仿宋" w:eastAsia="仿宋" w:cs="仿宋"/>
                <w:color w:val="auto"/>
                <w:sz w:val="21"/>
                <w:szCs w:val="21"/>
                <w:highlight w:val="none"/>
                <w:lang w:val="en-US" w:eastAsia="zh-CN"/>
              </w:rPr>
              <w:t>注：须提供合同复印件（含签订合同双方的单位名称、合同项目内容、签订合同双方的落款盖章的关键页），并加盖公章。所提供资料未能体现符合业绩要求的不得分。</w:t>
            </w:r>
          </w:p>
        </w:tc>
      </w:tr>
      <w:tr w14:paraId="588F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323FE3BB">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用户评价</w:t>
            </w:r>
          </w:p>
        </w:tc>
        <w:tc>
          <w:tcPr>
            <w:tcW w:w="776" w:type="dxa"/>
            <w:vAlign w:val="center"/>
          </w:tcPr>
          <w:p w14:paraId="5077032F">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5</w:t>
            </w:r>
          </w:p>
        </w:tc>
        <w:tc>
          <w:tcPr>
            <w:tcW w:w="6892" w:type="dxa"/>
            <w:vAlign w:val="center"/>
          </w:tcPr>
          <w:p w14:paraId="228C4287">
            <w:pPr>
              <w:keepNext w:val="0"/>
              <w:keepLines w:val="0"/>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提供上述有效同类项目业绩的用户评价证明材料。采购人评价为优或满意的，或评委认可的类似好评的用户评价（须提供用户单位的评价证明，格式自拟，并加盖用户单位公章），每提供一个得1分，最高得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分。不提供不得分。</w:t>
            </w:r>
          </w:p>
          <w:p w14:paraId="40C03AB6">
            <w:pPr>
              <w:keepNext w:val="0"/>
              <w:keepLines w:val="0"/>
              <w:suppressLineNumbers w:val="0"/>
              <w:spacing w:before="0" w:beforeAutospacing="0" w:after="0" w:afterAutospacing="0"/>
              <w:ind w:left="0" w:right="0"/>
              <w:jc w:val="left"/>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bl>
    <w:p w14:paraId="56907CC3">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exact"/>
        <w:ind w:leftChars="200" w:right="0" w:rightChars="0"/>
        <w:jc w:val="both"/>
        <w:rPr>
          <w:rFonts w:hint="eastAsia" w:ascii="仿宋" w:hAnsi="仿宋" w:eastAsia="仿宋" w:cs="仿宋"/>
          <w:color w:val="auto"/>
          <w:kern w:val="2"/>
          <w:sz w:val="24"/>
          <w:szCs w:val="24"/>
          <w:highlight w:val="none"/>
          <w:lang w:val="en-US" w:eastAsia="zh-CN"/>
        </w:rPr>
      </w:pPr>
    </w:p>
    <w:p w14:paraId="367D5BF2">
      <w:pPr>
        <w:keepNext w:val="0"/>
        <w:keepLines w:val="0"/>
        <w:widowControl w:val="0"/>
        <w:numPr>
          <w:ilvl w:val="0"/>
          <w:numId w:val="0"/>
        </w:numPr>
        <w:suppressLineNumbers w:val="0"/>
        <w:autoSpaceDE w:val="0"/>
        <w:autoSpaceDN/>
        <w:adjustRightInd w:val="0"/>
        <w:snapToGrid w:val="0"/>
        <w:spacing w:before="0" w:beforeAutospacing="0" w:after="0" w:afterAutospacing="0" w:line="360" w:lineRule="exact"/>
        <w:ind w:leftChars="200" w:right="0" w:rightChars="0"/>
        <w:jc w:val="both"/>
        <w:rPr>
          <w:rFonts w:hint="eastAsia" w:ascii="仿宋" w:hAnsi="仿宋" w:eastAsia="仿宋" w:cs="仿宋"/>
          <w:color w:val="auto"/>
          <w:kern w:val="2"/>
          <w:sz w:val="24"/>
          <w:szCs w:val="24"/>
          <w:highlight w:val="none"/>
          <w:lang w:val="en-US" w:eastAsia="zh-CN"/>
        </w:rPr>
      </w:pPr>
    </w:p>
    <w:p w14:paraId="4C3DD6A4">
      <w:pPr>
        <w:pStyle w:val="2"/>
        <w:rPr>
          <w:rFonts w:hint="eastAsia"/>
          <w:highlight w:val="none"/>
          <w:lang w:val="en-US" w:eastAsia="zh-CN"/>
        </w:rPr>
      </w:pPr>
    </w:p>
    <w:p w14:paraId="73ACFBC2">
      <w:pPr>
        <w:keepNext w:val="0"/>
        <w:keepLines w:val="0"/>
        <w:pageBreakBefore w:val="0"/>
        <w:widowControl w:val="0"/>
        <w:numPr>
          <w:ilvl w:val="0"/>
          <w:numId w:val="79"/>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服务评分：评审小组就各响应人对服务评审内容的各项要求进行评分，评审的具体内容见《服务评审表》。</w:t>
      </w:r>
    </w:p>
    <w:p w14:paraId="6C952C44">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服务评审表（56分）</w:t>
      </w:r>
    </w:p>
    <w:tbl>
      <w:tblPr>
        <w:tblStyle w:val="2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649"/>
        <w:gridCol w:w="7477"/>
      </w:tblGrid>
      <w:tr w14:paraId="22AD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07E806FA">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rPr>
              <w:t>评审内容</w:t>
            </w:r>
          </w:p>
        </w:tc>
        <w:tc>
          <w:tcPr>
            <w:tcW w:w="649" w:type="dxa"/>
            <w:vAlign w:val="center"/>
          </w:tcPr>
          <w:p w14:paraId="0E400184">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7477" w:type="dxa"/>
            <w:vAlign w:val="center"/>
          </w:tcPr>
          <w:p w14:paraId="535394C6">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val="0"/>
                <w:color w:val="auto"/>
                <w:kern w:val="2"/>
                <w:sz w:val="21"/>
                <w:szCs w:val="21"/>
                <w:highlight w:val="none"/>
                <w:lang w:val="en-US" w:eastAsia="zh-CN"/>
              </w:rPr>
              <w:t>评审细则</w:t>
            </w:r>
          </w:p>
        </w:tc>
      </w:tr>
      <w:tr w14:paraId="4F13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744F3D31">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kern w:val="0"/>
                <w:sz w:val="21"/>
                <w:szCs w:val="21"/>
                <w:highlight w:val="none"/>
                <w:lang w:val="en-US" w:eastAsia="zh-CN" w:bidi="ar"/>
              </w:rPr>
              <w:t>项目负责人情况</w:t>
            </w:r>
          </w:p>
        </w:tc>
        <w:tc>
          <w:tcPr>
            <w:tcW w:w="649" w:type="dxa"/>
            <w:vAlign w:val="center"/>
          </w:tcPr>
          <w:p w14:paraId="7ADD095B">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477" w:type="dxa"/>
            <w:vAlign w:val="center"/>
          </w:tcPr>
          <w:p w14:paraId="665912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项目负责人承担过同类检测分析技术服务项目，每提供一项得2分，本项最高得4分。 </w:t>
            </w:r>
          </w:p>
          <w:p w14:paraId="305445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提供①项目负责人业绩经验合同关键页（合同关键页含签订合同双方的单位名称、合同项目名称、签订合同双方的落款盖章、合同概况、签订日期的关键页，需体现项目负责人名字，如无法体现项目负责人的名字，可提供甲方或用户盖章的资料）和②项目负责人在投标截止时间前三个月内任意一个月在投标人单位购买社会保险参保人员缴费证明或单位代缴个人所得税税单或有效劳动合同复印件的证明。其他或未提供不得分。</w:t>
            </w:r>
          </w:p>
        </w:tc>
      </w:tr>
      <w:tr w14:paraId="4C01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dxa"/>
            <w:shd w:val="clear" w:color="auto" w:fill="auto"/>
            <w:vAlign w:val="center"/>
          </w:tcPr>
          <w:p w14:paraId="26482FD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sz w:val="21"/>
                <w:szCs w:val="21"/>
                <w:highlight w:val="none"/>
                <w:vertAlign w:val="baseline"/>
                <w:lang w:val="en-US" w:eastAsia="zh-CN"/>
              </w:rPr>
              <w:t>人员配置方案</w:t>
            </w:r>
          </w:p>
        </w:tc>
        <w:tc>
          <w:tcPr>
            <w:tcW w:w="649" w:type="dxa"/>
            <w:shd w:val="clear" w:color="auto" w:fill="auto"/>
            <w:vAlign w:val="center"/>
          </w:tcPr>
          <w:p w14:paraId="08689379">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8</w:t>
            </w:r>
          </w:p>
        </w:tc>
        <w:tc>
          <w:tcPr>
            <w:tcW w:w="7477" w:type="dxa"/>
            <w:shd w:val="clear" w:color="auto" w:fill="auto"/>
            <w:vAlign w:val="center"/>
          </w:tcPr>
          <w:p w14:paraId="7DEC8303">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结合采购需求，根据供应商对本项目拟投入的服务人员配置方案进行评审：</w:t>
            </w:r>
          </w:p>
          <w:p w14:paraId="0D65E135">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供应商的人员配置方案详细、合理，资质完善，完全满足项目需求的，得8分；</w:t>
            </w:r>
          </w:p>
          <w:p w14:paraId="53F45C34">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供应商的人员配置方案较为详细、合理，资质较完善，较能满足项目需求的，得4分；</w:t>
            </w:r>
          </w:p>
          <w:p w14:paraId="4DC71A60">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供应商的人员配置方案不够详细，有一定合理性，不能完全满足采购需求的，得1分。</w:t>
            </w:r>
          </w:p>
          <w:p w14:paraId="2993DCCE">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注：同时提供服务人员配置方案、人员名单、资质证明及截至响应时间</w:t>
            </w:r>
            <w:r>
              <w:rPr>
                <w:rFonts w:hint="eastAsia" w:ascii="仿宋" w:hAnsi="仿宋" w:eastAsia="仿宋" w:cs="仿宋"/>
                <w:color w:val="auto"/>
                <w:sz w:val="20"/>
                <w:szCs w:val="20"/>
                <w:highlight w:val="none"/>
              </w:rPr>
              <w:t>截止时间前</w:t>
            </w:r>
            <w:r>
              <w:rPr>
                <w:rFonts w:hint="eastAsia" w:ascii="仿宋" w:hAnsi="仿宋" w:eastAsia="仿宋" w:cs="仿宋"/>
                <w:color w:val="auto"/>
                <w:sz w:val="21"/>
                <w:szCs w:val="21"/>
                <w:highlight w:val="none"/>
                <w:lang w:val="en-US" w:eastAsia="zh-CN"/>
              </w:rPr>
              <w:t>三个月内任意一个月的社保证明，提供不全或未提供不得分。</w:t>
            </w:r>
          </w:p>
        </w:tc>
      </w:tr>
      <w:tr w14:paraId="74AF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5" w:type="dxa"/>
            <w:vMerge w:val="restart"/>
            <w:vAlign w:val="center"/>
          </w:tcPr>
          <w:p w14:paraId="2D90567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w:t>
            </w:r>
          </w:p>
          <w:p w14:paraId="5515D61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49" w:type="dxa"/>
            <w:vAlign w:val="center"/>
          </w:tcPr>
          <w:p w14:paraId="5104026E">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7477" w:type="dxa"/>
            <w:vAlign w:val="center"/>
          </w:tcPr>
          <w:p w14:paraId="01F415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根据供应商提供的本项目实施方案，方案包括但不限于:①</w:t>
            </w:r>
            <w:r>
              <w:rPr>
                <w:rFonts w:hint="eastAsia" w:ascii="仿宋" w:hAnsi="仿宋" w:eastAsia="仿宋" w:cs="仿宋"/>
                <w:color w:val="auto"/>
                <w:sz w:val="21"/>
                <w:szCs w:val="21"/>
                <w:highlight w:val="none"/>
                <w:lang w:val="en-US" w:eastAsia="zh-CN"/>
              </w:rPr>
              <w:t>技术路线、②实施计划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③质量保障措施等</w:t>
            </w:r>
            <w:r>
              <w:rPr>
                <w:rFonts w:hint="eastAsia" w:ascii="仿宋" w:hAnsi="仿宋" w:eastAsia="仿宋" w:cs="仿宋"/>
                <w:color w:val="auto"/>
                <w:sz w:val="21"/>
                <w:szCs w:val="21"/>
                <w:highlight w:val="none"/>
              </w:rPr>
              <w:t>进行综合评分：</w:t>
            </w:r>
          </w:p>
          <w:p w14:paraId="226EC5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每有一项</w:t>
            </w:r>
            <w:r>
              <w:rPr>
                <w:rFonts w:hint="eastAsia" w:ascii="仿宋" w:hAnsi="仿宋" w:eastAsia="仿宋" w:cs="仿宋"/>
                <w:color w:val="auto"/>
                <w:sz w:val="21"/>
                <w:szCs w:val="21"/>
                <w:highlight w:val="none"/>
              </w:rPr>
              <w:t>方案</w:t>
            </w:r>
            <w:r>
              <w:rPr>
                <w:rFonts w:hint="eastAsia" w:ascii="仿宋" w:hAnsi="仿宋" w:eastAsia="仿宋" w:cs="仿宋"/>
                <w:color w:val="auto"/>
                <w:kern w:val="2"/>
                <w:sz w:val="21"/>
                <w:szCs w:val="21"/>
                <w:highlight w:val="none"/>
              </w:rPr>
              <w:t>内容且表述完整、科学、可行</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4分，最高得12</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如内容不合理或有瑕疵的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每一项</w:t>
            </w:r>
            <w:r>
              <w:rPr>
                <w:rFonts w:hint="eastAsia" w:ascii="仿宋" w:hAnsi="仿宋" w:eastAsia="仿宋" w:cs="仿宋"/>
                <w:color w:val="auto"/>
                <w:sz w:val="21"/>
                <w:szCs w:val="21"/>
                <w:highlight w:val="none"/>
                <w:lang w:val="en-US" w:eastAsia="zh-CN"/>
              </w:rPr>
              <w:t>得2分，其余情况不得分</w:t>
            </w:r>
            <w:r>
              <w:rPr>
                <w:rFonts w:hint="eastAsia" w:ascii="仿宋" w:hAnsi="仿宋" w:eastAsia="仿宋" w:cs="仿宋"/>
                <w:color w:val="auto"/>
                <w:sz w:val="21"/>
                <w:szCs w:val="21"/>
                <w:highlight w:val="none"/>
              </w:rPr>
              <w:t>。</w:t>
            </w:r>
          </w:p>
        </w:tc>
      </w:tr>
      <w:tr w14:paraId="1878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Merge w:val="continue"/>
            <w:vAlign w:val="center"/>
          </w:tcPr>
          <w:p w14:paraId="33F9B75B">
            <w:pPr>
              <w:keepNext w:val="0"/>
              <w:keepLines w:val="0"/>
              <w:suppressLineNumbers w:val="0"/>
              <w:spacing w:before="0" w:beforeAutospacing="0" w:after="0" w:afterAutospacing="0" w:line="320" w:lineRule="exact"/>
              <w:ind w:left="0" w:right="0"/>
              <w:jc w:val="left"/>
              <w:rPr>
                <w:rFonts w:hint="eastAsia" w:ascii="仿宋" w:hAnsi="仿宋" w:eastAsia="仿宋" w:cs="仿宋"/>
                <w:color w:val="auto"/>
                <w:sz w:val="21"/>
                <w:szCs w:val="21"/>
                <w:highlight w:val="none"/>
                <w:vertAlign w:val="baseline"/>
                <w:lang w:val="en-US" w:eastAsia="zh-CN"/>
              </w:rPr>
            </w:pPr>
          </w:p>
        </w:tc>
        <w:tc>
          <w:tcPr>
            <w:tcW w:w="649" w:type="dxa"/>
            <w:vAlign w:val="center"/>
          </w:tcPr>
          <w:p w14:paraId="3230E0A0">
            <w:pPr>
              <w:keepNext w:val="0"/>
              <w:keepLines w:val="0"/>
              <w:suppressLineNumbers w:val="0"/>
              <w:spacing w:before="0" w:beforeAutospacing="0" w:after="0" w:afterAutospacing="0" w:line="320" w:lineRule="exact"/>
              <w:ind w:left="0" w:right="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16</w:t>
            </w:r>
          </w:p>
        </w:tc>
        <w:tc>
          <w:tcPr>
            <w:tcW w:w="7477" w:type="dxa"/>
            <w:vAlign w:val="center"/>
          </w:tcPr>
          <w:p w14:paraId="3A173D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根据供应商提供的</w:t>
            </w:r>
            <w:r>
              <w:rPr>
                <w:rFonts w:hint="eastAsia" w:ascii="仿宋" w:hAnsi="仿宋" w:eastAsia="仿宋" w:cs="仿宋"/>
                <w:color w:val="auto"/>
                <w:sz w:val="21"/>
                <w:szCs w:val="21"/>
                <w:highlight w:val="none"/>
                <w:lang w:val="en-US" w:eastAsia="zh-CN"/>
              </w:rPr>
              <w:t>本项目服务方案</w:t>
            </w:r>
            <w:r>
              <w:rPr>
                <w:rFonts w:hint="eastAsia" w:ascii="仿宋" w:hAnsi="仿宋" w:eastAsia="仿宋" w:cs="仿宋"/>
                <w:color w:val="auto"/>
                <w:sz w:val="21"/>
                <w:szCs w:val="21"/>
                <w:highlight w:val="none"/>
              </w:rPr>
              <w:t>，方案包括但不限于：①</w:t>
            </w:r>
            <w:r>
              <w:rPr>
                <w:rFonts w:hint="eastAsia" w:ascii="仿宋" w:hAnsi="仿宋" w:eastAsia="仿宋" w:cs="仿宋"/>
                <w:color w:val="auto"/>
                <w:sz w:val="21"/>
                <w:szCs w:val="21"/>
                <w:highlight w:val="none"/>
                <w:lang w:val="en-US" w:eastAsia="zh-CN"/>
              </w:rPr>
              <w:t>服务内容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②</w:t>
            </w:r>
            <w:r>
              <w:rPr>
                <w:rFonts w:hint="eastAsia" w:ascii="仿宋" w:hAnsi="仿宋" w:eastAsia="仿宋" w:cs="仿宋"/>
                <w:color w:val="auto"/>
                <w:sz w:val="21"/>
                <w:szCs w:val="21"/>
                <w:highlight w:val="none"/>
                <w:lang w:val="en-US" w:eastAsia="zh-CN"/>
              </w:rPr>
              <w:t>服务标准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③</w:t>
            </w:r>
            <w:r>
              <w:rPr>
                <w:rFonts w:hint="eastAsia" w:ascii="仿宋" w:hAnsi="仿宋" w:eastAsia="仿宋" w:cs="仿宋"/>
                <w:color w:val="auto"/>
                <w:sz w:val="21"/>
                <w:szCs w:val="21"/>
                <w:highlight w:val="none"/>
                <w:lang w:val="en-US" w:eastAsia="zh-CN"/>
              </w:rPr>
              <w:t>服务流程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④</w:t>
            </w:r>
            <w:r>
              <w:rPr>
                <w:rFonts w:hint="eastAsia" w:ascii="仿宋" w:hAnsi="仿宋" w:eastAsia="仿宋" w:cs="仿宋"/>
                <w:color w:val="auto"/>
                <w:sz w:val="21"/>
                <w:szCs w:val="21"/>
                <w:highlight w:val="none"/>
                <w:lang w:val="en-US" w:eastAsia="zh-CN"/>
              </w:rPr>
              <w:t>响应机制等</w:t>
            </w:r>
            <w:r>
              <w:rPr>
                <w:rFonts w:hint="eastAsia" w:ascii="仿宋" w:hAnsi="仿宋" w:eastAsia="仿宋" w:cs="仿宋"/>
                <w:color w:val="auto"/>
                <w:sz w:val="21"/>
                <w:szCs w:val="21"/>
                <w:highlight w:val="none"/>
              </w:rPr>
              <w:t>进行综合评分：</w:t>
            </w:r>
          </w:p>
          <w:p w14:paraId="5FD47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每有一项</w:t>
            </w:r>
            <w:r>
              <w:rPr>
                <w:rFonts w:hint="eastAsia" w:ascii="仿宋" w:hAnsi="仿宋" w:eastAsia="仿宋" w:cs="仿宋"/>
                <w:color w:val="auto"/>
                <w:sz w:val="21"/>
                <w:szCs w:val="21"/>
                <w:highlight w:val="none"/>
              </w:rPr>
              <w:t>方案</w:t>
            </w:r>
            <w:r>
              <w:rPr>
                <w:rFonts w:hint="eastAsia" w:ascii="仿宋" w:hAnsi="仿宋" w:eastAsia="仿宋" w:cs="仿宋"/>
                <w:color w:val="auto"/>
                <w:kern w:val="2"/>
                <w:sz w:val="21"/>
                <w:szCs w:val="21"/>
                <w:highlight w:val="none"/>
              </w:rPr>
              <w:t>内容且表述完整、科学、可行</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4分，最高得16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如内容不合理或有瑕疵的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每一项</w:t>
            </w:r>
            <w:r>
              <w:rPr>
                <w:rFonts w:hint="eastAsia" w:ascii="仿宋" w:hAnsi="仿宋" w:eastAsia="仿宋" w:cs="仿宋"/>
                <w:color w:val="auto"/>
                <w:sz w:val="21"/>
                <w:szCs w:val="21"/>
                <w:highlight w:val="none"/>
                <w:lang w:val="en-US" w:eastAsia="zh-CN"/>
              </w:rPr>
              <w:t>得2分，其余情况不得分</w:t>
            </w:r>
            <w:r>
              <w:rPr>
                <w:rFonts w:hint="eastAsia" w:ascii="仿宋" w:hAnsi="仿宋" w:eastAsia="仿宋" w:cs="仿宋"/>
                <w:color w:val="auto"/>
                <w:sz w:val="21"/>
                <w:szCs w:val="21"/>
                <w:highlight w:val="none"/>
              </w:rPr>
              <w:t>。</w:t>
            </w:r>
          </w:p>
        </w:tc>
      </w:tr>
      <w:tr w14:paraId="095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152059A6">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研究方案</w:t>
            </w:r>
          </w:p>
        </w:tc>
        <w:tc>
          <w:tcPr>
            <w:tcW w:w="649" w:type="dxa"/>
            <w:vAlign w:val="center"/>
          </w:tcPr>
          <w:p w14:paraId="7C7C194A">
            <w:pPr>
              <w:keepNext w:val="0"/>
              <w:keepLines w:val="0"/>
              <w:suppressLineNumbers w:val="0"/>
              <w:spacing w:before="0" w:beforeAutospacing="0" w:after="0" w:afterAutospacing="0" w:line="320" w:lineRule="exact"/>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7477" w:type="dxa"/>
            <w:vAlign w:val="center"/>
          </w:tcPr>
          <w:p w14:paraId="642F7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w:t>
            </w:r>
            <w:r>
              <w:rPr>
                <w:rFonts w:hint="eastAsia" w:ascii="仿宋" w:hAnsi="仿宋" w:eastAsia="仿宋" w:cs="仿宋"/>
                <w:color w:val="auto"/>
                <w:sz w:val="21"/>
                <w:szCs w:val="21"/>
                <w:highlight w:val="none"/>
                <w:vertAlign w:val="baseline"/>
                <w:lang w:val="en-US" w:eastAsia="zh-CN"/>
              </w:rPr>
              <w:t>研究方案</w:t>
            </w:r>
            <w:r>
              <w:rPr>
                <w:rFonts w:hint="eastAsia" w:ascii="仿宋" w:hAnsi="仿宋" w:eastAsia="仿宋" w:cs="仿宋"/>
                <w:color w:val="auto"/>
                <w:sz w:val="21"/>
                <w:szCs w:val="21"/>
                <w:highlight w:val="none"/>
                <w:lang w:val="en-US" w:eastAsia="zh-CN"/>
              </w:rPr>
              <w:t>进行综合评分，包括：</w:t>
            </w:r>
          </w:p>
          <w:p w14:paraId="70852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方案设计契合度：结合研究课题背景、科研需求，以及围绕疾病临床特征，通过文献调研、相关分子病因机制、公开数据库、系统生物学理论资料为依据，实现方案设计策略契合。方案设计契合度高、符合项目特征得4分；方案设计契合度较高、较符合项目特征得2分；方案设计契合度一般、基本符合项目特征得1分；未提供得0分。</w:t>
            </w:r>
          </w:p>
          <w:p w14:paraId="1F65C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方案设计创新性：从临床队列方法学、遗传组学、检测技术、生物信息统计方法方面的设计，凸显研究的特色及创新价值。方案设计创新性强、符合项目特征得4分；方案设计创新性较强、较符合项目特征得2分；方案设计创新性一般、基本符合项目特征得1分；未提供得0分。</w:t>
            </w:r>
          </w:p>
          <w:p w14:paraId="1E1961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方案设计完整性：需要整合临床流行病学、以遗传组为核心的多组学、生物统计学，构建系统完整的研究体系。方案设计完整性高、符合项目特征得4分；方案设计完整性较高、较符合项目特征得2分；方案设计完整性一般、基本符合项目特征得1分；未提供得0分。</w:t>
            </w:r>
          </w:p>
          <w:p w14:paraId="51116A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方案设计延展性：基于中心法则和分子调控理论，方案需具有前瞻性设计，为后续该课题持续与其他组学的拓展研究提供支撑。方案设计延展性强、符合项目特征得4分；方案设计延展性较强、较符合项目特征得2分；方案设计延展性一般、基本符合项目特征得1分；未提供得0分。</w:t>
            </w:r>
          </w:p>
        </w:tc>
      </w:tr>
    </w:tbl>
    <w:p w14:paraId="332F06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textAlignment w:val="auto"/>
        <w:outlineLvl w:val="2"/>
        <w:rPr>
          <w:rFonts w:hint="eastAsia" w:ascii="仿宋" w:hAnsi="仿宋" w:eastAsia="仿宋" w:cs="仿宋"/>
          <w:color w:val="auto"/>
          <w:sz w:val="24"/>
          <w:szCs w:val="24"/>
          <w:highlight w:val="none"/>
          <w:lang w:val="en-US" w:eastAsia="zh-CN"/>
        </w:rPr>
      </w:pPr>
    </w:p>
    <w:p w14:paraId="2B2EB2B2">
      <w:pPr>
        <w:keepNext w:val="0"/>
        <w:keepLines w:val="0"/>
        <w:pageBreakBefore w:val="0"/>
        <w:widowControl w:val="0"/>
        <w:numPr>
          <w:ilvl w:val="0"/>
          <w:numId w:val="79"/>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价格评分：</w:t>
      </w:r>
    </w:p>
    <w:p w14:paraId="54FE3E0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本项目统一采用低价优先法计算，以</w:t>
      </w:r>
      <w:r>
        <w:rPr>
          <w:rFonts w:hint="eastAsia" w:ascii="仿宋" w:hAnsi="仿宋" w:eastAsia="仿宋" w:cs="仿宋"/>
          <w:color w:val="auto"/>
          <w:sz w:val="24"/>
          <w:szCs w:val="24"/>
          <w:highlight w:val="none"/>
          <w:u w:val="single"/>
          <w:lang w:val="en-US" w:eastAsia="zh-CN"/>
        </w:rPr>
        <w:t>项目总报价</w:t>
      </w:r>
      <w:r>
        <w:rPr>
          <w:rFonts w:hint="eastAsia" w:ascii="仿宋" w:hAnsi="仿宋" w:eastAsia="仿宋" w:cs="仿宋"/>
          <w:color w:val="auto"/>
          <w:sz w:val="24"/>
          <w:szCs w:val="24"/>
          <w:highlight w:val="none"/>
          <w:lang w:val="en-US" w:eastAsia="zh-CN"/>
        </w:rPr>
        <w:t>作为价格评分的评审依据。</w:t>
      </w:r>
    </w:p>
    <w:p w14:paraId="551A130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满足比选文件要求且</w:t>
      </w:r>
      <w:r>
        <w:rPr>
          <w:rFonts w:hint="eastAsia" w:ascii="仿宋" w:hAnsi="仿宋" w:eastAsia="仿宋" w:cs="仿宋"/>
          <w:color w:val="auto"/>
          <w:sz w:val="24"/>
          <w:szCs w:val="24"/>
          <w:highlight w:val="none"/>
          <w:u w:val="single"/>
          <w:lang w:val="en-US" w:eastAsia="zh-CN"/>
        </w:rPr>
        <w:t>项目总报价</w:t>
      </w:r>
      <w:r>
        <w:rPr>
          <w:rFonts w:hint="eastAsia" w:ascii="仿宋" w:hAnsi="仿宋" w:eastAsia="仿宋" w:cs="仿宋"/>
          <w:color w:val="auto"/>
          <w:sz w:val="24"/>
          <w:szCs w:val="24"/>
          <w:highlight w:val="none"/>
          <w:lang w:val="en-US" w:eastAsia="zh-CN"/>
        </w:rPr>
        <w:t>最低的价格为评分基准价，价格得分＝（评分基准价/响应总报价）*20，保留两位小数。</w:t>
      </w:r>
    </w:p>
    <w:p w14:paraId="771E5B5D">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综合比较与评价：</w:t>
      </w:r>
    </w:p>
    <w:p w14:paraId="7B60F88C">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根据每个响应人在上述各评审阶段中的得分，采用下面公式算出每个响应人的综合得分： </w:t>
      </w:r>
    </w:p>
    <w:p w14:paraId="718CF62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W＝C ＋ </w:t>
      </w:r>
      <w:r>
        <w:rPr>
          <w:rFonts w:hint="eastAsia" w:ascii="仿宋" w:hAnsi="仿宋" w:eastAsia="仿宋" w:cs="仿宋"/>
          <w:color w:val="auto"/>
          <w:sz w:val="24"/>
          <w:szCs w:val="24"/>
          <w:highlight w:val="none"/>
          <w:lang w:val="en-US" w:eastAsia="zh-CN"/>
        </w:rPr>
        <w:t>S</w:t>
      </w:r>
      <w:r>
        <w:rPr>
          <w:rFonts w:hint="eastAsia" w:ascii="仿宋" w:hAnsi="仿宋" w:eastAsia="仿宋" w:cs="仿宋"/>
          <w:color w:val="auto"/>
          <w:sz w:val="24"/>
          <w:szCs w:val="24"/>
          <w:highlight w:val="none"/>
        </w:rPr>
        <w:t xml:space="preserve"> ＋ M </w:t>
      </w:r>
    </w:p>
    <w:p w14:paraId="14C7368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14:paraId="37D4E08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W某个</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的综合得分；</w:t>
      </w:r>
    </w:p>
    <w:p w14:paraId="2843152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C某个</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价格得分</w:t>
      </w:r>
      <w:r>
        <w:rPr>
          <w:rFonts w:hint="eastAsia" w:ascii="仿宋" w:hAnsi="仿宋" w:eastAsia="仿宋" w:cs="仿宋"/>
          <w:color w:val="auto"/>
          <w:sz w:val="24"/>
          <w:szCs w:val="24"/>
          <w:highlight w:val="none"/>
        </w:rPr>
        <w:t>；</w:t>
      </w:r>
    </w:p>
    <w:p w14:paraId="7340F81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S</w:t>
      </w:r>
      <w:r>
        <w:rPr>
          <w:rFonts w:hint="eastAsia" w:ascii="仿宋" w:hAnsi="仿宋" w:eastAsia="仿宋" w:cs="仿宋"/>
          <w:color w:val="auto"/>
          <w:sz w:val="24"/>
          <w:szCs w:val="24"/>
          <w:highlight w:val="none"/>
        </w:rPr>
        <w:t>某个响应人的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评审得分；</w:t>
      </w:r>
    </w:p>
    <w:p w14:paraId="1E64BC0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M某个响应人的商务评审得分；</w:t>
      </w:r>
    </w:p>
    <w:p w14:paraId="5F0A735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 </w:t>
      </w:r>
      <w:r>
        <w:rPr>
          <w:rFonts w:hint="eastAsia" w:ascii="仿宋" w:hAnsi="仿宋" w:eastAsia="仿宋" w:cs="仿宋"/>
          <w:color w:val="auto"/>
          <w:sz w:val="24"/>
          <w:szCs w:val="24"/>
          <w:highlight w:val="none"/>
          <w:lang w:val="en-US" w:eastAsia="zh-CN"/>
        </w:rPr>
        <w:t>S</w:t>
      </w:r>
      <w:r>
        <w:rPr>
          <w:rFonts w:hint="eastAsia" w:ascii="仿宋" w:hAnsi="仿宋" w:eastAsia="仿宋" w:cs="仿宋"/>
          <w:color w:val="auto"/>
          <w:sz w:val="24"/>
          <w:szCs w:val="24"/>
          <w:highlight w:val="none"/>
        </w:rPr>
        <w:t>、M均为所有</w:t>
      </w:r>
      <w:r>
        <w:rPr>
          <w:rFonts w:hint="eastAsia" w:ascii="仿宋" w:hAnsi="仿宋" w:eastAsia="仿宋" w:cs="仿宋"/>
          <w:color w:val="auto"/>
          <w:sz w:val="24"/>
          <w:szCs w:val="24"/>
          <w:highlight w:val="none"/>
          <w:lang w:val="en-US" w:eastAsia="zh-CN"/>
        </w:rPr>
        <w:t>评审专家</w:t>
      </w:r>
      <w:r>
        <w:rPr>
          <w:rFonts w:hint="eastAsia" w:ascii="仿宋" w:hAnsi="仿宋" w:eastAsia="仿宋" w:cs="仿宋"/>
          <w:color w:val="auto"/>
          <w:sz w:val="24"/>
          <w:szCs w:val="24"/>
          <w:highlight w:val="none"/>
        </w:rPr>
        <w:t>评分的算术平均值）</w:t>
      </w:r>
    </w:p>
    <w:p w14:paraId="321EF704">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评审委员会对响应文件中的报价出现前后不一致的，按照下列规定修正：</w:t>
      </w:r>
    </w:p>
    <w:p w14:paraId="5A771C9A">
      <w:pPr>
        <w:pStyle w:val="31"/>
        <w:keepNext w:val="0"/>
        <w:keepLines w:val="0"/>
        <w:pageBreakBefore w:val="0"/>
        <w:widowControl w:val="0"/>
        <w:numPr>
          <w:ilvl w:val="0"/>
          <w:numId w:val="8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响应文件中</w:t>
      </w:r>
      <w:r>
        <w:rPr>
          <w:rFonts w:hint="eastAsia" w:ascii="仿宋" w:hAnsi="仿宋" w:eastAsia="仿宋" w:cs="仿宋"/>
          <w:color w:val="auto"/>
          <w:sz w:val="24"/>
          <w:szCs w:val="24"/>
          <w:highlight w:val="none"/>
          <w:lang w:val="en-US" w:eastAsia="zh-CN"/>
        </w:rPr>
        <w:t>报价一览表</w:t>
      </w:r>
      <w:r>
        <w:rPr>
          <w:rFonts w:hint="eastAsia" w:ascii="仿宋" w:hAnsi="仿宋" w:eastAsia="仿宋" w:cs="仿宋"/>
          <w:color w:val="auto"/>
          <w:sz w:val="24"/>
          <w:szCs w:val="24"/>
          <w:highlight w:val="none"/>
        </w:rPr>
        <w:t>内容与响应文件中相应内容不一致的，以</w:t>
      </w:r>
      <w:r>
        <w:rPr>
          <w:rFonts w:hint="eastAsia" w:ascii="仿宋" w:hAnsi="仿宋" w:eastAsia="仿宋" w:cs="仿宋"/>
          <w:color w:val="auto"/>
          <w:sz w:val="24"/>
          <w:szCs w:val="24"/>
          <w:highlight w:val="none"/>
          <w:lang w:val="en-US" w:eastAsia="zh-CN"/>
        </w:rPr>
        <w:t>报价一览表</w:t>
      </w:r>
      <w:r>
        <w:rPr>
          <w:rFonts w:hint="eastAsia" w:ascii="仿宋" w:hAnsi="仿宋" w:eastAsia="仿宋" w:cs="仿宋"/>
          <w:color w:val="auto"/>
          <w:sz w:val="24"/>
          <w:szCs w:val="24"/>
          <w:highlight w:val="none"/>
        </w:rPr>
        <w:t>为准；</w:t>
      </w:r>
    </w:p>
    <w:p w14:paraId="1DFAFE8A">
      <w:pPr>
        <w:pStyle w:val="31"/>
        <w:keepNext w:val="0"/>
        <w:keepLines w:val="0"/>
        <w:pageBreakBefore w:val="0"/>
        <w:widowControl w:val="0"/>
        <w:numPr>
          <w:ilvl w:val="0"/>
          <w:numId w:val="8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大写金额和小写金额不一致的，以大写金额为准；</w:t>
      </w:r>
    </w:p>
    <w:p w14:paraId="0A93D801">
      <w:pPr>
        <w:pStyle w:val="31"/>
        <w:keepNext w:val="0"/>
        <w:keepLines w:val="0"/>
        <w:pageBreakBefore w:val="0"/>
        <w:widowControl w:val="0"/>
        <w:numPr>
          <w:ilvl w:val="0"/>
          <w:numId w:val="8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val="en-US" w:eastAsia="zh-CN"/>
        </w:rPr>
        <w:t>报价一览表</w:t>
      </w:r>
      <w:r>
        <w:rPr>
          <w:rFonts w:hint="eastAsia" w:ascii="仿宋" w:hAnsi="仿宋" w:eastAsia="仿宋" w:cs="仿宋"/>
          <w:color w:val="auto"/>
          <w:sz w:val="24"/>
          <w:szCs w:val="24"/>
          <w:highlight w:val="none"/>
        </w:rPr>
        <w:t>的总价为准，并修改单价；</w:t>
      </w:r>
    </w:p>
    <w:p w14:paraId="0697505F">
      <w:pPr>
        <w:pStyle w:val="31"/>
        <w:keepNext w:val="0"/>
        <w:keepLines w:val="0"/>
        <w:pageBreakBefore w:val="0"/>
        <w:widowControl w:val="0"/>
        <w:numPr>
          <w:ilvl w:val="0"/>
          <w:numId w:val="8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总价金额与按单价汇总金额不一致的，以单价金额计算结果为准。</w:t>
      </w:r>
    </w:p>
    <w:p w14:paraId="6D10A15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同时出现两种以上不一致的，按照该条款规定的顺序修正。修正后的报价经</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书面确认后产生约束力，</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不确认的，其响应无效。</w:t>
      </w:r>
    </w:p>
    <w:p w14:paraId="7D5CADCD">
      <w:pPr>
        <w:keepNext w:val="0"/>
        <w:keepLines w:val="0"/>
        <w:pageBreakBefore w:val="0"/>
        <w:widowControl w:val="0"/>
        <w:numPr>
          <w:ilvl w:val="0"/>
          <w:numId w:val="7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08AACC8D">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推荐成交候选人名单</w:t>
      </w:r>
    </w:p>
    <w:p w14:paraId="3A8E905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根据最终评审的结果推荐</w:t>
      </w:r>
      <w:r>
        <w:rPr>
          <w:rFonts w:hint="eastAsia" w:ascii="仿宋" w:hAnsi="仿宋" w:eastAsia="仿宋" w:cs="仿宋"/>
          <w:color w:val="auto"/>
          <w:sz w:val="24"/>
          <w:szCs w:val="24"/>
          <w:highlight w:val="none"/>
          <w:lang w:val="en-US" w:eastAsia="zh-CN"/>
        </w:rPr>
        <w:t>成交候选人</w:t>
      </w:r>
      <w:r>
        <w:rPr>
          <w:rFonts w:hint="eastAsia" w:ascii="仿宋" w:hAnsi="仿宋" w:eastAsia="仿宋" w:cs="仿宋"/>
          <w:color w:val="auto"/>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auto"/>
          <w:sz w:val="24"/>
          <w:szCs w:val="24"/>
          <w:highlight w:val="none"/>
          <w:lang w:val="en-US" w:eastAsia="zh-CN"/>
        </w:rPr>
        <w:t>推荐</w:t>
      </w:r>
      <w:r>
        <w:rPr>
          <w:rFonts w:hint="eastAsia" w:ascii="仿宋" w:hAnsi="仿宋" w:eastAsia="仿宋" w:cs="仿宋"/>
          <w:color w:val="auto"/>
          <w:sz w:val="24"/>
          <w:szCs w:val="24"/>
          <w:highlight w:val="none"/>
        </w:rPr>
        <w:t>成交候选人。综合得分且</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报价相同的，按照</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部分得分（由高到低）顺序</w:t>
      </w:r>
      <w:r>
        <w:rPr>
          <w:rFonts w:hint="eastAsia" w:ascii="仿宋" w:hAnsi="仿宋" w:eastAsia="仿宋" w:cs="仿宋"/>
          <w:color w:val="auto"/>
          <w:sz w:val="24"/>
          <w:szCs w:val="24"/>
          <w:highlight w:val="none"/>
          <w:lang w:val="en-US" w:eastAsia="zh-CN"/>
        </w:rPr>
        <w:t>推荐</w:t>
      </w:r>
      <w:r>
        <w:rPr>
          <w:rFonts w:hint="eastAsia" w:ascii="仿宋" w:hAnsi="仿宋" w:eastAsia="仿宋" w:cs="仿宋"/>
          <w:color w:val="auto"/>
          <w:sz w:val="24"/>
          <w:szCs w:val="24"/>
          <w:highlight w:val="none"/>
        </w:rPr>
        <w:t>。</w:t>
      </w:r>
    </w:p>
    <w:p w14:paraId="406324C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5A9B5FAF">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发布成交结果</w:t>
      </w:r>
    </w:p>
    <w:p w14:paraId="031C5F5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医院官方网站的采购专栏</w:t>
      </w:r>
      <w:r>
        <w:rPr>
          <w:rFonts w:hint="eastAsia" w:ascii="仿宋" w:hAnsi="仿宋" w:eastAsia="仿宋" w:cs="仿宋"/>
          <w:color w:val="auto"/>
          <w:sz w:val="24"/>
          <w:szCs w:val="24"/>
          <w:highlight w:val="none"/>
        </w:rPr>
        <w:t>公告</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w:t>
      </w:r>
    </w:p>
    <w:p w14:paraId="0ACF33A4">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质疑与投诉</w:t>
      </w:r>
    </w:p>
    <w:p w14:paraId="38C1F94A">
      <w:pPr>
        <w:keepNext w:val="0"/>
        <w:keepLines w:val="0"/>
        <w:pageBreakBefore w:val="0"/>
        <w:widowControl w:val="0"/>
        <w:numPr>
          <w:ilvl w:val="0"/>
          <w:numId w:val="81"/>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质疑</w:t>
      </w:r>
    </w:p>
    <w:p w14:paraId="1B74278C">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提出质疑的供应商应当是参与所质疑项目采购活动的供应商。</w:t>
      </w:r>
    </w:p>
    <w:p w14:paraId="0A34FD19">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12CF1C2C">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供应商应在限定质疑期内一次性提出针对同一采购程序环节的质疑。若对项目的某一分包进行质疑，质疑函中应列明具体分包号。</w:t>
      </w:r>
    </w:p>
    <w:p w14:paraId="61FCD1EA">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采购人不得拒收质疑供应商在限定质疑期内发出的质疑函，应当在收到质疑函后7个工作日内作出答复，并以书面形式通知质疑供应商和其他有关供应商。</w:t>
      </w:r>
    </w:p>
    <w:p w14:paraId="418F69D5">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供应商对评审过程、中标或者成交结果提出质疑的，采购人可以组织原评审委员会协助答复质疑。</w:t>
      </w:r>
    </w:p>
    <w:p w14:paraId="43C4EE96">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超出限定质疑期限的质疑函，采购人将依法不予接收。 </w:t>
      </w:r>
    </w:p>
    <w:p w14:paraId="697BE8C8">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供应商提出质疑应当提交质疑函和必要的证明资料。质疑函应当包括下列内容：</w:t>
      </w:r>
    </w:p>
    <w:p w14:paraId="52377E56">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供应商的姓名或者名称、地址、邮编、联系人及联系电话；</w:t>
      </w:r>
    </w:p>
    <w:p w14:paraId="1265719D">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质疑项目的名称、编号；</w:t>
      </w:r>
    </w:p>
    <w:p w14:paraId="25E71582">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具体、明确的质疑事项和与质疑事项相关的请求；</w:t>
      </w:r>
    </w:p>
    <w:p w14:paraId="27EAA15C">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p>
    <w:p w14:paraId="28890913">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必要的法律依据；</w:t>
      </w:r>
    </w:p>
    <w:p w14:paraId="2BE6686C">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提出质疑的日期。</w:t>
      </w:r>
    </w:p>
    <w:p w14:paraId="002B359C">
      <w:pPr>
        <w:pStyle w:val="31"/>
        <w:keepNext w:val="0"/>
        <w:keepLines w:val="0"/>
        <w:pageBreakBefore w:val="0"/>
        <w:widowControl w:val="0"/>
        <w:numPr>
          <w:ilvl w:val="0"/>
          <w:numId w:val="8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供应商为法人或者其他组织的，应当由法定代表人、主要负责人，或者其授权代表签字或者盖章，并加盖公章。</w:t>
      </w:r>
    </w:p>
    <w:p w14:paraId="413515D9">
      <w:pPr>
        <w:keepNext w:val="0"/>
        <w:keepLines w:val="0"/>
        <w:pageBreakBefore w:val="0"/>
        <w:widowControl w:val="0"/>
        <w:numPr>
          <w:ilvl w:val="0"/>
          <w:numId w:val="8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接收质疑的联系方式：</w:t>
      </w:r>
    </w:p>
    <w:p w14:paraId="23B40D3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质疑接收机构名称：中山大学孙逸仙纪念医院招投标与采购管理办公室</w:t>
      </w:r>
    </w:p>
    <w:p w14:paraId="6FBAAE5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质疑接收机构地址：</w:t>
      </w:r>
      <w:r>
        <w:rPr>
          <w:rFonts w:hint="eastAsia" w:ascii="仿宋" w:hAnsi="仿宋" w:eastAsia="仿宋" w:cs="仿宋"/>
          <w:color w:val="auto"/>
          <w:sz w:val="24"/>
          <w:szCs w:val="24"/>
          <w:highlight w:val="none"/>
          <w:lang w:val="en-US" w:eastAsia="zh-CN"/>
        </w:rPr>
        <w:t>广州市越秀区长堤大马路171号一方长堤健康产业中心（原威力斯大楼）907室</w:t>
      </w:r>
    </w:p>
    <w:p w14:paraId="33687E6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质疑接收机构电话：020-81338035（工作时间：8：00-12:00,14:30-17：30）</w:t>
      </w:r>
    </w:p>
    <w:p w14:paraId="3D70E4F5">
      <w:pPr>
        <w:keepNext w:val="0"/>
        <w:keepLines w:val="0"/>
        <w:pageBreakBefore w:val="0"/>
        <w:widowControl w:val="0"/>
        <w:numPr>
          <w:ilvl w:val="0"/>
          <w:numId w:val="81"/>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right="0" w:rightChars="0" w:firstLine="420" w:firstLineChars="0"/>
        <w:textAlignment w:val="auto"/>
        <w:outlineLvl w:val="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投诉</w:t>
      </w:r>
    </w:p>
    <w:p w14:paraId="56DABF0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color w:val="auto"/>
          <w:sz w:val="24"/>
          <w:szCs w:val="24"/>
          <w:highlight w:val="none"/>
          <w:lang w:val="en-US" w:eastAsia="zh-CN"/>
        </w:rPr>
        <w:t>监督</w:t>
      </w:r>
      <w:r>
        <w:rPr>
          <w:rFonts w:hint="eastAsia" w:ascii="仿宋" w:hAnsi="仿宋" w:eastAsia="仿宋" w:cs="仿宋"/>
          <w:color w:val="auto"/>
          <w:sz w:val="24"/>
          <w:szCs w:val="24"/>
          <w:highlight w:val="none"/>
        </w:rPr>
        <w:t>部门提起投诉。</w:t>
      </w:r>
    </w:p>
    <w:p w14:paraId="7C2CD7AA">
      <w:pPr>
        <w:keepNext w:val="0"/>
        <w:keepLines w:val="0"/>
        <w:pageBreakBefore w:val="0"/>
        <w:widowControl w:val="0"/>
        <w:numPr>
          <w:ilvl w:val="0"/>
          <w:numId w:val="70"/>
        </w:numPr>
        <w:kinsoku/>
        <w:wordWrap/>
        <w:overflowPunct/>
        <w:topLinePunct w:val="0"/>
        <w:autoSpaceDE/>
        <w:autoSpaceDN/>
        <w:bidi w:val="0"/>
        <w:adjustRightInd w:val="0"/>
        <w:snapToGrid w:val="0"/>
        <w:spacing w:line="360" w:lineRule="auto"/>
        <w:ind w:left="0" w:leftChars="0" w:right="0" w:righ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合同的订立 </w:t>
      </w:r>
    </w:p>
    <w:p w14:paraId="7682D8E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b w:val="0"/>
          <w:bCs w:val="0"/>
          <w:color w:val="auto"/>
          <w:sz w:val="24"/>
          <w:szCs w:val="36"/>
          <w:highlight w:val="none"/>
        </w:rPr>
      </w:pPr>
      <w:r>
        <w:rPr>
          <w:rFonts w:hint="eastAsia" w:ascii="仿宋" w:hAnsi="仿宋" w:eastAsia="仿宋" w:cs="仿宋"/>
          <w:b w:val="0"/>
          <w:bCs w:val="0"/>
          <w:color w:val="auto"/>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543FEF60">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36"/>
          <w:highlight w:val="none"/>
        </w:rPr>
      </w:pPr>
    </w:p>
    <w:p w14:paraId="040EBFA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36"/>
          <w:highlight w:val="none"/>
        </w:rPr>
      </w:pPr>
    </w:p>
    <w:p w14:paraId="2E85800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14:paraId="426AC7F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36"/>
          <w:highlight w:val="none"/>
        </w:rPr>
      </w:pPr>
    </w:p>
    <w:p w14:paraId="1ED79261">
      <w:pPr>
        <w:pStyle w:val="32"/>
        <w:rPr>
          <w:rFonts w:hint="eastAsia" w:ascii="微软雅黑" w:hAnsi="微软雅黑" w:eastAsia="微软雅黑" w:cs="微软雅黑"/>
          <w:color w:val="auto"/>
          <w:highlight w:val="none"/>
        </w:rPr>
      </w:pPr>
    </w:p>
    <w:p w14:paraId="5DC454B2">
      <w:pPr>
        <w:pStyle w:val="32"/>
        <w:rPr>
          <w:rFonts w:hint="eastAsia" w:ascii="微软雅黑" w:hAnsi="微软雅黑" w:eastAsia="微软雅黑" w:cs="微软雅黑"/>
          <w:color w:val="auto"/>
          <w:highlight w:val="none"/>
        </w:rPr>
      </w:pPr>
    </w:p>
    <w:p w14:paraId="1DEA5019">
      <w:pPr>
        <w:pStyle w:val="32"/>
        <w:rPr>
          <w:rFonts w:hint="eastAsia" w:ascii="微软雅黑" w:hAnsi="微软雅黑" w:eastAsia="微软雅黑" w:cs="微软雅黑"/>
          <w:color w:val="auto"/>
          <w:highlight w:val="none"/>
        </w:rPr>
      </w:pPr>
    </w:p>
    <w:p w14:paraId="5D0BC20A">
      <w:pPr>
        <w:pStyle w:val="32"/>
        <w:rPr>
          <w:rFonts w:hint="eastAsia" w:ascii="微软雅黑" w:hAnsi="微软雅黑" w:eastAsia="微软雅黑" w:cs="微软雅黑"/>
          <w:color w:val="auto"/>
          <w:highlight w:val="none"/>
        </w:rPr>
      </w:pPr>
    </w:p>
    <w:p w14:paraId="7C73809D">
      <w:pPr>
        <w:pStyle w:val="2"/>
        <w:rPr>
          <w:rFonts w:hint="eastAsia" w:ascii="微软雅黑" w:hAnsi="微软雅黑" w:eastAsia="微软雅黑" w:cs="微软雅黑"/>
          <w:color w:val="auto"/>
          <w:highlight w:val="none"/>
        </w:rPr>
      </w:pPr>
    </w:p>
    <w:p w14:paraId="4348C59B">
      <w:pPr>
        <w:rPr>
          <w:rFonts w:hint="eastAsia" w:ascii="微软雅黑" w:hAnsi="微软雅黑" w:eastAsia="微软雅黑" w:cs="微软雅黑"/>
          <w:color w:val="auto"/>
          <w:highlight w:val="none"/>
        </w:rPr>
      </w:pPr>
    </w:p>
    <w:p w14:paraId="629747CD">
      <w:pPr>
        <w:pStyle w:val="2"/>
        <w:rPr>
          <w:rFonts w:hint="eastAsia" w:ascii="微软雅黑" w:hAnsi="微软雅黑" w:eastAsia="微软雅黑" w:cs="微软雅黑"/>
          <w:color w:val="auto"/>
          <w:highlight w:val="none"/>
        </w:rPr>
      </w:pPr>
    </w:p>
    <w:p w14:paraId="240D63E3">
      <w:pPr>
        <w:rPr>
          <w:rFonts w:hint="eastAsia" w:ascii="微软雅黑" w:hAnsi="微软雅黑" w:eastAsia="微软雅黑" w:cs="微软雅黑"/>
          <w:color w:val="auto"/>
          <w:highlight w:val="none"/>
        </w:rPr>
      </w:pPr>
    </w:p>
    <w:p w14:paraId="5163D3CA">
      <w:pPr>
        <w:pStyle w:val="2"/>
        <w:rPr>
          <w:rFonts w:hint="eastAsia" w:ascii="微软雅黑" w:hAnsi="微软雅黑" w:eastAsia="微软雅黑" w:cs="微软雅黑"/>
          <w:color w:val="auto"/>
          <w:highlight w:val="none"/>
        </w:rPr>
      </w:pPr>
    </w:p>
    <w:p w14:paraId="1A06D330">
      <w:pPr>
        <w:rPr>
          <w:rFonts w:hint="eastAsia" w:ascii="微软雅黑" w:hAnsi="微软雅黑" w:eastAsia="微软雅黑" w:cs="微软雅黑"/>
          <w:color w:val="auto"/>
          <w:highlight w:val="none"/>
        </w:rPr>
      </w:pPr>
    </w:p>
    <w:p w14:paraId="1E624ECC">
      <w:pPr>
        <w:pStyle w:val="2"/>
        <w:rPr>
          <w:rFonts w:hint="eastAsia" w:ascii="微软雅黑" w:hAnsi="微软雅黑" w:eastAsia="微软雅黑" w:cs="微软雅黑"/>
          <w:color w:val="auto"/>
          <w:highlight w:val="none"/>
        </w:rPr>
      </w:pPr>
    </w:p>
    <w:p w14:paraId="3B5BF4CE">
      <w:pPr>
        <w:rPr>
          <w:rFonts w:hint="eastAsia" w:ascii="微软雅黑" w:hAnsi="微软雅黑" w:eastAsia="微软雅黑" w:cs="微软雅黑"/>
          <w:color w:val="auto"/>
          <w:highlight w:val="none"/>
        </w:rPr>
      </w:pPr>
    </w:p>
    <w:p w14:paraId="6CE847E8">
      <w:pPr>
        <w:pStyle w:val="2"/>
        <w:rPr>
          <w:rFonts w:hint="eastAsia" w:ascii="微软雅黑" w:hAnsi="微软雅黑" w:eastAsia="微软雅黑" w:cs="微软雅黑"/>
          <w:color w:val="auto"/>
          <w:highlight w:val="none"/>
        </w:rPr>
      </w:pPr>
    </w:p>
    <w:p w14:paraId="02271191">
      <w:pPr>
        <w:rPr>
          <w:rFonts w:hint="eastAsia" w:ascii="微软雅黑" w:hAnsi="微软雅黑" w:eastAsia="微软雅黑" w:cs="微软雅黑"/>
          <w:color w:val="auto"/>
          <w:highlight w:val="none"/>
        </w:rPr>
      </w:pPr>
    </w:p>
    <w:p w14:paraId="1CE91B51">
      <w:pPr>
        <w:pStyle w:val="2"/>
        <w:rPr>
          <w:rFonts w:hint="eastAsia" w:ascii="微软雅黑" w:hAnsi="微软雅黑" w:eastAsia="微软雅黑" w:cs="微软雅黑"/>
          <w:color w:val="auto"/>
          <w:highlight w:val="none"/>
        </w:rPr>
      </w:pPr>
    </w:p>
    <w:p w14:paraId="405A20C6">
      <w:pPr>
        <w:rPr>
          <w:rFonts w:hint="eastAsia"/>
          <w:highlight w:val="none"/>
        </w:rPr>
      </w:pPr>
    </w:p>
    <w:p w14:paraId="63711063">
      <w:pPr>
        <w:pStyle w:val="2"/>
        <w:rPr>
          <w:rFonts w:hint="eastAsia" w:ascii="微软雅黑" w:hAnsi="微软雅黑" w:eastAsia="微软雅黑" w:cs="微软雅黑"/>
          <w:color w:val="auto"/>
          <w:highlight w:val="none"/>
        </w:rPr>
      </w:pPr>
    </w:p>
    <w:p w14:paraId="4C6C85EF">
      <w:pPr>
        <w:rPr>
          <w:rFonts w:hint="eastAsia" w:ascii="微软雅黑" w:hAnsi="微软雅黑" w:eastAsia="微软雅黑" w:cs="微软雅黑"/>
          <w:color w:val="auto"/>
          <w:highlight w:val="none"/>
        </w:rPr>
      </w:pPr>
    </w:p>
    <w:p w14:paraId="2C317D89">
      <w:pPr>
        <w:pStyle w:val="2"/>
        <w:rPr>
          <w:rFonts w:hint="eastAsia" w:ascii="微软雅黑" w:hAnsi="微软雅黑" w:eastAsia="微软雅黑" w:cs="微软雅黑"/>
          <w:color w:val="auto"/>
          <w:highlight w:val="none"/>
        </w:rPr>
      </w:pPr>
    </w:p>
    <w:p w14:paraId="679730CB">
      <w:pPr>
        <w:rPr>
          <w:rFonts w:hint="eastAsia"/>
          <w:highlight w:val="none"/>
        </w:rPr>
      </w:pPr>
    </w:p>
    <w:p w14:paraId="49A9A01B">
      <w:pPr>
        <w:pStyle w:val="2"/>
        <w:rPr>
          <w:rFonts w:hint="eastAsia" w:ascii="微软雅黑" w:hAnsi="微软雅黑" w:eastAsia="微软雅黑" w:cs="微软雅黑"/>
          <w:color w:val="auto"/>
          <w:highlight w:val="none"/>
        </w:rPr>
      </w:pPr>
    </w:p>
    <w:p w14:paraId="25DE7282">
      <w:pPr>
        <w:rPr>
          <w:rFonts w:hint="eastAsia" w:ascii="微软雅黑" w:hAnsi="微软雅黑" w:eastAsia="微软雅黑" w:cs="微软雅黑"/>
          <w:color w:val="auto"/>
          <w:highlight w:val="none"/>
        </w:rPr>
      </w:pPr>
    </w:p>
    <w:p w14:paraId="6A654497">
      <w:pPr>
        <w:pStyle w:val="2"/>
        <w:rPr>
          <w:rFonts w:hint="eastAsia" w:ascii="微软雅黑" w:hAnsi="微软雅黑" w:eastAsia="微软雅黑" w:cs="微软雅黑"/>
          <w:color w:val="auto"/>
          <w:highlight w:val="none"/>
        </w:rPr>
      </w:pPr>
    </w:p>
    <w:p w14:paraId="72638F18">
      <w:pPr>
        <w:rPr>
          <w:rFonts w:hint="eastAsia" w:ascii="微软雅黑" w:hAnsi="微软雅黑" w:eastAsia="微软雅黑" w:cs="微软雅黑"/>
          <w:color w:val="auto"/>
          <w:highlight w:val="none"/>
        </w:rPr>
      </w:pPr>
    </w:p>
    <w:p w14:paraId="55705A1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四</w:t>
      </w:r>
      <w:r>
        <w:rPr>
          <w:rFonts w:hint="eastAsia" w:ascii="微软雅黑" w:hAnsi="微软雅黑" w:eastAsia="微软雅黑" w:cs="微软雅黑"/>
          <w:color w:val="auto"/>
          <w:highlight w:val="none"/>
        </w:rPr>
        <w:t>章</w:t>
      </w:r>
      <w:r>
        <w:rPr>
          <w:rFonts w:hint="eastAsia" w:ascii="微软雅黑" w:hAnsi="微软雅黑" w:eastAsia="微软雅黑" w:cs="微软雅黑"/>
          <w:color w:val="auto"/>
          <w:highlight w:val="none"/>
          <w:lang w:val="en-US" w:eastAsia="zh-CN"/>
        </w:rPr>
        <w:t xml:space="preserve"> 合同参考文本</w:t>
      </w:r>
    </w:p>
    <w:p w14:paraId="778A1C0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auto"/>
          <w:sz w:val="24"/>
          <w:szCs w:val="24"/>
          <w:highlight w:val="none"/>
          <w:shd w:val="clear" w:color="auto" w:fill="FFFFFF"/>
        </w:rPr>
      </w:pPr>
    </w:p>
    <w:p w14:paraId="3B06A645">
      <w:pPr>
        <w:shd w:val="clear" w:color="auto" w:fill="FFFFFF"/>
        <w:spacing w:beforeAutospacing="1" w:after="145"/>
        <w:rPr>
          <w:rFonts w:hint="eastAsia" w:ascii="仿宋" w:hAnsi="仿宋" w:eastAsia="仿宋" w:cs="仿宋"/>
          <w:b/>
          <w:bCs/>
          <w:color w:val="auto"/>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auto"/>
          <w:sz w:val="21"/>
          <w:szCs w:val="24"/>
          <w:highlight w:val="none"/>
          <w:shd w:val="clear" w:color="auto" w:fill="FFFFFF"/>
        </w:rPr>
      </w:pPr>
    </w:p>
    <w:p w14:paraId="2E4DED9B">
      <w:pPr>
        <w:shd w:val="clear" w:color="auto" w:fill="FFFFFF"/>
        <w:spacing w:beforeAutospacing="1"/>
        <w:rPr>
          <w:rFonts w:hint="eastAsia" w:ascii="仿宋" w:hAnsi="仿宋" w:eastAsia="仿宋" w:cs="仿宋"/>
          <w:color w:val="auto"/>
          <w:sz w:val="21"/>
          <w:szCs w:val="24"/>
          <w:highlight w:val="none"/>
          <w:shd w:val="clear" w:color="auto" w:fill="FFFFFF"/>
        </w:rPr>
      </w:pPr>
    </w:p>
    <w:p w14:paraId="74C3D6C6">
      <w:pPr>
        <w:pStyle w:val="32"/>
        <w:rPr>
          <w:rFonts w:hint="eastAsia" w:ascii="仿宋" w:hAnsi="仿宋" w:eastAsia="仿宋" w:cs="仿宋"/>
          <w:color w:val="auto"/>
          <w:highlight w:val="none"/>
        </w:rPr>
      </w:pPr>
    </w:p>
    <w:p w14:paraId="58E736BA">
      <w:pPr>
        <w:shd w:val="clear" w:color="auto" w:fill="FFFFFF"/>
        <w:spacing w:beforeAutospacing="1"/>
        <w:rPr>
          <w:rFonts w:hint="eastAsia" w:ascii="仿宋" w:hAnsi="仿宋" w:eastAsia="仿宋" w:cs="仿宋"/>
          <w:color w:val="auto"/>
          <w:sz w:val="21"/>
          <w:szCs w:val="24"/>
          <w:highlight w:val="none"/>
          <w:shd w:val="clear" w:color="auto" w:fill="FFFFFF"/>
        </w:rPr>
      </w:pPr>
    </w:p>
    <w:p w14:paraId="6BC28995">
      <w:pPr>
        <w:spacing w:beforeAutospacing="1"/>
        <w:jc w:val="center"/>
        <w:rPr>
          <w:rFonts w:hint="eastAsia" w:ascii="仿宋" w:hAnsi="仿宋" w:eastAsia="仿宋" w:cs="仿宋"/>
          <w:b/>
          <w:color w:val="auto"/>
          <w:sz w:val="48"/>
          <w:szCs w:val="48"/>
          <w:highlight w:val="none"/>
          <w:u w:val="single"/>
        </w:rPr>
      </w:pPr>
      <w:r>
        <w:rPr>
          <w:rFonts w:hint="eastAsia" w:ascii="仿宋" w:hAnsi="仿宋" w:eastAsia="仿宋" w:cs="仿宋"/>
          <w:b/>
          <w:color w:val="auto"/>
          <w:sz w:val="48"/>
          <w:szCs w:val="48"/>
          <w:highlight w:val="none"/>
          <w:u w:val="single"/>
          <w:lang w:val="en-US" w:eastAsia="zh-CN"/>
        </w:rPr>
        <w:t xml:space="preserve">             </w:t>
      </w:r>
      <w:r>
        <w:rPr>
          <w:rFonts w:hint="eastAsia" w:ascii="仿宋" w:hAnsi="仿宋" w:eastAsia="仿宋" w:cs="仿宋"/>
          <w:b/>
          <w:color w:val="auto"/>
          <w:sz w:val="48"/>
          <w:szCs w:val="48"/>
          <w:highlight w:val="none"/>
          <w:u w:val="single"/>
        </w:rPr>
        <w:t>(项目)</w:t>
      </w:r>
    </w:p>
    <w:p w14:paraId="155B48A5">
      <w:pPr>
        <w:spacing w:beforeAutospacing="1" w:line="360" w:lineRule="auto"/>
        <w:rPr>
          <w:rFonts w:hint="eastAsia" w:ascii="仿宋" w:hAnsi="仿宋" w:eastAsia="仿宋" w:cs="仿宋"/>
          <w:b/>
          <w:color w:val="auto"/>
          <w:sz w:val="48"/>
          <w:szCs w:val="48"/>
          <w:highlight w:val="none"/>
        </w:rPr>
      </w:pPr>
    </w:p>
    <w:p w14:paraId="18E5DC62">
      <w:pPr>
        <w:spacing w:beforeAutospacing="1"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合 同 书</w:t>
      </w:r>
    </w:p>
    <w:p w14:paraId="467A11CA">
      <w:pPr>
        <w:spacing w:beforeAutospacing="1"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lang w:val="en-US" w:eastAsia="zh-CN"/>
        </w:rPr>
        <w:t>服务</w:t>
      </w:r>
      <w:r>
        <w:rPr>
          <w:rFonts w:hint="eastAsia" w:ascii="仿宋" w:hAnsi="仿宋" w:eastAsia="仿宋" w:cs="仿宋"/>
          <w:b/>
          <w:color w:val="auto"/>
          <w:sz w:val="48"/>
          <w:szCs w:val="48"/>
          <w:highlight w:val="none"/>
        </w:rPr>
        <w:t>类</w:t>
      </w:r>
    </w:p>
    <w:p w14:paraId="53F04285">
      <w:pPr>
        <w:spacing w:beforeAutospacing="1" w:line="360" w:lineRule="auto"/>
        <w:rPr>
          <w:rFonts w:hint="eastAsia" w:ascii="仿宋" w:hAnsi="仿宋" w:eastAsia="仿宋" w:cs="仿宋"/>
          <w:b/>
          <w:color w:val="auto"/>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auto"/>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auto"/>
                <w:sz w:val="28"/>
                <w:szCs w:val="28"/>
                <w:highlight w:val="none"/>
              </w:rPr>
            </w:pPr>
          </w:p>
        </w:tc>
      </w:tr>
    </w:tbl>
    <w:p w14:paraId="7C1592D8">
      <w:pPr>
        <w:spacing w:beforeAutospacing="1" w:line="360" w:lineRule="auto"/>
        <w:rPr>
          <w:rFonts w:hint="eastAsia" w:ascii="仿宋_GB2312" w:eastAsia="仿宋_GB2312" w:cs="仿宋_GB2312"/>
          <w:b/>
          <w:color w:val="auto"/>
          <w:sz w:val="28"/>
          <w:szCs w:val="28"/>
          <w:highlight w:val="none"/>
        </w:rPr>
      </w:pPr>
    </w:p>
    <w:p w14:paraId="0C44E661">
      <w:pPr>
        <w:pStyle w:val="32"/>
        <w:rPr>
          <w:rFonts w:hint="eastAsia"/>
          <w:color w:val="auto"/>
          <w:highlight w:val="none"/>
        </w:rPr>
      </w:pPr>
    </w:p>
    <w:p w14:paraId="6D2ADB80">
      <w:pPr>
        <w:pStyle w:val="32"/>
        <w:rPr>
          <w:rFonts w:hint="eastAsia"/>
          <w:color w:val="auto"/>
          <w:highlight w:val="none"/>
        </w:rPr>
      </w:pPr>
    </w:p>
    <w:p w14:paraId="7676A2F5">
      <w:pPr>
        <w:pStyle w:val="32"/>
        <w:rPr>
          <w:rFonts w:hint="eastAsia"/>
          <w:color w:val="auto"/>
          <w:highlight w:val="none"/>
        </w:rPr>
      </w:pPr>
    </w:p>
    <w:p w14:paraId="7E94338E">
      <w:pPr>
        <w:pStyle w:val="32"/>
        <w:rPr>
          <w:rFonts w:hint="eastAsia"/>
          <w:color w:val="auto"/>
          <w:highlight w:val="none"/>
        </w:rPr>
      </w:pPr>
    </w:p>
    <w:p w14:paraId="4674C5D1">
      <w:pPr>
        <w:pStyle w:val="31"/>
        <w:ind w:firstLine="0" w:firstLineChars="0"/>
        <w:rPr>
          <w:rFonts w:hint="eastAsia" w:ascii="仿宋_GB2312" w:eastAsia="仿宋_GB2312" w:cs="仿宋_GB2312"/>
          <w:b/>
          <w:color w:val="auto"/>
          <w:sz w:val="28"/>
          <w:szCs w:val="28"/>
          <w:highlight w:val="none"/>
        </w:rPr>
      </w:pPr>
    </w:p>
    <w:p w14:paraId="461EDA23">
      <w:pPr>
        <w:spacing w:beforeAutospacing="1"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注：本合同仅为合同的参考文本，合同签订双方可根据项目的具体要求进行修订，但不得偏离实质性条款。</w:t>
      </w:r>
    </w:p>
    <w:p w14:paraId="6465572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仿宋_GB2312" w:eastAsia="仿宋_GB2312" w:cs="仿宋_GB2312"/>
          <w:b/>
          <w:color w:val="auto"/>
          <w:sz w:val="30"/>
          <w:szCs w:val="30"/>
          <w:highlight w:val="none"/>
        </w:rPr>
      </w:pPr>
      <w:r>
        <w:rPr>
          <w:rFonts w:hint="eastAsia" w:ascii="华文中宋" w:hAnsi="华文中宋" w:eastAsia="华文中宋" w:cs="华文中宋"/>
          <w:b/>
          <w:color w:val="auto"/>
          <w:sz w:val="32"/>
          <w:szCs w:val="32"/>
          <w:highlight w:val="none"/>
        </w:rPr>
        <w:t>中山大学孙逸仙纪念医院合同</w:t>
      </w:r>
    </w:p>
    <w:p w14:paraId="54152E1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20666AE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）：中山大学孙逸仙纪念医院</w:t>
      </w:r>
    </w:p>
    <w:p w14:paraId="0737ABE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乙方（成交方）：</w:t>
      </w:r>
    </w:p>
    <w:p w14:paraId="4390134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auto"/>
          <w:sz w:val="24"/>
          <w:szCs w:val="24"/>
          <w:highlight w:val="none"/>
        </w:rPr>
      </w:pPr>
    </w:p>
    <w:p w14:paraId="28467D80">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声明：</w:t>
      </w:r>
    </w:p>
    <w:p w14:paraId="33497024">
      <w:pPr>
        <w:keepNext w:val="0"/>
        <w:keepLines w:val="0"/>
        <w:pageBreakBefore w:val="0"/>
        <w:widowControl w:val="0"/>
        <w:kinsoku/>
        <w:wordWrap/>
        <w:overflowPunct/>
        <w:topLinePunct w:val="0"/>
        <w:autoSpaceDE/>
        <w:autoSpaceDN/>
        <w:bidi w:val="0"/>
        <w:adjustRightInd/>
        <w:snapToGrid/>
        <w:spacing w:beforeAutospacing="0" w:line="360"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依据《中华人民共和国民法典》的规定</w:t>
      </w:r>
      <w:r>
        <w:rPr>
          <w:rFonts w:hint="eastAsia" w:ascii="仿宋" w:hAnsi="仿宋" w:eastAsia="仿宋" w:cs="仿宋"/>
          <w:b w:val="0"/>
          <w:bCs/>
          <w:color w:val="auto"/>
          <w:kern w:val="2"/>
          <w:sz w:val="24"/>
          <w:szCs w:val="24"/>
          <w:highlight w:val="none"/>
          <w:lang w:val="en-US" w:eastAsia="zh-CN" w:bidi="ar-SA"/>
        </w:rPr>
        <w:t>以及有关规定</w:t>
      </w:r>
      <w:r>
        <w:rPr>
          <w:rFonts w:hint="eastAsia" w:ascii="仿宋" w:hAnsi="仿宋" w:eastAsia="仿宋" w:cs="仿宋"/>
          <w:color w:val="auto"/>
          <w:sz w:val="24"/>
          <w:szCs w:val="24"/>
          <w:highlight w:val="none"/>
          <w:lang w:eastAsia="zh-CN"/>
        </w:rPr>
        <w:t xml:space="preserve">，经友好协商，合同双方就 </w:t>
      </w:r>
      <w:r>
        <w:rPr>
          <w:rFonts w:hint="eastAsia" w:ascii="仿宋" w:hAnsi="仿宋" w:eastAsia="仿宋" w:cs="仿宋"/>
          <w:color w:val="auto"/>
          <w:sz w:val="24"/>
          <w:szCs w:val="24"/>
          <w:highlight w:val="none"/>
          <w:u w:val="single"/>
          <w:lang w:eastAsia="zh-CN"/>
        </w:rPr>
        <w:t>“多组学测序揭示放射性脑病损伤机制的研究（空间组、单细胞转录组、蛋白质组和代谢组）检测分析技术服务”</w:t>
      </w:r>
      <w:r>
        <w:rPr>
          <w:rFonts w:hint="eastAsia" w:ascii="仿宋" w:hAnsi="仿宋" w:eastAsia="仿宋" w:cs="仿宋"/>
          <w:color w:val="auto"/>
          <w:sz w:val="24"/>
          <w:szCs w:val="24"/>
          <w:highlight w:val="none"/>
          <w:lang w:eastAsia="zh-CN"/>
        </w:rPr>
        <w:t>项目签订本合同。</w:t>
      </w:r>
    </w:p>
    <w:p w14:paraId="235FEA5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除非另有约定，本合同使用的下列术语应具有如下界定的含义：</w:t>
      </w:r>
    </w:p>
    <w:p w14:paraId="201E7BEA">
      <w:pPr>
        <w:keepNext w:val="0"/>
        <w:keepLines w:val="0"/>
        <w:pageBreakBefore w:val="0"/>
        <w:widowControl w:val="0"/>
        <w:numPr>
          <w:ilvl w:val="0"/>
          <w:numId w:val="85"/>
        </w:numPr>
        <w:kinsoku/>
        <w:wordWrap/>
        <w:overflowPunct/>
        <w:topLinePunct w:val="0"/>
        <w:autoSpaceDE/>
        <w:autoSpaceDN/>
        <w:bidi w:val="0"/>
        <w:adjustRightInd/>
        <w:snapToGrid/>
        <w:spacing w:beforeAutospacing="0" w:line="360" w:lineRule="auto"/>
        <w:ind w:leftChars="0" w:firstLine="480" w:firstLineChars="200"/>
        <w:textAlignment w:val="auto"/>
        <w:rPr>
          <w:rFonts w:hint="eastAsia" w:ascii="仿宋" w:hAnsi="仿宋" w:eastAsia="仿宋" w:cs="仿宋"/>
          <w:color w:val="auto"/>
          <w:sz w:val="24"/>
          <w:szCs w:val="24"/>
          <w:highlight w:val="none"/>
          <w:lang w:eastAsia="zh-CN"/>
        </w:rPr>
      </w:pPr>
      <w:bookmarkStart w:id="20" w:name="_Hlk111631747"/>
      <w:r>
        <w:rPr>
          <w:rFonts w:hint="eastAsia" w:ascii="仿宋" w:hAnsi="仿宋" w:eastAsia="仿宋" w:cs="仿宋"/>
          <w:color w:val="auto"/>
          <w:sz w:val="24"/>
          <w:szCs w:val="24"/>
          <w:highlight w:val="none"/>
          <w:lang w:eastAsia="zh-CN"/>
        </w:rPr>
        <w:t>“合同”或“本合同”：指本合同正文</w:t>
      </w:r>
      <w:bookmarkEnd w:id="20"/>
      <w:r>
        <w:rPr>
          <w:rFonts w:hint="eastAsia" w:ascii="仿宋" w:hAnsi="仿宋" w:eastAsia="仿宋" w:cs="仿宋"/>
          <w:color w:val="auto"/>
          <w:sz w:val="24"/>
          <w:szCs w:val="24"/>
          <w:highlight w:val="none"/>
          <w:lang w:eastAsia="zh-CN"/>
        </w:rPr>
        <w:t>及其附件，共同构成合同整体并相互补充；</w:t>
      </w:r>
    </w:p>
    <w:p w14:paraId="21FACDB0">
      <w:pPr>
        <w:keepNext w:val="0"/>
        <w:keepLines w:val="0"/>
        <w:pageBreakBefore w:val="0"/>
        <w:widowControl w:val="0"/>
        <w:numPr>
          <w:ilvl w:val="0"/>
          <w:numId w:val="85"/>
        </w:numPr>
        <w:kinsoku/>
        <w:wordWrap/>
        <w:overflowPunct/>
        <w:topLinePunct w:val="0"/>
        <w:autoSpaceDE/>
        <w:autoSpaceDN/>
        <w:bidi w:val="0"/>
        <w:adjustRightInd/>
        <w:snapToGrid/>
        <w:spacing w:beforeAutospacing="0" w:line="360" w:lineRule="auto"/>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“成果交付”：指乙方根据本合同规定交付的服务成果：实验流程、原始数据及数据分析结果等；</w:t>
      </w:r>
    </w:p>
    <w:p w14:paraId="203661D3">
      <w:pPr>
        <w:keepNext w:val="0"/>
        <w:keepLines w:val="0"/>
        <w:pageBreakBefore w:val="0"/>
        <w:widowControl w:val="0"/>
        <w:numPr>
          <w:ilvl w:val="0"/>
          <w:numId w:val="85"/>
        </w:numPr>
        <w:kinsoku/>
        <w:wordWrap/>
        <w:overflowPunct/>
        <w:topLinePunct w:val="0"/>
        <w:autoSpaceDE/>
        <w:autoSpaceDN/>
        <w:bidi w:val="0"/>
        <w:adjustRightInd/>
        <w:snapToGrid/>
        <w:spacing w:beforeAutospacing="0" w:line="360" w:lineRule="auto"/>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障碍”：指在乙方现有条件下无法克服的技术问题，包括但不限于因合同约定的技术方法、技术路线、履行合同所使用的设备、仪器、软件等本身的缺陷或局限性、生物特性、生物个体差异性等导致的无法克服的技术问题。</w:t>
      </w:r>
    </w:p>
    <w:p w14:paraId="6153980B">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技术服务内容：</w:t>
      </w:r>
    </w:p>
    <w:p w14:paraId="5EFCD2C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乙方对甲方提供的生物样本，提供以下四个组学的技术服务。服务项目</w:t>
      </w:r>
      <w:r>
        <w:rPr>
          <w:rFonts w:hint="eastAsia" w:ascii="仿宋" w:hAnsi="仿宋" w:eastAsia="仿宋" w:cs="仿宋"/>
          <w:color w:val="auto"/>
          <w:sz w:val="24"/>
          <w:szCs w:val="24"/>
          <w:highlight w:val="none"/>
          <w:lang w:val="en-US" w:eastAsia="zh-CN"/>
        </w:rPr>
        <w:t>包括但不限于</w:t>
      </w:r>
      <w:r>
        <w:rPr>
          <w:rFonts w:hint="eastAsia" w:ascii="仿宋" w:hAnsi="仿宋" w:eastAsia="仿宋" w:cs="仿宋"/>
          <w:color w:val="auto"/>
          <w:sz w:val="24"/>
          <w:szCs w:val="24"/>
          <w:highlight w:val="none"/>
          <w:lang w:eastAsia="zh-CN"/>
        </w:rPr>
        <w:t>：</w:t>
      </w:r>
    </w:p>
    <w:p w14:paraId="3E2CA119">
      <w:pPr>
        <w:keepNext w:val="0"/>
        <w:keepLines w:val="0"/>
        <w:pageBreakBefore w:val="0"/>
        <w:widowControl w:val="0"/>
        <w:numPr>
          <w:ilvl w:val="0"/>
          <w:numId w:val="8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空间组学检测分析服务：</w:t>
      </w:r>
    </w:p>
    <w:p w14:paraId="30CEC49D">
      <w:pPr>
        <w:keepNext w:val="0"/>
        <w:keepLines w:val="0"/>
        <w:pageBreakBefore w:val="0"/>
        <w:widowControl w:val="0"/>
        <w:numPr>
          <w:ilvl w:val="0"/>
          <w:numId w:val="8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对组织样本提供质检贴片；</w:t>
      </w:r>
      <w:bookmarkStart w:id="21" w:name="_Hlk112399278"/>
    </w:p>
    <w:p w14:paraId="49390BAA">
      <w:pPr>
        <w:keepNext w:val="0"/>
        <w:keepLines w:val="0"/>
        <w:pageBreakBefore w:val="0"/>
        <w:widowControl w:val="0"/>
        <w:numPr>
          <w:ilvl w:val="0"/>
          <w:numId w:val="8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质检合格的样本进行组织固定与拍照、组织透化、文库制备、测序；</w:t>
      </w:r>
    </w:p>
    <w:p w14:paraId="60E217AA">
      <w:pPr>
        <w:keepNext w:val="0"/>
        <w:keepLines w:val="0"/>
        <w:pageBreakBefore w:val="0"/>
        <w:widowControl w:val="0"/>
        <w:numPr>
          <w:ilvl w:val="0"/>
          <w:numId w:val="8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测序下机数据进行数据质控和常规生信分析。</w:t>
      </w:r>
    </w:p>
    <w:p w14:paraId="0D8BF284">
      <w:pPr>
        <w:keepNext w:val="0"/>
        <w:keepLines w:val="0"/>
        <w:pageBreakBefore w:val="0"/>
        <w:widowControl w:val="0"/>
        <w:numPr>
          <w:ilvl w:val="0"/>
          <w:numId w:val="8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单细胞转录组测序分析服务：</w:t>
      </w:r>
    </w:p>
    <w:bookmarkEnd w:id="21"/>
    <w:p w14:paraId="7F049E88">
      <w:pPr>
        <w:keepNext w:val="0"/>
        <w:keepLines w:val="0"/>
        <w:pageBreakBefore w:val="0"/>
        <w:widowControl w:val="0"/>
        <w:numPr>
          <w:ilvl w:val="0"/>
          <w:numId w:val="88"/>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组织样本的单细胞悬液制备和质检服务；</w:t>
      </w:r>
    </w:p>
    <w:p w14:paraId="75AA166C">
      <w:pPr>
        <w:keepNext w:val="0"/>
        <w:keepLines w:val="0"/>
        <w:pageBreakBefore w:val="0"/>
        <w:widowControl w:val="0"/>
        <w:numPr>
          <w:ilvl w:val="0"/>
          <w:numId w:val="88"/>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质检合格的样本进行高通量单细胞平台建库,使用高通量测序平台进行测序，要求测序策略为双端150pb，即PE150；</w:t>
      </w:r>
    </w:p>
    <w:p w14:paraId="7329F0BC">
      <w:pPr>
        <w:keepNext w:val="0"/>
        <w:keepLines w:val="0"/>
        <w:pageBreakBefore w:val="0"/>
        <w:widowControl w:val="0"/>
        <w:numPr>
          <w:ilvl w:val="0"/>
          <w:numId w:val="88"/>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测序下机数据进行数据质控和常规生信分析。</w:t>
      </w:r>
    </w:p>
    <w:p w14:paraId="0B12314F">
      <w:pPr>
        <w:keepNext w:val="0"/>
        <w:keepLines w:val="0"/>
        <w:pageBreakBefore w:val="0"/>
        <w:widowControl w:val="0"/>
        <w:numPr>
          <w:ilvl w:val="0"/>
          <w:numId w:val="8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4D-DIA蛋白质组学检测分析服务：</w:t>
      </w:r>
    </w:p>
    <w:p w14:paraId="5A7E2765">
      <w:pPr>
        <w:keepNext w:val="0"/>
        <w:keepLines w:val="0"/>
        <w:pageBreakBefore w:val="0"/>
        <w:widowControl w:val="0"/>
        <w:numPr>
          <w:ilvl w:val="0"/>
          <w:numId w:val="89"/>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人源全血样本的总蛋白提取、质检；</w:t>
      </w:r>
    </w:p>
    <w:p w14:paraId="6278CC6C">
      <w:pPr>
        <w:keepNext w:val="0"/>
        <w:keepLines w:val="0"/>
        <w:pageBreakBefore w:val="0"/>
        <w:widowControl w:val="0"/>
        <w:numPr>
          <w:ilvl w:val="0"/>
          <w:numId w:val="89"/>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质检合格的蛋白质样本进行4D-DIA蛋白质组学检测；</w:t>
      </w:r>
    </w:p>
    <w:p w14:paraId="64C05FAF">
      <w:pPr>
        <w:keepNext w:val="0"/>
        <w:keepLines w:val="0"/>
        <w:pageBreakBefore w:val="0"/>
        <w:widowControl w:val="0"/>
        <w:numPr>
          <w:ilvl w:val="0"/>
          <w:numId w:val="89"/>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质谱谱下机数据进行数据质控和常规生信分析。</w:t>
      </w:r>
    </w:p>
    <w:p w14:paraId="060937A4">
      <w:pPr>
        <w:keepNext w:val="0"/>
        <w:keepLines w:val="0"/>
        <w:pageBreakBefore w:val="0"/>
        <w:widowControl w:val="0"/>
        <w:numPr>
          <w:ilvl w:val="0"/>
          <w:numId w:val="8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高通量靶向代谢脂质检测分析服务：</w:t>
      </w:r>
    </w:p>
    <w:p w14:paraId="478FCA53">
      <w:pPr>
        <w:keepNext w:val="0"/>
        <w:keepLines w:val="0"/>
        <w:pageBreakBefore w:val="0"/>
        <w:widowControl w:val="0"/>
        <w:numPr>
          <w:ilvl w:val="0"/>
          <w:numId w:val="9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人源全血样本的前处理；</w:t>
      </w:r>
    </w:p>
    <w:p w14:paraId="0537B4FE">
      <w:pPr>
        <w:keepNext w:val="0"/>
        <w:keepLines w:val="0"/>
        <w:pageBreakBefore w:val="0"/>
        <w:widowControl w:val="0"/>
        <w:numPr>
          <w:ilvl w:val="0"/>
          <w:numId w:val="9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处理后的样本进行高通量靶向代谢脂质检测；</w:t>
      </w:r>
    </w:p>
    <w:p w14:paraId="36996BC8">
      <w:pPr>
        <w:keepNext w:val="0"/>
        <w:keepLines w:val="0"/>
        <w:pageBreakBefore w:val="0"/>
        <w:widowControl w:val="0"/>
        <w:numPr>
          <w:ilvl w:val="0"/>
          <w:numId w:val="9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质谱谱下机数据进行数据质控和常规生信分析。</w:t>
      </w:r>
    </w:p>
    <w:p w14:paraId="36C8B145">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质量验收标准：</w:t>
      </w:r>
    </w:p>
    <w:p w14:paraId="4C458732">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空间组学检测：</w:t>
      </w:r>
    </w:p>
    <w:p w14:paraId="62577A90">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使用高通量测序平台进行测序，测序策略为双端150pb，即PE150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测序深度≥50k read pairs /spot，过滤数据的质量值Q30(%)≥85%，测序饱和度&gt;50%</w:t>
      </w:r>
      <w:r>
        <w:rPr>
          <w:rFonts w:hint="eastAsia" w:ascii="仿宋" w:hAnsi="仿宋" w:eastAsia="仿宋" w:cs="仿宋"/>
          <w:color w:val="auto"/>
          <w:sz w:val="24"/>
          <w:szCs w:val="24"/>
          <w:highlight w:val="none"/>
          <w:lang w:eastAsia="zh-CN"/>
        </w:rPr>
        <w:t>；</w:t>
      </w:r>
    </w:p>
    <w:p w14:paraId="36077287">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下机后的数据，过滤后的序列比例&gt;70%；唯一比对率序列比例&gt;50%；</w:t>
      </w:r>
    </w:p>
    <w:p w14:paraId="60451B60">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注释到参考基因组的序列比例&gt;60%；</w:t>
      </w:r>
    </w:p>
    <w:p w14:paraId="53CA2F23">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bin50分辨率下平均基因类型&gt;400；</w:t>
      </w:r>
    </w:p>
    <w:p w14:paraId="2034F444">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bin50分辨率下平均MID&gt;500；</w:t>
      </w:r>
    </w:p>
    <w:p w14:paraId="11912682">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Bin200分辨率下平均基因数&gt;1000；</w:t>
      </w:r>
    </w:p>
    <w:p w14:paraId="76435604">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不相关短序列比例＜10%；</w:t>
      </w:r>
    </w:p>
    <w:p w14:paraId="13D99E74">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未比对到参考基因组的序列比例＜20%；</w:t>
      </w:r>
    </w:p>
    <w:p w14:paraId="62779550">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组织中MID占唯一比对序列的比例&gt;50%</w:t>
      </w:r>
      <w:r>
        <w:rPr>
          <w:rFonts w:hint="eastAsia" w:ascii="仿宋" w:hAnsi="仿宋" w:eastAsia="仿宋" w:cs="仿宋"/>
          <w:color w:val="auto"/>
          <w:sz w:val="24"/>
          <w:szCs w:val="24"/>
          <w:highlight w:val="none"/>
          <w:lang w:eastAsia="zh-CN"/>
        </w:rPr>
        <w:t>；</w:t>
      </w:r>
    </w:p>
    <w:p w14:paraId="22606EEB">
      <w:pPr>
        <w:keepNext w:val="0"/>
        <w:keepLines w:val="0"/>
        <w:pageBreakBefore w:val="0"/>
        <w:widowControl w:val="0"/>
        <w:numPr>
          <w:ilvl w:val="0"/>
          <w:numId w:val="92"/>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交付所有实验报告、测序原始数据，及分析结果和报告。</w:t>
      </w:r>
    </w:p>
    <w:p w14:paraId="0F604D30">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单细胞转录组测序：</w:t>
      </w:r>
    </w:p>
    <w:p w14:paraId="538B0637">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使用高通量测序平台进行</w:t>
      </w:r>
      <w:r>
        <w:rPr>
          <w:rFonts w:hint="eastAsia" w:ascii="仿宋" w:hAnsi="仿宋" w:eastAsia="仿宋" w:cs="仿宋"/>
          <w:color w:val="auto"/>
          <w:sz w:val="24"/>
          <w:szCs w:val="24"/>
          <w:highlight w:val="none"/>
          <w:lang w:eastAsia="zh-CN"/>
        </w:rPr>
        <w:t>进行 PE150 测序；</w:t>
      </w:r>
    </w:p>
    <w:p w14:paraId="3BF277DC">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文库质检合格后，每个转录组文库测序数据量≥150G；</w:t>
      </w:r>
    </w:p>
    <w:p w14:paraId="0DA1F165">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 Q30≥85%，无 GC 分离；</w:t>
      </w:r>
    </w:p>
    <w:p w14:paraId="1570D86E">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测序饱和度≥80%；</w:t>
      </w:r>
    </w:p>
    <w:p w14:paraId="40CA806E">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捕获</w:t>
      </w:r>
      <w:r>
        <w:rPr>
          <w:rFonts w:hint="eastAsia" w:ascii="仿宋" w:hAnsi="仿宋" w:eastAsia="仿宋" w:cs="仿宋"/>
          <w:color w:val="auto"/>
          <w:sz w:val="24"/>
          <w:szCs w:val="24"/>
          <w:highlight w:val="none"/>
          <w:lang w:eastAsia="zh-CN"/>
        </w:rPr>
        <w:t>的细胞数至少 10000 个，最终结果波动范围须在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15%之内；细胞捕获数量在标准捕获10000个细胞的60%-85%之间，需在实验报告中标注“接近下限风险”。</w:t>
      </w:r>
      <w:r>
        <w:rPr>
          <w:rFonts w:hint="eastAsia" w:ascii="仿宋" w:hAnsi="仿宋" w:eastAsia="仿宋" w:cs="仿宋"/>
          <w:color w:val="auto"/>
          <w:sz w:val="24"/>
          <w:szCs w:val="24"/>
          <w:highlight w:val="none"/>
          <w:lang w:val="en-US" w:eastAsia="zh-CN"/>
        </w:rPr>
        <w:t>甲方有权要求</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对样本</w:t>
      </w:r>
      <w:r>
        <w:rPr>
          <w:rFonts w:hint="eastAsia" w:ascii="仿宋" w:hAnsi="仿宋" w:eastAsia="仿宋" w:cs="仿宋"/>
          <w:color w:val="auto"/>
          <w:sz w:val="24"/>
          <w:highlight w:val="none"/>
          <w:lang w:val="en-US" w:eastAsia="zh-CN"/>
        </w:rPr>
        <w:t>进行</w:t>
      </w:r>
      <w:r>
        <w:rPr>
          <w:rFonts w:hint="eastAsia" w:ascii="仿宋" w:hAnsi="仿宋" w:eastAsia="仿宋" w:cs="仿宋"/>
          <w:color w:val="auto"/>
          <w:sz w:val="24"/>
          <w:highlight w:val="none"/>
        </w:rPr>
        <w:t>重做(4)（该费用已包含在</w:t>
      </w:r>
      <w:r>
        <w:rPr>
          <w:rFonts w:hint="eastAsia" w:ascii="仿宋" w:hAnsi="仿宋" w:eastAsia="仿宋" w:cs="仿宋"/>
          <w:color w:val="auto"/>
          <w:sz w:val="24"/>
          <w:highlight w:val="none"/>
          <w:lang w:val="en-US" w:eastAsia="zh-CN"/>
        </w:rPr>
        <w:t>合同总</w:t>
      </w:r>
      <w:r>
        <w:rPr>
          <w:rFonts w:hint="eastAsia" w:ascii="仿宋" w:hAnsi="仿宋" w:eastAsia="仿宋" w:cs="仿宋"/>
          <w:color w:val="auto"/>
          <w:sz w:val="24"/>
          <w:highlight w:val="none"/>
        </w:rPr>
        <w:t>价中，</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不再另行支付）。</w:t>
      </w:r>
    </w:p>
    <w:p w14:paraId="7D22D570">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基因中位数≥1500，测序饱和度≥80%；</w:t>
      </w:r>
    </w:p>
    <w:p w14:paraId="7C7DE70D">
      <w:pPr>
        <w:keepNext w:val="0"/>
        <w:keepLines w:val="0"/>
        <w:pageBreakBefore w:val="0"/>
        <w:widowControl w:val="0"/>
        <w:numPr>
          <w:ilvl w:val="0"/>
          <w:numId w:val="93"/>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交付所有测序原始数据以及 cleandata 记录报告及结果；</w:t>
      </w:r>
      <w:r>
        <w:rPr>
          <w:rFonts w:hint="eastAsia" w:ascii="仿宋" w:hAnsi="仿宋" w:eastAsia="仿宋" w:cs="仿宋"/>
          <w:color w:val="auto"/>
          <w:sz w:val="24"/>
          <w:szCs w:val="24"/>
          <w:highlight w:val="none"/>
        </w:rPr>
        <w:t xml:space="preserve">  </w:t>
      </w:r>
    </w:p>
    <w:p w14:paraId="0515E768">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4D-DIA蛋白质组检测：</w:t>
      </w:r>
    </w:p>
    <w:p w14:paraId="02FE2FD8">
      <w:pPr>
        <w:keepNext w:val="0"/>
        <w:keepLines w:val="0"/>
        <w:pageBreakBefore w:val="0"/>
        <w:widowControl w:val="0"/>
        <w:numPr>
          <w:ilvl w:val="0"/>
          <w:numId w:val="94"/>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鉴定到的蛋白数量不低于5000种，通过质控的蛋白数量不低于4500种；</w:t>
      </w:r>
    </w:p>
    <w:p w14:paraId="345B3E73">
      <w:pPr>
        <w:keepNext w:val="0"/>
        <w:keepLines w:val="0"/>
        <w:pageBreakBefore w:val="0"/>
        <w:widowControl w:val="0"/>
        <w:numPr>
          <w:ilvl w:val="0"/>
          <w:numId w:val="94"/>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混合QC样本相关性要求大于95%，标准样本相关性要求大于98%；</w:t>
      </w:r>
    </w:p>
    <w:p w14:paraId="2B778810">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高通量靶向代谢脂质全谱检测：</w:t>
      </w:r>
    </w:p>
    <w:p w14:paraId="66B82280">
      <w:pPr>
        <w:keepNext w:val="0"/>
        <w:keepLines w:val="0"/>
        <w:pageBreakBefore w:val="0"/>
        <w:widowControl w:val="0"/>
        <w:numPr>
          <w:ilvl w:val="0"/>
          <w:numId w:val="95"/>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检测覆盖的中性极性内源代谢物不少于600种，覆盖的脂质不少于1400种；</w:t>
      </w:r>
    </w:p>
    <w:p w14:paraId="23AB8FD4">
      <w:pPr>
        <w:keepNext w:val="0"/>
        <w:keepLines w:val="0"/>
        <w:pageBreakBefore w:val="0"/>
        <w:widowControl w:val="0"/>
        <w:numPr>
          <w:ilvl w:val="0"/>
          <w:numId w:val="95"/>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混合QC样本相关性要求大于95%，环境质控样本相关性要求大于95%。</w:t>
      </w:r>
    </w:p>
    <w:p w14:paraId="68CFC2AD">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上述第1-第4点所涉及的数据要求、验收要求，均属理论层面的规范标准。在实际项目推进过程中，甲方将依据具体情境与实际需求，对相关数据要求进行灵活调整。乙方须秉持合作态度，无条件配合并接受上述调整安排，且甲方不会就此类调整额外支付任何费用。</w:t>
      </w:r>
    </w:p>
    <w:p w14:paraId="6E0E22C7">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对于数据质量不满足于</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质量验收标准</w:t>
      </w:r>
      <w:r>
        <w:rPr>
          <w:rFonts w:hint="eastAsia" w:ascii="仿宋" w:hAnsi="仿宋" w:eastAsia="仿宋" w:cs="仿宋"/>
          <w:color w:val="auto"/>
          <w:sz w:val="24"/>
          <w:szCs w:val="24"/>
          <w:highlight w:val="none"/>
          <w:lang w:eastAsia="zh-CN"/>
        </w:rPr>
        <w:t>”的样本，</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必须重做建库、</w:t>
      </w:r>
      <w:r>
        <w:rPr>
          <w:rFonts w:hint="eastAsia" w:ascii="仿宋" w:hAnsi="仿宋" w:eastAsia="仿宋" w:cs="仿宋"/>
          <w:color w:val="auto"/>
          <w:sz w:val="24"/>
          <w:szCs w:val="24"/>
          <w:highlight w:val="none"/>
          <w:lang w:val="en-US" w:eastAsia="zh-CN"/>
        </w:rPr>
        <w:t>检测</w:t>
      </w:r>
      <w:r>
        <w:rPr>
          <w:rFonts w:hint="eastAsia" w:ascii="仿宋" w:hAnsi="仿宋" w:eastAsia="仿宋" w:cs="仿宋"/>
          <w:color w:val="auto"/>
          <w:sz w:val="24"/>
          <w:szCs w:val="24"/>
          <w:highlight w:val="none"/>
          <w:lang w:eastAsia="zh-CN"/>
        </w:rPr>
        <w:t>直至符合质</w:t>
      </w:r>
      <w:r>
        <w:rPr>
          <w:rFonts w:hint="eastAsia" w:ascii="仿宋" w:hAnsi="仿宋" w:eastAsia="仿宋" w:cs="仿宋"/>
          <w:color w:val="auto"/>
          <w:sz w:val="24"/>
          <w:szCs w:val="24"/>
          <w:highlight w:val="none"/>
          <w:lang w:val="en-US" w:eastAsia="zh-CN"/>
        </w:rPr>
        <w:t>量</w:t>
      </w:r>
      <w:r>
        <w:rPr>
          <w:rFonts w:hint="eastAsia" w:ascii="仿宋" w:hAnsi="仿宋" w:eastAsia="仿宋" w:cs="仿宋"/>
          <w:color w:val="auto"/>
          <w:sz w:val="24"/>
          <w:szCs w:val="24"/>
          <w:highlight w:val="none"/>
          <w:lang w:eastAsia="zh-CN"/>
        </w:rPr>
        <w:t>要求。该费用已包含在</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lang w:eastAsia="zh-CN"/>
        </w:rPr>
        <w:t>报价中，</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不再另行支付</w:t>
      </w: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以采购需求为准。</w:t>
      </w:r>
    </w:p>
    <w:p w14:paraId="6B66BEA6">
      <w:pPr>
        <w:keepNext w:val="0"/>
        <w:keepLines w:val="0"/>
        <w:pageBreakBefore w:val="0"/>
        <w:widowControl w:val="0"/>
        <w:numPr>
          <w:ilvl w:val="0"/>
          <w:numId w:val="9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若连续3次实验结果低于</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甲方有权认定乙方不符合本项目的技术要求，</w:t>
      </w:r>
      <w:r>
        <w:rPr>
          <w:rFonts w:hint="eastAsia" w:ascii="仿宋" w:hAnsi="仿宋" w:eastAsia="仿宋" w:cs="仿宋"/>
          <w:color w:val="auto"/>
          <w:sz w:val="24"/>
          <w:szCs w:val="24"/>
          <w:highlight w:val="none"/>
          <w:lang w:eastAsia="zh-CN"/>
        </w:rPr>
        <w:t>视为重大违约，</w:t>
      </w:r>
      <w:r>
        <w:rPr>
          <w:rFonts w:hint="eastAsia" w:ascii="仿宋" w:hAnsi="仿宋" w:eastAsia="仿宋" w:cs="仿宋"/>
          <w:color w:val="auto"/>
          <w:sz w:val="24"/>
          <w:szCs w:val="24"/>
          <w:highlight w:val="none"/>
          <w:lang w:val="en-US" w:eastAsia="zh-CN"/>
        </w:rPr>
        <w:t>甲方有权要求乙方进行整改，有权要求乙方在整改期间</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按日</w:t>
      </w:r>
      <w:r>
        <w:rPr>
          <w:rFonts w:hint="eastAsia" w:ascii="仿宋" w:hAnsi="仿宋" w:eastAsia="仿宋" w:cs="仿宋"/>
          <w:color w:val="auto"/>
          <w:sz w:val="24"/>
          <w:szCs w:val="24"/>
          <w:highlight w:val="none"/>
          <w:lang w:eastAsia="zh-CN"/>
        </w:rPr>
        <w:t>支付合同金额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‰的违约金，</w:t>
      </w:r>
      <w:r>
        <w:rPr>
          <w:rFonts w:hint="eastAsia" w:ascii="仿宋" w:hAnsi="仿宋" w:eastAsia="仿宋" w:cs="仿宋"/>
          <w:color w:val="auto"/>
          <w:sz w:val="24"/>
          <w:szCs w:val="24"/>
          <w:highlight w:val="none"/>
          <w:lang w:val="en-US" w:eastAsia="zh-CN"/>
        </w:rPr>
        <w:t>直至整改结束。如30个日历日内仍未整改完成，甲方有权无条件解除合同，并将乙方列入“中山大学孙逸仙纪念医院失信供应商名单”。具体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以采购需求为准。</w:t>
      </w:r>
    </w:p>
    <w:p w14:paraId="2303D67C">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硬件配置要求：</w:t>
      </w:r>
    </w:p>
    <w:p w14:paraId="450F5801">
      <w:pPr>
        <w:keepNext w:val="0"/>
        <w:keepLines w:val="0"/>
        <w:pageBreakBefore w:val="0"/>
        <w:widowControl w:val="0"/>
        <w:numPr>
          <w:ilvl w:val="0"/>
          <w:numId w:val="9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须具备空间转录组测序平台仪器及相应的试剂、流式细胞仪和常规分子实验仪器；</w:t>
      </w:r>
    </w:p>
    <w:p w14:paraId="1E427DA3">
      <w:pPr>
        <w:keepNext w:val="0"/>
        <w:keepLines w:val="0"/>
        <w:pageBreakBefore w:val="0"/>
        <w:widowControl w:val="0"/>
        <w:numPr>
          <w:ilvl w:val="0"/>
          <w:numId w:val="9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须具备相应单细胞捕获平台仪器及相应的试剂；</w:t>
      </w:r>
    </w:p>
    <w:p w14:paraId="38FA66FE">
      <w:pPr>
        <w:keepNext w:val="0"/>
        <w:keepLines w:val="0"/>
        <w:pageBreakBefore w:val="0"/>
        <w:widowControl w:val="0"/>
        <w:numPr>
          <w:ilvl w:val="0"/>
          <w:numId w:val="96"/>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color w:val="auto"/>
          <w:highlight w:val="none"/>
          <w:lang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供应商须具备采用液相色谱串联三重四级杆质谱联用仪。</w:t>
      </w:r>
    </w:p>
    <w:p w14:paraId="07B96C78">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eastAsia="zh-CN"/>
        </w:rPr>
      </w:pPr>
      <w:bookmarkStart w:id="22" w:name="_Hlk112400756"/>
      <w:r>
        <w:rPr>
          <w:rFonts w:hint="eastAsia" w:ascii="仿宋" w:hAnsi="仿宋" w:eastAsia="仿宋" w:cs="仿宋"/>
          <w:b/>
          <w:color w:val="auto"/>
          <w:sz w:val="24"/>
          <w:szCs w:val="24"/>
          <w:highlight w:val="none"/>
          <w:lang w:val="en-US" w:eastAsia="zh-CN"/>
        </w:rPr>
        <w:t>服务</w:t>
      </w:r>
      <w:bookmarkEnd w:id="22"/>
      <w:r>
        <w:rPr>
          <w:rFonts w:hint="eastAsia" w:ascii="仿宋" w:hAnsi="仿宋" w:eastAsia="仿宋" w:cs="仿宋"/>
          <w:b/>
          <w:color w:val="auto"/>
          <w:sz w:val="24"/>
          <w:szCs w:val="24"/>
          <w:highlight w:val="none"/>
          <w:lang w:val="en-US" w:eastAsia="zh-CN"/>
        </w:rPr>
        <w:t>要求</w:t>
      </w:r>
      <w:r>
        <w:rPr>
          <w:rFonts w:hint="eastAsia" w:ascii="仿宋" w:hAnsi="仿宋" w:eastAsia="仿宋" w:cs="仿宋"/>
          <w:b/>
          <w:color w:val="auto"/>
          <w:sz w:val="24"/>
          <w:szCs w:val="24"/>
          <w:highlight w:val="none"/>
          <w:lang w:eastAsia="zh-CN"/>
        </w:rPr>
        <w:t>：</w:t>
      </w:r>
    </w:p>
    <w:p w14:paraId="6D05F823">
      <w:pPr>
        <w:keepNext w:val="0"/>
        <w:keepLines w:val="0"/>
        <w:pageBreakBefore w:val="0"/>
        <w:widowControl w:val="0"/>
        <w:numPr>
          <w:ilvl w:val="0"/>
          <w:numId w:val="9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项目服务期限：自合同生效之日起</w:t>
      </w:r>
      <w:r>
        <w:rPr>
          <w:rFonts w:hint="eastAsia" w:ascii="仿宋" w:hAnsi="仿宋" w:eastAsia="仿宋" w:cs="仿宋"/>
          <w:color w:val="auto"/>
          <w:sz w:val="24"/>
          <w:szCs w:val="24"/>
          <w:highlight w:val="none"/>
          <w:lang w:val="en-US" w:eastAsia="zh-CN"/>
        </w:rPr>
        <w:t>至课题研究项目结束之日为止</w:t>
      </w:r>
      <w:r>
        <w:rPr>
          <w:rFonts w:hint="eastAsia" w:ascii="仿宋" w:hAnsi="仿宋" w:eastAsia="仿宋" w:cs="仿宋"/>
          <w:color w:val="auto"/>
          <w:sz w:val="24"/>
          <w:szCs w:val="24"/>
          <w:highlight w:val="none"/>
          <w:lang w:eastAsia="zh-CN"/>
        </w:rPr>
        <w:t>或采购金额达到采购预算时止，以两者先到者为准。</w:t>
      </w:r>
    </w:p>
    <w:p w14:paraId="2E0253A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课题研究项目结束之日，原则上以甲方实际收到结题证书或结题批复文件的日期为准。</w:t>
      </w:r>
    </w:p>
    <w:p w14:paraId="643414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Chars="200"/>
        <w:textAlignment w:val="auto"/>
        <w:rPr>
          <w:rFonts w:hint="default"/>
          <w:highlight w:val="none"/>
          <w:lang w:val="en-US" w:eastAsia="zh-CN"/>
        </w:rPr>
      </w:pPr>
      <w:r>
        <w:rPr>
          <w:rFonts w:hint="eastAsia" w:ascii="仿宋" w:hAnsi="仿宋" w:eastAsia="仿宋" w:cs="仿宋"/>
          <w:color w:val="auto"/>
          <w:sz w:val="24"/>
          <w:szCs w:val="24"/>
          <w:highlight w:val="none"/>
          <w:lang w:val="en-US" w:eastAsia="zh-CN"/>
        </w:rPr>
        <w:t>项目采购预算：人民币￥986,000.00元</w:t>
      </w:r>
    </w:p>
    <w:p w14:paraId="6F82F0C3">
      <w:pPr>
        <w:keepNext w:val="0"/>
        <w:keepLines w:val="0"/>
        <w:pageBreakBefore w:val="0"/>
        <w:widowControl w:val="0"/>
        <w:numPr>
          <w:ilvl w:val="0"/>
          <w:numId w:val="9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合同签订后，乙方在收到甲方提供的样本、样本信息单及预付款之后立即开展实验；</w:t>
      </w:r>
    </w:p>
    <w:p w14:paraId="2B692304">
      <w:pPr>
        <w:keepNext w:val="0"/>
        <w:keepLines w:val="0"/>
        <w:pageBreakBefore w:val="0"/>
        <w:widowControl w:val="0"/>
        <w:numPr>
          <w:ilvl w:val="0"/>
          <w:numId w:val="9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各服务节点完成期限：</w:t>
      </w:r>
    </w:p>
    <w:p w14:paraId="6602D9BD">
      <w:pPr>
        <w:keepNext w:val="0"/>
        <w:keepLines w:val="0"/>
        <w:pageBreakBefore w:val="0"/>
        <w:widowControl w:val="0"/>
        <w:numPr>
          <w:ilvl w:val="0"/>
          <w:numId w:val="98"/>
        </w:numPr>
        <w:kinsoku/>
        <w:wordWrap/>
        <w:overflowPunct/>
        <w:topLinePunct w:val="0"/>
        <w:autoSpaceDE/>
        <w:autoSpaceDN/>
        <w:bidi w:val="0"/>
        <w:adjustRightInd/>
        <w:snapToGrid/>
        <w:spacing w:beforeAutospacing="0" w:line="360" w:lineRule="auto"/>
        <w:ind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样本提取、质检和前处理：不多于3周</w:t>
      </w:r>
      <w:r>
        <w:rPr>
          <w:rFonts w:hint="eastAsia" w:ascii="仿宋" w:hAnsi="仿宋" w:eastAsia="仿宋" w:cs="仿宋"/>
          <w:color w:val="auto"/>
          <w:sz w:val="24"/>
          <w:szCs w:val="24"/>
          <w:highlight w:val="none"/>
          <w:lang w:val="en-US" w:eastAsia="zh-CN"/>
        </w:rPr>
        <w:t>完成</w:t>
      </w:r>
      <w:r>
        <w:rPr>
          <w:rFonts w:hint="eastAsia" w:ascii="仿宋" w:hAnsi="仿宋" w:eastAsia="仿宋" w:cs="仿宋"/>
          <w:color w:val="auto"/>
          <w:sz w:val="24"/>
          <w:szCs w:val="24"/>
          <w:highlight w:val="none"/>
          <w:lang w:eastAsia="zh-CN"/>
        </w:rPr>
        <w:t xml:space="preserve">（15个工作日）； </w:t>
      </w:r>
    </w:p>
    <w:p w14:paraId="0D5B5963">
      <w:pPr>
        <w:keepNext w:val="0"/>
        <w:keepLines w:val="0"/>
        <w:pageBreakBefore w:val="0"/>
        <w:widowControl w:val="0"/>
        <w:numPr>
          <w:ilvl w:val="0"/>
          <w:numId w:val="98"/>
        </w:numPr>
        <w:kinsoku/>
        <w:wordWrap/>
        <w:overflowPunct/>
        <w:topLinePunct w:val="0"/>
        <w:autoSpaceDE/>
        <w:autoSpaceDN/>
        <w:bidi w:val="0"/>
        <w:adjustRightInd/>
        <w:snapToGrid/>
        <w:spacing w:beforeAutospacing="0" w:line="360" w:lineRule="auto"/>
        <w:ind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检测实验和数据分析：样本质检合格后，2个月（45个工作日）</w:t>
      </w:r>
      <w:r>
        <w:rPr>
          <w:rFonts w:hint="eastAsia" w:ascii="仿宋" w:hAnsi="仿宋" w:eastAsia="仿宋" w:cs="仿宋"/>
          <w:color w:val="auto"/>
          <w:sz w:val="24"/>
          <w:szCs w:val="24"/>
          <w:highlight w:val="none"/>
          <w:lang w:val="en-US" w:eastAsia="zh-CN"/>
        </w:rPr>
        <w:t>完成</w:t>
      </w:r>
      <w:r>
        <w:rPr>
          <w:rFonts w:hint="eastAsia" w:ascii="仿宋" w:hAnsi="仿宋" w:eastAsia="仿宋" w:cs="仿宋"/>
          <w:color w:val="auto"/>
          <w:sz w:val="24"/>
          <w:szCs w:val="24"/>
          <w:highlight w:val="none"/>
          <w:lang w:eastAsia="zh-CN"/>
        </w:rPr>
        <w:t>；</w:t>
      </w:r>
    </w:p>
    <w:p w14:paraId="65BAD349">
      <w:pPr>
        <w:keepNext w:val="0"/>
        <w:keepLines w:val="0"/>
        <w:pageBreakBefore w:val="0"/>
        <w:widowControl w:val="0"/>
        <w:numPr>
          <w:ilvl w:val="0"/>
          <w:numId w:val="97"/>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项目完成时乙方应提供给甲方的产品及资料为：</w:t>
      </w:r>
    </w:p>
    <w:tbl>
      <w:tblPr>
        <w:tblStyle w:val="24"/>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1049"/>
        <w:gridCol w:w="1075"/>
        <w:gridCol w:w="1225"/>
        <w:gridCol w:w="2414"/>
      </w:tblGrid>
      <w:tr w14:paraId="76AE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2" w:type="dxa"/>
            <w:tcBorders>
              <w:top w:val="single" w:color="auto" w:sz="4" w:space="0"/>
              <w:left w:val="single" w:color="auto" w:sz="4" w:space="0"/>
              <w:bottom w:val="single" w:color="auto" w:sz="4" w:space="0"/>
              <w:right w:val="single" w:color="auto" w:sz="4" w:space="0"/>
            </w:tcBorders>
            <w:noWrap/>
            <w:vAlign w:val="center"/>
          </w:tcPr>
          <w:p w14:paraId="7961F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c>
          <w:tcPr>
            <w:tcW w:w="1049" w:type="dxa"/>
            <w:tcBorders>
              <w:top w:val="single" w:color="auto" w:sz="4" w:space="0"/>
              <w:left w:val="single" w:color="auto" w:sz="4" w:space="0"/>
              <w:bottom w:val="single" w:color="auto" w:sz="4" w:space="0"/>
              <w:right w:val="single" w:color="auto" w:sz="4" w:space="0"/>
            </w:tcBorders>
            <w:noWrap/>
            <w:vAlign w:val="center"/>
          </w:tcPr>
          <w:p w14:paraId="7F143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w:t>
            </w:r>
          </w:p>
        </w:tc>
        <w:tc>
          <w:tcPr>
            <w:tcW w:w="1075" w:type="dxa"/>
            <w:tcBorders>
              <w:top w:val="single" w:color="auto" w:sz="4" w:space="0"/>
              <w:left w:val="single" w:color="auto" w:sz="4" w:space="0"/>
              <w:bottom w:val="single" w:color="auto" w:sz="4" w:space="0"/>
              <w:right w:val="single" w:color="auto" w:sz="4" w:space="0"/>
            </w:tcBorders>
            <w:noWrap/>
            <w:vAlign w:val="center"/>
          </w:tcPr>
          <w:p w14:paraId="5BF13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225" w:type="dxa"/>
            <w:tcBorders>
              <w:top w:val="single" w:color="auto" w:sz="4" w:space="0"/>
              <w:left w:val="single" w:color="auto" w:sz="4" w:space="0"/>
              <w:bottom w:val="single" w:color="auto" w:sz="4" w:space="0"/>
              <w:right w:val="single" w:color="auto" w:sz="4" w:space="0"/>
            </w:tcBorders>
            <w:noWrap/>
            <w:vAlign w:val="center"/>
          </w:tcPr>
          <w:p w14:paraId="4CE4A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形式</w:t>
            </w:r>
          </w:p>
        </w:tc>
        <w:tc>
          <w:tcPr>
            <w:tcW w:w="2414" w:type="dxa"/>
            <w:tcBorders>
              <w:top w:val="single" w:color="auto" w:sz="4" w:space="0"/>
              <w:left w:val="single" w:color="auto" w:sz="4" w:space="0"/>
              <w:bottom w:val="single" w:color="auto" w:sz="4" w:space="0"/>
              <w:right w:val="single" w:color="auto" w:sz="4" w:space="0"/>
            </w:tcBorders>
            <w:noWrap/>
            <w:vAlign w:val="center"/>
          </w:tcPr>
          <w:p w14:paraId="6A30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B9D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14:paraId="0D996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实验分析报告</w:t>
            </w:r>
          </w:p>
        </w:tc>
        <w:tc>
          <w:tcPr>
            <w:tcW w:w="1049" w:type="dxa"/>
            <w:tcBorders>
              <w:top w:val="single" w:color="auto" w:sz="4" w:space="0"/>
              <w:left w:val="single" w:color="auto" w:sz="4" w:space="0"/>
              <w:bottom w:val="single" w:color="auto" w:sz="4" w:space="0"/>
              <w:right w:val="single" w:color="auto" w:sz="4" w:space="0"/>
            </w:tcBorders>
            <w:vAlign w:val="center"/>
          </w:tcPr>
          <w:p w14:paraId="64597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075" w:type="dxa"/>
            <w:tcBorders>
              <w:top w:val="single" w:color="auto" w:sz="4" w:space="0"/>
              <w:left w:val="single" w:color="auto" w:sz="4" w:space="0"/>
              <w:bottom w:val="single" w:color="auto" w:sz="4" w:space="0"/>
              <w:right w:val="single" w:color="auto" w:sz="4" w:space="0"/>
            </w:tcBorders>
            <w:vAlign w:val="center"/>
          </w:tcPr>
          <w:p w14:paraId="6D94D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25" w:type="dxa"/>
            <w:tcBorders>
              <w:top w:val="single" w:color="auto" w:sz="4" w:space="0"/>
              <w:left w:val="single" w:color="auto" w:sz="4" w:space="0"/>
              <w:bottom w:val="single" w:color="auto" w:sz="4" w:space="0"/>
              <w:right w:val="single" w:color="auto" w:sz="4" w:space="0"/>
            </w:tcBorders>
            <w:vAlign w:val="center"/>
          </w:tcPr>
          <w:p w14:paraId="54102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PDF格式</w:t>
            </w:r>
          </w:p>
        </w:tc>
        <w:tc>
          <w:tcPr>
            <w:tcW w:w="2414" w:type="dxa"/>
            <w:tcBorders>
              <w:top w:val="single" w:color="auto" w:sz="4" w:space="0"/>
              <w:left w:val="single" w:color="auto" w:sz="4" w:space="0"/>
              <w:bottom w:val="single" w:color="auto" w:sz="4" w:space="0"/>
              <w:right w:val="single" w:color="auto" w:sz="4" w:space="0"/>
            </w:tcBorders>
            <w:vAlign w:val="center"/>
          </w:tcPr>
          <w:p w14:paraId="47859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每个组学各提交一份</w:t>
            </w:r>
          </w:p>
        </w:tc>
      </w:tr>
      <w:tr w14:paraId="60D8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14:paraId="5F0E9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实验数据和分析结果</w:t>
            </w:r>
          </w:p>
        </w:tc>
        <w:tc>
          <w:tcPr>
            <w:tcW w:w="1049" w:type="dxa"/>
            <w:tcBorders>
              <w:top w:val="single" w:color="auto" w:sz="4" w:space="0"/>
              <w:left w:val="single" w:color="auto" w:sz="4" w:space="0"/>
              <w:bottom w:val="single" w:color="auto" w:sz="4" w:space="0"/>
              <w:right w:val="single" w:color="auto" w:sz="4" w:space="0"/>
            </w:tcBorders>
            <w:vAlign w:val="center"/>
          </w:tcPr>
          <w:p w14:paraId="1549E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075" w:type="dxa"/>
            <w:tcBorders>
              <w:top w:val="single" w:color="auto" w:sz="4" w:space="0"/>
              <w:left w:val="single" w:color="auto" w:sz="4" w:space="0"/>
              <w:bottom w:val="single" w:color="auto" w:sz="4" w:space="0"/>
              <w:right w:val="single" w:color="auto" w:sz="4" w:space="0"/>
            </w:tcBorders>
            <w:vAlign w:val="center"/>
          </w:tcPr>
          <w:p w14:paraId="3772C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25" w:type="dxa"/>
            <w:tcBorders>
              <w:top w:val="single" w:color="auto" w:sz="4" w:space="0"/>
              <w:left w:val="single" w:color="auto" w:sz="4" w:space="0"/>
              <w:bottom w:val="single" w:color="auto" w:sz="4" w:space="0"/>
              <w:right w:val="single" w:color="auto" w:sz="4" w:space="0"/>
            </w:tcBorders>
            <w:vAlign w:val="center"/>
          </w:tcPr>
          <w:p w14:paraId="65690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RAR格式</w:t>
            </w:r>
          </w:p>
        </w:tc>
        <w:tc>
          <w:tcPr>
            <w:tcW w:w="2414" w:type="dxa"/>
            <w:tcBorders>
              <w:top w:val="single" w:color="auto" w:sz="4" w:space="0"/>
              <w:left w:val="single" w:color="auto" w:sz="4" w:space="0"/>
              <w:bottom w:val="single" w:color="auto" w:sz="4" w:space="0"/>
              <w:right w:val="single" w:color="auto" w:sz="4" w:space="0"/>
            </w:tcBorders>
            <w:vAlign w:val="center"/>
          </w:tcPr>
          <w:p w14:paraId="53590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每个组学各提交一份</w:t>
            </w:r>
          </w:p>
        </w:tc>
      </w:tr>
      <w:tr w14:paraId="44F9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14:paraId="52AE0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原始数据</w:t>
            </w:r>
          </w:p>
        </w:tc>
        <w:tc>
          <w:tcPr>
            <w:tcW w:w="1049" w:type="dxa"/>
            <w:tcBorders>
              <w:top w:val="single" w:color="auto" w:sz="4" w:space="0"/>
              <w:left w:val="single" w:color="auto" w:sz="4" w:space="0"/>
              <w:bottom w:val="single" w:color="auto" w:sz="4" w:space="0"/>
              <w:right w:val="single" w:color="auto" w:sz="4" w:space="0"/>
            </w:tcBorders>
            <w:vAlign w:val="center"/>
          </w:tcPr>
          <w:p w14:paraId="556C6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份</w:t>
            </w:r>
          </w:p>
        </w:tc>
        <w:tc>
          <w:tcPr>
            <w:tcW w:w="1075" w:type="dxa"/>
            <w:tcBorders>
              <w:top w:val="single" w:color="auto" w:sz="4" w:space="0"/>
              <w:left w:val="single" w:color="auto" w:sz="4" w:space="0"/>
              <w:bottom w:val="single" w:color="auto" w:sz="4" w:space="0"/>
              <w:right w:val="single" w:color="auto" w:sz="4" w:space="0"/>
            </w:tcBorders>
            <w:vAlign w:val="center"/>
          </w:tcPr>
          <w:p w14:paraId="3D541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25" w:type="dxa"/>
            <w:tcBorders>
              <w:top w:val="single" w:color="auto" w:sz="4" w:space="0"/>
              <w:left w:val="single" w:color="auto" w:sz="4" w:space="0"/>
              <w:bottom w:val="single" w:color="auto" w:sz="4" w:space="0"/>
              <w:right w:val="single" w:color="auto" w:sz="4" w:space="0"/>
            </w:tcBorders>
            <w:vAlign w:val="center"/>
          </w:tcPr>
          <w:p w14:paraId="6FF54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RAR格式</w:t>
            </w:r>
          </w:p>
        </w:tc>
        <w:tc>
          <w:tcPr>
            <w:tcW w:w="2414" w:type="dxa"/>
            <w:tcBorders>
              <w:top w:val="single" w:color="auto" w:sz="4" w:space="0"/>
              <w:left w:val="single" w:color="auto" w:sz="4" w:space="0"/>
              <w:bottom w:val="single" w:color="auto" w:sz="4" w:space="0"/>
              <w:right w:val="single" w:color="auto" w:sz="4" w:space="0"/>
            </w:tcBorders>
            <w:vAlign w:val="center"/>
          </w:tcPr>
          <w:p w14:paraId="44742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每个组学各提交一份</w:t>
            </w:r>
          </w:p>
        </w:tc>
      </w:tr>
    </w:tbl>
    <w:p w14:paraId="036224CB">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zh-CN" w:eastAsia="zh-CN"/>
        </w:rPr>
        <w:t>验收</w:t>
      </w:r>
      <w:r>
        <w:rPr>
          <w:rFonts w:hint="eastAsia" w:ascii="仿宋" w:hAnsi="仿宋" w:eastAsia="仿宋" w:cs="仿宋"/>
          <w:b/>
          <w:color w:val="auto"/>
          <w:sz w:val="24"/>
          <w:szCs w:val="24"/>
          <w:highlight w:val="none"/>
          <w:lang w:val="en-US" w:eastAsia="zh-CN"/>
        </w:rPr>
        <w:t>标准：</w:t>
      </w:r>
    </w:p>
    <w:p w14:paraId="4F152D42">
      <w:pPr>
        <w:keepNext w:val="0"/>
        <w:keepLines w:val="0"/>
        <w:pageBreakBefore w:val="0"/>
        <w:widowControl w:val="0"/>
        <w:numPr>
          <w:ilvl w:val="0"/>
          <w:numId w:val="99"/>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程序：分段/分期验收。</w:t>
      </w:r>
    </w:p>
    <w:p w14:paraId="0CE869D5">
      <w:pPr>
        <w:keepNext w:val="0"/>
        <w:keepLines w:val="0"/>
        <w:pageBreakBefore w:val="0"/>
        <w:widowControl w:val="0"/>
        <w:numPr>
          <w:ilvl w:val="0"/>
          <w:numId w:val="99"/>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内容和验收标准：</w:t>
      </w:r>
    </w:p>
    <w:p w14:paraId="5BF17040">
      <w:pPr>
        <w:keepNext w:val="0"/>
        <w:keepLines w:val="0"/>
        <w:pageBreakBefore w:val="0"/>
        <w:widowControl w:val="0"/>
        <w:numPr>
          <w:ilvl w:val="0"/>
          <w:numId w:val="10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完成技术服务工作的形式：</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提交项目结题报告，说明项目完成情况；检测过程中产生的序列文件*.fq和相关生物信息分析结果文件，如果数据量小于等于100G，</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可通过云平台链接进行数据下载；如</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因网络等原因无法顺利下载，</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应主动提供U盘或移动硬盘传输。如果数据量大于100G，所有数据应使用U盘或移动硬盘传输数据。</w:t>
      </w:r>
    </w:p>
    <w:p w14:paraId="677B2F9E">
      <w:pPr>
        <w:keepNext w:val="0"/>
        <w:keepLines w:val="0"/>
        <w:pageBreakBefore w:val="0"/>
        <w:widowControl w:val="0"/>
        <w:numPr>
          <w:ilvl w:val="0"/>
          <w:numId w:val="10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技术服务工作成果的验收标准：对于提供样本的检测深度，数据质量，数据分析结果全部达到规定标准，并得到</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确认。</w:t>
      </w:r>
    </w:p>
    <w:p w14:paraId="29A632AC">
      <w:pPr>
        <w:keepNext w:val="0"/>
        <w:keepLines w:val="0"/>
        <w:pageBreakBefore w:val="0"/>
        <w:widowControl w:val="0"/>
        <w:numPr>
          <w:ilvl w:val="0"/>
          <w:numId w:val="10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技术服务工作成果的验收方法：每个样本检测的实验标准，以及完成合同规定的生物信息学分析内容。</w:t>
      </w:r>
    </w:p>
    <w:p w14:paraId="66C882B8">
      <w:pPr>
        <w:keepNext w:val="0"/>
        <w:keepLines w:val="0"/>
        <w:pageBreakBefore w:val="0"/>
        <w:widowControl w:val="0"/>
        <w:numPr>
          <w:ilvl w:val="0"/>
          <w:numId w:val="10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验收的时间和地点：</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应在每批样品质检合格后30个工作日内完成检测，并向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交付工作成果。</w:t>
      </w:r>
    </w:p>
    <w:p w14:paraId="0F9330F2">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技术服务收费标准及费用结算要求：</w:t>
      </w:r>
    </w:p>
    <w:p w14:paraId="6024E749">
      <w:pPr>
        <w:keepNext w:val="0"/>
        <w:keepLines w:val="0"/>
        <w:pageBreakBefore w:val="0"/>
        <w:widowControl w:val="0"/>
        <w:numPr>
          <w:ilvl w:val="0"/>
          <w:numId w:val="10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项目明细及收费标准：</w:t>
      </w:r>
    </w:p>
    <w:p w14:paraId="10EBD889">
      <w:pPr>
        <w:pStyle w:val="2"/>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color w:val="auto"/>
          <w:highlight w:val="none"/>
          <w:lang w:eastAsia="zh-CN"/>
        </w:rPr>
      </w:pPr>
    </w:p>
    <w:tbl>
      <w:tblPr>
        <w:tblStyle w:val="24"/>
        <w:tblW w:w="6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976"/>
        <w:gridCol w:w="1703"/>
      </w:tblGrid>
      <w:tr w14:paraId="6FDD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34" w:type="dxa"/>
            <w:tcBorders>
              <w:top w:val="single" w:color="auto" w:sz="4" w:space="0"/>
              <w:left w:val="single" w:color="auto" w:sz="4" w:space="0"/>
              <w:bottom w:val="single" w:color="auto" w:sz="4" w:space="0"/>
              <w:right w:val="single" w:color="auto" w:sz="4" w:space="0"/>
            </w:tcBorders>
            <w:noWrap/>
            <w:vAlign w:val="center"/>
          </w:tcPr>
          <w:p w14:paraId="1D3B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组学</w:t>
            </w:r>
          </w:p>
        </w:tc>
        <w:tc>
          <w:tcPr>
            <w:tcW w:w="2976" w:type="dxa"/>
            <w:tcBorders>
              <w:top w:val="single" w:color="auto" w:sz="4" w:space="0"/>
              <w:left w:val="single" w:color="auto" w:sz="4" w:space="0"/>
              <w:bottom w:val="single" w:color="auto" w:sz="4" w:space="0"/>
              <w:right w:val="single" w:color="auto" w:sz="4" w:space="0"/>
            </w:tcBorders>
            <w:noWrap/>
            <w:vAlign w:val="center"/>
          </w:tcPr>
          <w:p w14:paraId="2CB4F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检测项目</w:t>
            </w:r>
          </w:p>
        </w:tc>
        <w:tc>
          <w:tcPr>
            <w:tcW w:w="1703" w:type="dxa"/>
            <w:tcBorders>
              <w:top w:val="single" w:color="auto" w:sz="4" w:space="0"/>
              <w:left w:val="single" w:color="auto" w:sz="4" w:space="0"/>
              <w:bottom w:val="single" w:color="auto" w:sz="4" w:space="0"/>
              <w:right w:val="single" w:color="auto" w:sz="4" w:space="0"/>
            </w:tcBorders>
            <w:noWrap/>
            <w:vAlign w:val="center"/>
          </w:tcPr>
          <w:p w14:paraId="76D64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单价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例</w:t>
            </w:r>
            <w:r>
              <w:rPr>
                <w:rFonts w:hint="eastAsia" w:ascii="仿宋" w:hAnsi="仿宋" w:eastAsia="仿宋" w:cs="仿宋"/>
                <w:b/>
                <w:bCs/>
                <w:color w:val="auto"/>
                <w:sz w:val="24"/>
                <w:szCs w:val="24"/>
                <w:highlight w:val="none"/>
                <w:lang w:eastAsia="zh-CN"/>
              </w:rPr>
              <w:t>）</w:t>
            </w:r>
          </w:p>
        </w:tc>
      </w:tr>
      <w:tr w14:paraId="76C7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034" w:type="dxa"/>
            <w:tcBorders>
              <w:top w:val="single" w:color="auto" w:sz="4" w:space="0"/>
              <w:left w:val="single" w:color="auto" w:sz="4" w:space="0"/>
              <w:bottom w:val="single" w:color="auto" w:sz="4" w:space="0"/>
              <w:right w:val="single" w:color="auto" w:sz="4" w:space="0"/>
            </w:tcBorders>
            <w:noWrap/>
            <w:vAlign w:val="bottom"/>
          </w:tcPr>
          <w:p w14:paraId="208D0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空间组</w:t>
            </w:r>
          </w:p>
        </w:tc>
        <w:tc>
          <w:tcPr>
            <w:tcW w:w="2976" w:type="dxa"/>
            <w:tcBorders>
              <w:top w:val="single" w:color="auto" w:sz="4" w:space="0"/>
              <w:left w:val="single" w:color="auto" w:sz="4" w:space="0"/>
              <w:bottom w:val="single" w:color="auto" w:sz="4" w:space="0"/>
              <w:right w:val="single" w:color="auto" w:sz="4" w:space="0"/>
            </w:tcBorders>
            <w:noWrap/>
            <w:vAlign w:val="bottom"/>
          </w:tcPr>
          <w:p w14:paraId="1D691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空间组学技术检测</w:t>
            </w:r>
          </w:p>
        </w:tc>
        <w:tc>
          <w:tcPr>
            <w:tcW w:w="1703" w:type="dxa"/>
            <w:tcBorders>
              <w:top w:val="single" w:color="auto" w:sz="4" w:space="0"/>
              <w:left w:val="single" w:color="auto" w:sz="4" w:space="0"/>
              <w:bottom w:val="single" w:color="auto" w:sz="4" w:space="0"/>
              <w:right w:val="single" w:color="auto" w:sz="4" w:space="0"/>
            </w:tcBorders>
            <w:noWrap/>
            <w:vAlign w:val="bottom"/>
          </w:tcPr>
          <w:p w14:paraId="3AF67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tc>
      </w:tr>
      <w:tr w14:paraId="00F4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034" w:type="dxa"/>
            <w:tcBorders>
              <w:top w:val="single" w:color="auto" w:sz="4" w:space="0"/>
              <w:left w:val="single" w:color="auto" w:sz="4" w:space="0"/>
              <w:bottom w:val="single" w:color="auto" w:sz="4" w:space="0"/>
              <w:right w:val="single" w:color="auto" w:sz="4" w:space="0"/>
            </w:tcBorders>
            <w:noWrap/>
            <w:vAlign w:val="bottom"/>
          </w:tcPr>
          <w:p w14:paraId="328B2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单细胞转录组</w:t>
            </w:r>
          </w:p>
        </w:tc>
        <w:tc>
          <w:tcPr>
            <w:tcW w:w="2976" w:type="dxa"/>
            <w:tcBorders>
              <w:top w:val="single" w:color="auto" w:sz="4" w:space="0"/>
              <w:left w:val="single" w:color="auto" w:sz="4" w:space="0"/>
              <w:bottom w:val="single" w:color="auto" w:sz="4" w:space="0"/>
              <w:right w:val="single" w:color="auto" w:sz="4" w:space="0"/>
            </w:tcBorders>
            <w:noWrap/>
            <w:vAlign w:val="bottom"/>
          </w:tcPr>
          <w:p w14:paraId="3A7EF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高通量单细胞测序平台</w:t>
            </w:r>
          </w:p>
        </w:tc>
        <w:tc>
          <w:tcPr>
            <w:tcW w:w="1703" w:type="dxa"/>
            <w:tcBorders>
              <w:top w:val="single" w:color="auto" w:sz="4" w:space="0"/>
              <w:left w:val="single" w:color="auto" w:sz="4" w:space="0"/>
              <w:bottom w:val="single" w:color="auto" w:sz="4" w:space="0"/>
              <w:right w:val="single" w:color="auto" w:sz="4" w:space="0"/>
            </w:tcBorders>
            <w:noWrap/>
            <w:vAlign w:val="bottom"/>
          </w:tcPr>
          <w:p w14:paraId="1D5D4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eastAsia" w:ascii="仿宋" w:hAnsi="仿宋" w:eastAsia="仿宋" w:cs="仿宋"/>
                <w:color w:val="auto"/>
                <w:sz w:val="24"/>
                <w:szCs w:val="24"/>
                <w:highlight w:val="none"/>
                <w:lang w:eastAsia="zh-CN"/>
              </w:rPr>
            </w:pPr>
          </w:p>
        </w:tc>
      </w:tr>
      <w:tr w14:paraId="16B3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034" w:type="dxa"/>
            <w:tcBorders>
              <w:top w:val="single" w:color="auto" w:sz="4" w:space="0"/>
              <w:left w:val="single" w:color="auto" w:sz="4" w:space="0"/>
              <w:bottom w:val="single" w:color="auto" w:sz="4" w:space="0"/>
              <w:right w:val="single" w:color="auto" w:sz="4" w:space="0"/>
            </w:tcBorders>
            <w:noWrap/>
            <w:vAlign w:val="bottom"/>
          </w:tcPr>
          <w:p w14:paraId="69105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蛋白质组</w:t>
            </w:r>
          </w:p>
        </w:tc>
        <w:tc>
          <w:tcPr>
            <w:tcW w:w="2976" w:type="dxa"/>
            <w:tcBorders>
              <w:top w:val="single" w:color="auto" w:sz="4" w:space="0"/>
              <w:left w:val="single" w:color="auto" w:sz="4" w:space="0"/>
              <w:bottom w:val="single" w:color="auto" w:sz="4" w:space="0"/>
              <w:right w:val="single" w:color="auto" w:sz="4" w:space="0"/>
            </w:tcBorders>
            <w:noWrap/>
            <w:vAlign w:val="bottom"/>
          </w:tcPr>
          <w:p w14:paraId="49E94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4D-DIA蛋白质组学</w:t>
            </w:r>
          </w:p>
        </w:tc>
        <w:tc>
          <w:tcPr>
            <w:tcW w:w="1703" w:type="dxa"/>
            <w:tcBorders>
              <w:top w:val="single" w:color="auto" w:sz="4" w:space="0"/>
              <w:left w:val="single" w:color="auto" w:sz="4" w:space="0"/>
              <w:bottom w:val="single" w:color="auto" w:sz="4" w:space="0"/>
              <w:right w:val="single" w:color="auto" w:sz="4" w:space="0"/>
            </w:tcBorders>
            <w:noWrap/>
            <w:vAlign w:val="bottom"/>
          </w:tcPr>
          <w:p w14:paraId="1CCF5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tc>
      </w:tr>
      <w:tr w14:paraId="1943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034" w:type="dxa"/>
            <w:tcBorders>
              <w:top w:val="single" w:color="auto" w:sz="4" w:space="0"/>
              <w:left w:val="single" w:color="auto" w:sz="4" w:space="0"/>
              <w:bottom w:val="single" w:color="auto" w:sz="4" w:space="0"/>
              <w:right w:val="single" w:color="auto" w:sz="4" w:space="0"/>
            </w:tcBorders>
            <w:noWrap/>
            <w:vAlign w:val="bottom"/>
          </w:tcPr>
          <w:p w14:paraId="4FB01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代谢组</w:t>
            </w:r>
          </w:p>
        </w:tc>
        <w:tc>
          <w:tcPr>
            <w:tcW w:w="2976" w:type="dxa"/>
            <w:tcBorders>
              <w:top w:val="single" w:color="auto" w:sz="4" w:space="0"/>
              <w:left w:val="single" w:color="auto" w:sz="4" w:space="0"/>
              <w:bottom w:val="single" w:color="auto" w:sz="4" w:space="0"/>
              <w:right w:val="single" w:color="auto" w:sz="4" w:space="0"/>
            </w:tcBorders>
            <w:noWrap/>
            <w:vAlign w:val="bottom"/>
          </w:tcPr>
          <w:p w14:paraId="5D1D8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高通量靶向代谢脂质代谢</w:t>
            </w:r>
          </w:p>
        </w:tc>
        <w:tc>
          <w:tcPr>
            <w:tcW w:w="1703" w:type="dxa"/>
            <w:tcBorders>
              <w:top w:val="single" w:color="auto" w:sz="4" w:space="0"/>
              <w:left w:val="single" w:color="auto" w:sz="4" w:space="0"/>
              <w:bottom w:val="single" w:color="auto" w:sz="4" w:space="0"/>
              <w:right w:val="single" w:color="auto" w:sz="4" w:space="0"/>
            </w:tcBorders>
            <w:noWrap/>
            <w:vAlign w:val="bottom"/>
          </w:tcPr>
          <w:p w14:paraId="541B0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eastAsia" w:ascii="仿宋" w:hAnsi="仿宋" w:eastAsia="仿宋" w:cs="仿宋"/>
                <w:color w:val="auto"/>
                <w:sz w:val="24"/>
                <w:szCs w:val="24"/>
                <w:highlight w:val="none"/>
                <w:lang w:eastAsia="zh-CN"/>
              </w:rPr>
            </w:pPr>
          </w:p>
        </w:tc>
      </w:tr>
    </w:tbl>
    <w:p w14:paraId="15614D40">
      <w:pPr>
        <w:keepNext w:val="0"/>
        <w:keepLines w:val="0"/>
        <w:pageBreakBefore w:val="0"/>
        <w:widowControl w:val="0"/>
        <w:numPr>
          <w:ilvl w:val="0"/>
          <w:numId w:val="10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费用结算方式：</w:t>
      </w:r>
    </w:p>
    <w:p w14:paraId="376770FD">
      <w:pPr>
        <w:keepNext w:val="0"/>
        <w:keepLines w:val="0"/>
        <w:pageBreakBefore w:val="0"/>
        <w:widowControl w:val="0"/>
        <w:numPr>
          <w:ilvl w:val="0"/>
          <w:numId w:val="102"/>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最终结算金额 = 实际检测数量 × 合同单价；</w:t>
      </w:r>
    </w:p>
    <w:p w14:paraId="537088C2">
      <w:pPr>
        <w:keepNext w:val="0"/>
        <w:keepLines w:val="0"/>
        <w:pageBreakBefore w:val="0"/>
        <w:widowControl w:val="0"/>
        <w:numPr>
          <w:ilvl w:val="0"/>
          <w:numId w:val="102"/>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合同签署后，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需在30个工作日内向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 xml:space="preserve">开具首期预付费用等额发票（发票金额 = </w:t>
      </w:r>
      <w:r>
        <w:rPr>
          <w:rFonts w:hint="eastAsia" w:ascii="仿宋" w:hAnsi="仿宋" w:eastAsia="仿宋" w:cs="仿宋"/>
          <w:color w:val="auto"/>
          <w:sz w:val="24"/>
          <w:szCs w:val="24"/>
          <w:highlight w:val="none"/>
          <w:lang w:val="en-US" w:eastAsia="zh-CN"/>
        </w:rPr>
        <w:t>采购预算</w:t>
      </w:r>
      <w:r>
        <w:rPr>
          <w:rFonts w:hint="eastAsia" w:ascii="仿宋" w:hAnsi="仿宋" w:eastAsia="仿宋" w:cs="仿宋"/>
          <w:color w:val="auto"/>
          <w:sz w:val="24"/>
          <w:szCs w:val="24"/>
          <w:highlight w:val="none"/>
          <w:lang w:eastAsia="zh-CN"/>
        </w:rPr>
        <w:t>总金额</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收到发票</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lang w:eastAsia="zh-CN"/>
        </w:rPr>
        <w:t>在满足支付条件的前提下，30个工作日内支付</w:t>
      </w:r>
      <w:r>
        <w:rPr>
          <w:rFonts w:hint="eastAsia" w:ascii="仿宋" w:hAnsi="仿宋" w:eastAsia="仿宋" w:cs="仿宋"/>
          <w:color w:val="auto"/>
          <w:sz w:val="24"/>
          <w:szCs w:val="24"/>
          <w:highlight w:val="none"/>
          <w:lang w:val="en-US" w:eastAsia="zh-CN"/>
        </w:rPr>
        <w:t>采购预算</w:t>
      </w:r>
      <w:r>
        <w:rPr>
          <w:rFonts w:hint="eastAsia" w:ascii="仿宋" w:hAnsi="仿宋" w:eastAsia="仿宋" w:cs="仿宋"/>
          <w:color w:val="auto"/>
          <w:sz w:val="24"/>
          <w:szCs w:val="24"/>
          <w:highlight w:val="none"/>
          <w:lang w:eastAsia="zh-CN"/>
        </w:rPr>
        <w:t>总金额的</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0%作为首期预付费用（</w:t>
      </w:r>
      <w:r>
        <w:rPr>
          <w:rFonts w:hint="eastAsia" w:ascii="仿宋" w:hAnsi="仿宋" w:eastAsia="仿宋" w:cs="仿宋"/>
          <w:b/>
          <w:bCs/>
          <w:color w:val="auto"/>
          <w:sz w:val="24"/>
          <w:szCs w:val="24"/>
          <w:highlight w:val="none"/>
          <w:u w:val="single"/>
          <w:lang w:eastAsia="zh-CN"/>
        </w:rPr>
        <w:t>人民币                元</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bCs/>
          <w:color w:val="auto"/>
          <w:sz w:val="24"/>
          <w:szCs w:val="24"/>
          <w:highlight w:val="none"/>
          <w:u w:val="single"/>
          <w:lang w:eastAsia="zh-CN"/>
        </w:rPr>
        <w:t>￥              元</w:t>
      </w:r>
      <w:r>
        <w:rPr>
          <w:rFonts w:hint="eastAsia" w:ascii="仿宋" w:hAnsi="仿宋" w:eastAsia="仿宋" w:cs="仿宋"/>
          <w:color w:val="auto"/>
          <w:sz w:val="24"/>
          <w:szCs w:val="24"/>
          <w:highlight w:val="none"/>
          <w:lang w:eastAsia="zh-CN"/>
        </w:rPr>
        <w:t>）） ；</w:t>
      </w:r>
    </w:p>
    <w:p w14:paraId="1D15528A">
      <w:pPr>
        <w:keepNext w:val="0"/>
        <w:keepLines w:val="0"/>
        <w:pageBreakBefore w:val="0"/>
        <w:widowControl w:val="0"/>
        <w:numPr>
          <w:ilvl w:val="0"/>
          <w:numId w:val="102"/>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实验结束后，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提交电子版项目报告及最终检测数量清单。</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在收到该电子版报告及最终检测数量清单并确认结果无误后，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应向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提交完整的报告及所有相关数据，并开具最终结算的服务费用发票（发票金额 = 最终结算金额 - 首期预付费用）。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在收到合法有效发票</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lang w:eastAsia="zh-CN"/>
        </w:rPr>
        <w:t>在满足支付条件的前提下，30个工作日内完成款项的支付。</w:t>
      </w:r>
    </w:p>
    <w:p w14:paraId="155E8972">
      <w:pPr>
        <w:keepNext w:val="0"/>
        <w:keepLines w:val="0"/>
        <w:pageBreakBefore w:val="0"/>
        <w:widowControl w:val="0"/>
        <w:numPr>
          <w:ilvl w:val="0"/>
          <w:numId w:val="102"/>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lang w:val="zh-CN" w:eastAsia="zh-CN"/>
        </w:rPr>
        <w:t>逾期支付合同款项的，除应当支付合同款项外，还应当每日按逾期部分合同款额的万分之五向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lang w:val="zh-CN" w:eastAsia="zh-CN"/>
        </w:rPr>
        <w:t>偿付违约金，但因</w:t>
      </w:r>
      <w:r>
        <w:rPr>
          <w:rFonts w:hint="eastAsia" w:ascii="仿宋" w:hAnsi="仿宋" w:eastAsia="仿宋" w:cs="仿宋"/>
          <w:color w:val="auto"/>
          <w:sz w:val="24"/>
          <w:highlight w:val="none"/>
          <w:lang w:val="en-US" w:eastAsia="zh-CN"/>
        </w:rPr>
        <w:t>乙方自身原因导致无法及时支付的除外。</w:t>
      </w:r>
    </w:p>
    <w:p w14:paraId="69E8E7CC">
      <w:pPr>
        <w:keepNext w:val="0"/>
        <w:keepLines w:val="0"/>
        <w:pageBreakBefore w:val="0"/>
        <w:widowControl w:val="0"/>
        <w:numPr>
          <w:ilvl w:val="0"/>
          <w:numId w:val="102"/>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因财政国库资金支付程序不同于上述支付方式的，按最终甲方与供应商协商后的实际支付方式为准。</w:t>
      </w:r>
    </w:p>
    <w:p w14:paraId="44859D6C">
      <w:pPr>
        <w:keepNext w:val="0"/>
        <w:keepLines w:val="0"/>
        <w:pageBreakBefore w:val="0"/>
        <w:widowControl w:val="0"/>
        <w:numPr>
          <w:ilvl w:val="0"/>
          <w:numId w:val="101"/>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乙方的开户行及账号：</w:t>
      </w:r>
    </w:p>
    <w:p w14:paraId="54F51213">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开户单位： </w:t>
      </w:r>
    </w:p>
    <w:p w14:paraId="58C33493">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开户银行： </w:t>
      </w:r>
    </w:p>
    <w:p w14:paraId="53C4C4C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银行账号：</w:t>
      </w:r>
    </w:p>
    <w:p w14:paraId="3EBE6DF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银汉联行号：</w:t>
      </w:r>
    </w:p>
    <w:p w14:paraId="2A8DB53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税务登记证证号：</w:t>
      </w:r>
    </w:p>
    <w:p w14:paraId="196DA49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注册地址：</w:t>
      </w:r>
    </w:p>
    <w:p w14:paraId="1E503C1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2" w:firstLineChars="200"/>
        <w:textAlignment w:val="auto"/>
        <w:rPr>
          <w:rFonts w:hint="eastAsia" w:ascii="仿宋" w:hAnsi="仿宋" w:eastAsia="仿宋" w:cs="仿宋"/>
          <w:b/>
          <w:color w:val="auto"/>
          <w:sz w:val="24"/>
          <w:szCs w:val="24"/>
          <w:highlight w:val="none"/>
          <w:lang w:eastAsia="zh-CN"/>
        </w:rPr>
      </w:pPr>
    </w:p>
    <w:p w14:paraId="071E85F8">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双方责任及协作事项</w:t>
      </w:r>
    </w:p>
    <w:p w14:paraId="3752C092">
      <w:pPr>
        <w:keepNext w:val="0"/>
        <w:keepLines w:val="0"/>
        <w:pageBreakBefore w:val="0"/>
        <w:widowControl w:val="0"/>
        <w:numPr>
          <w:ilvl w:val="0"/>
          <w:numId w:val="103"/>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甲</w:t>
      </w:r>
      <w:r>
        <w:rPr>
          <w:rFonts w:hint="eastAsia" w:ascii="仿宋" w:hAnsi="仿宋" w:eastAsia="仿宋" w:cs="仿宋"/>
          <w:color w:val="auto"/>
          <w:sz w:val="24"/>
          <w:szCs w:val="24"/>
          <w:highlight w:val="none"/>
          <w:lang w:val="zh-CN" w:eastAsia="zh-CN"/>
        </w:rPr>
        <w:t>方责任：</w:t>
      </w:r>
    </w:p>
    <w:p w14:paraId="73C4B7AB">
      <w:pPr>
        <w:keepNext w:val="0"/>
        <w:keepLines w:val="0"/>
        <w:pageBreakBefore w:val="0"/>
        <w:widowControl w:val="0"/>
        <w:numPr>
          <w:ilvl w:val="0"/>
          <w:numId w:val="104"/>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甲方有义务</w:t>
      </w:r>
      <w:r>
        <w:rPr>
          <w:rFonts w:hint="eastAsia" w:ascii="仿宋" w:hAnsi="仿宋" w:eastAsia="仿宋" w:cs="仿宋"/>
          <w:color w:val="auto"/>
          <w:sz w:val="24"/>
          <w:szCs w:val="24"/>
          <w:highlight w:val="none"/>
          <w:lang w:val="en-US" w:eastAsia="zh-CN"/>
        </w:rPr>
        <w:t>按时</w:t>
      </w:r>
      <w:r>
        <w:rPr>
          <w:rFonts w:hint="eastAsia" w:ascii="仿宋" w:hAnsi="仿宋" w:eastAsia="仿宋" w:cs="仿宋"/>
          <w:color w:val="auto"/>
          <w:sz w:val="24"/>
          <w:szCs w:val="24"/>
          <w:highlight w:val="none"/>
          <w:lang w:val="zh-CN" w:eastAsia="zh-CN"/>
        </w:rPr>
        <w:t>提供符合标准的样品。样品是否满足实验条件，以乙方出具的</w:t>
      </w:r>
      <w:r>
        <w:rPr>
          <w:rFonts w:hint="eastAsia" w:ascii="仿宋" w:hAnsi="仿宋" w:eastAsia="仿宋" w:cs="仿宋"/>
          <w:color w:val="auto"/>
          <w:sz w:val="24"/>
          <w:szCs w:val="24"/>
          <w:highlight w:val="none"/>
          <w:lang w:val="en-US" w:eastAsia="zh-CN"/>
        </w:rPr>
        <w:t>质检报告</w:t>
      </w:r>
      <w:r>
        <w:rPr>
          <w:rFonts w:hint="eastAsia" w:ascii="仿宋" w:hAnsi="仿宋" w:eastAsia="仿宋" w:cs="仿宋"/>
          <w:color w:val="auto"/>
          <w:sz w:val="24"/>
          <w:szCs w:val="24"/>
          <w:highlight w:val="none"/>
          <w:lang w:val="zh-CN" w:eastAsia="zh-CN"/>
        </w:rPr>
        <w:t>作为判定依据。若甲方所提供的样品未能达到实验标准，甲方</w:t>
      </w:r>
      <w:r>
        <w:rPr>
          <w:rFonts w:hint="eastAsia" w:ascii="仿宋" w:hAnsi="仿宋" w:eastAsia="仿宋" w:cs="仿宋"/>
          <w:color w:val="auto"/>
          <w:sz w:val="24"/>
          <w:szCs w:val="24"/>
          <w:highlight w:val="none"/>
          <w:lang w:val="en-US" w:eastAsia="zh-CN"/>
        </w:rPr>
        <w:t>原则上</w:t>
      </w:r>
      <w:r>
        <w:rPr>
          <w:rFonts w:hint="eastAsia" w:ascii="仿宋" w:hAnsi="仿宋" w:eastAsia="仿宋" w:cs="仿宋"/>
          <w:color w:val="auto"/>
          <w:sz w:val="24"/>
          <w:szCs w:val="24"/>
          <w:highlight w:val="none"/>
          <w:lang w:val="zh-CN" w:eastAsia="zh-CN"/>
        </w:rPr>
        <w:t>需在收到质检报告后的五个工作日内，以正式书面形式给出明确处理意见，决定</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val="zh-CN" w:eastAsia="zh-CN"/>
        </w:rPr>
        <w:t>重新提供符合要求的样品，</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eastAsia="zh-CN"/>
        </w:rPr>
        <w:t>终止当前实验项目。若选择终止实验，甲方应承担已开展实验样本所产生的全部相关费用。</w:t>
      </w:r>
    </w:p>
    <w:p w14:paraId="77AB9CA0">
      <w:pPr>
        <w:keepNext w:val="0"/>
        <w:keepLines w:val="0"/>
        <w:pageBreakBefore w:val="0"/>
        <w:widowControl w:val="0"/>
        <w:numPr>
          <w:ilvl w:val="0"/>
          <w:numId w:val="104"/>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若因甲方提供的样本本身存在质量问题，或样品未能按照预定时间送达等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自身原因，导致项目进度出现延误，乙方无需为此承担任何责任。</w:t>
      </w:r>
    </w:p>
    <w:p w14:paraId="34040AED">
      <w:pPr>
        <w:keepNext w:val="0"/>
        <w:keepLines w:val="0"/>
        <w:pageBreakBefore w:val="0"/>
        <w:widowControl w:val="0"/>
        <w:numPr>
          <w:ilvl w:val="0"/>
          <w:numId w:val="104"/>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甲方需确保所提供的样品无致病性。自合同生效之日起，即视为甲方已对样品的安全性作出郑重承诺。若因样品具有致病性而对公共安全构成潜在或实际威胁，甲方需承担由此引发的一切法律责任与经济赔偿责任。</w:t>
      </w:r>
    </w:p>
    <w:p w14:paraId="517684F4">
      <w:pPr>
        <w:keepNext w:val="0"/>
        <w:keepLines w:val="0"/>
        <w:pageBreakBefore w:val="0"/>
        <w:widowControl w:val="0"/>
        <w:numPr>
          <w:ilvl w:val="0"/>
          <w:numId w:val="104"/>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szCs w:val="24"/>
          <w:highlight w:val="none"/>
          <w:lang w:val="zh-CN" w:eastAsia="zh-CN"/>
        </w:rPr>
        <w:t>在整体实验推进过程中，乙方需与甲方保持密切且实时的沟通。若实验过程中出现具有潜在风险的环节，乙方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val="zh-CN" w:eastAsia="zh-CN"/>
        </w:rPr>
        <w:t>充分、清晰地向甲方告知风险详情，</w:t>
      </w:r>
      <w:r>
        <w:rPr>
          <w:rFonts w:hint="eastAsia" w:ascii="仿宋" w:hAnsi="仿宋" w:eastAsia="仿宋" w:cs="仿宋"/>
          <w:color w:val="auto"/>
          <w:sz w:val="24"/>
          <w:szCs w:val="24"/>
          <w:highlight w:val="none"/>
          <w:lang w:val="en-US" w:eastAsia="zh-CN"/>
        </w:rPr>
        <w:t>在取得</w:t>
      </w:r>
      <w:r>
        <w:rPr>
          <w:rFonts w:hint="eastAsia" w:ascii="仿宋" w:hAnsi="仿宋" w:eastAsia="仿宋" w:cs="仿宋"/>
          <w:color w:val="auto"/>
          <w:sz w:val="24"/>
          <w:szCs w:val="24"/>
          <w:highlight w:val="none"/>
          <w:lang w:val="zh-CN" w:eastAsia="zh-CN"/>
        </w:rPr>
        <w:t>甲方明确授权同意</w:t>
      </w:r>
      <w:r>
        <w:rPr>
          <w:rFonts w:hint="eastAsia" w:ascii="仿宋" w:hAnsi="仿宋" w:eastAsia="仿宋" w:cs="仿宋"/>
          <w:color w:val="auto"/>
          <w:sz w:val="24"/>
          <w:szCs w:val="24"/>
          <w:highlight w:val="none"/>
          <w:lang w:val="en-US" w:eastAsia="zh-CN"/>
        </w:rPr>
        <w:t>后，方可继续开展实验。</w:t>
      </w:r>
      <w:r>
        <w:rPr>
          <w:rFonts w:hint="eastAsia" w:ascii="仿宋" w:hAnsi="仿宋" w:eastAsia="仿宋" w:cs="仿宋"/>
          <w:color w:val="auto"/>
          <w:sz w:val="24"/>
          <w:szCs w:val="24"/>
          <w:highlight w:val="none"/>
          <w:lang w:val="zh-CN" w:eastAsia="zh-CN"/>
        </w:rPr>
        <w:t>甲方需承担该风险环节所产生的所有实验风险以及相关项目费用。</w:t>
      </w:r>
    </w:p>
    <w:p w14:paraId="006C2462">
      <w:pPr>
        <w:keepNext w:val="0"/>
        <w:keepLines w:val="0"/>
        <w:pageBreakBefore w:val="0"/>
        <w:widowControl w:val="0"/>
        <w:numPr>
          <w:ilvl w:val="0"/>
          <w:numId w:val="104"/>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szCs w:val="24"/>
          <w:highlight w:val="none"/>
          <w:lang w:val="zh-CN" w:eastAsia="zh-CN"/>
        </w:rPr>
        <w:t>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不能继续提供样品致使项目中断，则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可以将已付款项（扣除已经发生的费用）的剩余部分转入下一次服务。如无后续服务，预付款将在双方结算完成后，将结余款退回</w:t>
      </w:r>
      <w:r>
        <w:rPr>
          <w:rFonts w:hint="eastAsia" w:ascii="仿宋" w:hAnsi="仿宋" w:eastAsia="仿宋" w:cs="仿宋"/>
          <w:color w:val="auto"/>
          <w:sz w:val="24"/>
          <w:szCs w:val="24"/>
          <w:highlight w:val="none"/>
          <w:lang w:val="en-US" w:eastAsia="zh-CN"/>
        </w:rPr>
        <w:t>甲方。</w:t>
      </w:r>
    </w:p>
    <w:p w14:paraId="43913393">
      <w:pPr>
        <w:keepNext w:val="0"/>
        <w:keepLines w:val="0"/>
        <w:pageBreakBefore w:val="0"/>
        <w:widowControl w:val="0"/>
        <w:numPr>
          <w:ilvl w:val="0"/>
          <w:numId w:val="104"/>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color w:val="auto"/>
          <w:highlight w:val="none"/>
          <w:lang w:val="zh-CN" w:eastAsia="zh-CN"/>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lang w:val="zh-CN" w:eastAsia="zh-CN"/>
        </w:rPr>
        <w:t>送样时需至少提前1-2天通知</w:t>
      </w:r>
      <w:r>
        <w:rPr>
          <w:rFonts w:hint="eastAsia" w:ascii="仿宋" w:hAnsi="仿宋" w:eastAsia="仿宋" w:cs="仿宋"/>
          <w:color w:val="auto"/>
          <w:sz w:val="24"/>
          <w:highlight w:val="none"/>
          <w:lang w:val="en-US" w:eastAsia="zh-CN"/>
        </w:rPr>
        <w:t>乙方。</w:t>
      </w:r>
    </w:p>
    <w:p w14:paraId="3E27CF0A">
      <w:pPr>
        <w:keepNext w:val="0"/>
        <w:keepLines w:val="0"/>
        <w:pageBreakBefore w:val="0"/>
        <w:widowControl w:val="0"/>
        <w:numPr>
          <w:ilvl w:val="0"/>
          <w:numId w:val="103"/>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责任：</w:t>
      </w:r>
    </w:p>
    <w:p w14:paraId="00A0EE99">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根据项目需求，提供详尽的项目实施方案（含技术路线、进度计划、质量保障措施等）、服务方案（含服务内容、标准、流程、响应机制等）以及紧急预案（含风险识别、应急流程、资源调配、恢复计划等）以及提供多组学联合研究方案。</w:t>
      </w:r>
    </w:p>
    <w:p w14:paraId="5D331036">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需组建专业的技术服务团队（详见人员名单）。实验技术员、生信分析工程师以及技术支持人员这三个岗位，在原则上应避免由同一人兼任。若存在特殊情况，必须以书面形式向甲方提出申请，经甲方审核批准后方可实施。</w:t>
      </w:r>
    </w:p>
    <w:p w14:paraId="03581A8F">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乙方需为本项目配置一名项目负责人，负责本项目服务过程中的沟通对接和统筹协调。</w:t>
      </w:r>
    </w:p>
    <w:p w14:paraId="699B2CAA">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若发生人员调整（增减、替换等），乙方须提前3个月书面通知采购人，并提交新人员的劳动关系证明文件。未经甲方书面同意，不得擅自更换人员。</w:t>
      </w:r>
    </w:p>
    <w:p w14:paraId="78F97595">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必须遵守劳动部门的相关规定，规范用工行为。乙方应与其派出的现场服务人员建立合法的劳动合同关系，并按照国家规定为其办理各类社会保险，同时承担全部的用工责任。乙方还需承担其派出的现场服务人员可能遭遇的意外、工伤等所有服务风险。若发生劳动争议、法律纠纷或经济纠纷，全部责任由乙方承担，与甲方无关。</w:t>
      </w:r>
    </w:p>
    <w:p w14:paraId="59F6D43C">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成果交付后，乙方需继续提供项目咨询服务直至文章发表，费用包含在本项目报价内；如因乙方的原因导致项目失败，包括但不限于实验不成功、建库失败，乙方承担全部责任并退还甲方已付全部款项。</w:t>
      </w:r>
    </w:p>
    <w:p w14:paraId="51257B96">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项目所得数据仅供甲方使用，乙方不得将数据用于任何其他目的，包括但不限于发表论文、申请相关研究专利等。</w:t>
      </w:r>
    </w:p>
    <w:p w14:paraId="709EC497">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为方便甲方检测数据的使用，乙方承诺在最终数据提供后，继续保留数据不少于2年（与需求不一致的，以需求为准）。</w:t>
      </w:r>
    </w:p>
    <w:p w14:paraId="21AB145B">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由于实验中存在的不确定因素，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不能保证</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实验100﹪成功，但</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有责任在样本质检合格情况下，尽量保证最终实验结果的准确性，并确保符合相关数据分析参数要求；</w:t>
      </w:r>
    </w:p>
    <w:p w14:paraId="4D93B812">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需保证在约定期限内完成</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zh-CN" w:eastAsia="zh-CN"/>
        </w:rPr>
        <w:t>。如因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过错导致项目延迟，</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应及时与甲方沟通，说明情况并商定完成时间。若因项目延迟给采购方造成损失，乙方需支付</w:t>
      </w:r>
      <w:r>
        <w:rPr>
          <w:rFonts w:hint="eastAsia" w:ascii="仿宋" w:hAnsi="仿宋" w:eastAsia="仿宋" w:cs="仿宋"/>
          <w:color w:val="auto"/>
          <w:sz w:val="24"/>
          <w:szCs w:val="24"/>
          <w:highlight w:val="none"/>
          <w:lang w:val="en-US" w:eastAsia="zh-CN"/>
        </w:rPr>
        <w:t>赔偿款</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赔偿款</w:t>
      </w:r>
      <w:r>
        <w:rPr>
          <w:rFonts w:hint="eastAsia" w:ascii="仿宋" w:hAnsi="仿宋" w:eastAsia="仿宋" w:cs="仿宋"/>
          <w:color w:val="auto"/>
          <w:sz w:val="24"/>
          <w:szCs w:val="24"/>
          <w:highlight w:val="none"/>
          <w:lang w:val="zh-CN" w:eastAsia="zh-CN"/>
        </w:rPr>
        <w:t>金额为合同金额的5%）；</w:t>
      </w:r>
    </w:p>
    <w:p w14:paraId="2A7297F7">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需保证提交的结果与项目需求的约定一致。如因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提供的结果不符合项目需求内容，</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应重新提供。</w:t>
      </w:r>
      <w:r>
        <w:rPr>
          <w:rFonts w:hint="eastAsia" w:ascii="仿宋" w:hAnsi="仿宋" w:eastAsia="仿宋" w:cs="仿宋"/>
          <w:color w:val="auto"/>
          <w:sz w:val="24"/>
          <w:szCs w:val="24"/>
          <w:highlight w:val="none"/>
          <w:lang w:val="en-US" w:eastAsia="zh-CN"/>
        </w:rPr>
        <w:t>涉及的</w:t>
      </w:r>
      <w:r>
        <w:rPr>
          <w:rFonts w:hint="eastAsia" w:ascii="仿宋" w:hAnsi="仿宋" w:eastAsia="仿宋" w:cs="仿宋"/>
          <w:color w:val="auto"/>
          <w:sz w:val="24"/>
          <w:szCs w:val="24"/>
          <w:highlight w:val="none"/>
          <w:lang w:val="zh-CN" w:eastAsia="zh-CN"/>
        </w:rPr>
        <w:t>费用已包含在响应报价中，甲方不再另行支付；</w:t>
      </w:r>
    </w:p>
    <w:p w14:paraId="3F21B921">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甲方送样时需至少提前1-2天通知</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及时提供样本保存运输的方案，按照实验要求保存样品，若因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的原因造成样品丢失，实验操作不当造成样品损坏，导致采购方项目的损失，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需支付损失赔偿</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lang w:val="zh-CN" w:eastAsia="zh-CN"/>
        </w:rPr>
        <w:t>(赔偿</w:t>
      </w:r>
      <w:r>
        <w:rPr>
          <w:rFonts w:hint="eastAsia" w:ascii="仿宋" w:hAnsi="仿宋" w:eastAsia="仿宋" w:cs="仿宋"/>
          <w:color w:val="auto"/>
          <w:sz w:val="24"/>
          <w:szCs w:val="24"/>
          <w:highlight w:val="none"/>
          <w:lang w:val="en-US" w:eastAsia="zh-CN"/>
        </w:rPr>
        <w:t>款金额为合同</w:t>
      </w:r>
      <w:r>
        <w:rPr>
          <w:rFonts w:hint="eastAsia" w:ascii="仿宋" w:hAnsi="仿宋" w:eastAsia="仿宋" w:cs="仿宋"/>
          <w:color w:val="auto"/>
          <w:sz w:val="24"/>
          <w:szCs w:val="24"/>
          <w:highlight w:val="none"/>
          <w:lang w:val="zh-CN" w:eastAsia="zh-CN"/>
        </w:rPr>
        <w:t>金额的2%)；</w:t>
      </w:r>
    </w:p>
    <w:p w14:paraId="7087DC7B">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如因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失误导致项目失败，</w:t>
      </w:r>
      <w:r>
        <w:rPr>
          <w:rFonts w:hint="eastAsia" w:ascii="仿宋" w:hAnsi="仿宋" w:eastAsia="仿宋" w:cs="仿宋"/>
          <w:color w:val="auto"/>
          <w:sz w:val="24"/>
          <w:szCs w:val="24"/>
          <w:highlight w:val="none"/>
          <w:lang w:val="en-US" w:eastAsia="zh-CN"/>
        </w:rPr>
        <w:t>乙方应</w:t>
      </w:r>
      <w:r>
        <w:rPr>
          <w:rFonts w:hint="eastAsia" w:ascii="仿宋" w:hAnsi="仿宋" w:eastAsia="仿宋" w:cs="仿宋"/>
          <w:color w:val="auto"/>
          <w:sz w:val="24"/>
          <w:szCs w:val="24"/>
          <w:highlight w:val="none"/>
          <w:lang w:val="zh-CN" w:eastAsia="zh-CN"/>
        </w:rPr>
        <w:t>承担责任，</w:t>
      </w:r>
      <w:r>
        <w:rPr>
          <w:rFonts w:hint="eastAsia" w:ascii="仿宋" w:hAnsi="仿宋" w:eastAsia="仿宋" w:cs="仿宋"/>
          <w:color w:val="auto"/>
          <w:sz w:val="24"/>
          <w:szCs w:val="24"/>
          <w:highlight w:val="none"/>
          <w:lang w:val="en-US" w:eastAsia="zh-CN"/>
        </w:rPr>
        <w:t>且需</w:t>
      </w:r>
      <w:r>
        <w:rPr>
          <w:rFonts w:hint="eastAsia" w:ascii="仿宋" w:hAnsi="仿宋" w:eastAsia="仿宋" w:cs="仿宋"/>
          <w:color w:val="auto"/>
          <w:sz w:val="24"/>
          <w:szCs w:val="24"/>
          <w:highlight w:val="none"/>
          <w:lang w:val="zh-CN" w:eastAsia="zh-CN"/>
        </w:rPr>
        <w:t>退还</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已</w:t>
      </w:r>
      <w:r>
        <w:rPr>
          <w:rFonts w:hint="eastAsia" w:ascii="仿宋" w:hAnsi="仿宋" w:eastAsia="仿宋" w:cs="仿宋"/>
          <w:color w:val="auto"/>
          <w:sz w:val="24"/>
          <w:szCs w:val="24"/>
          <w:highlight w:val="none"/>
          <w:lang w:val="en-US" w:eastAsia="zh-CN"/>
        </w:rPr>
        <w:t>经支</w:t>
      </w:r>
      <w:r>
        <w:rPr>
          <w:rFonts w:hint="eastAsia" w:ascii="仿宋" w:hAnsi="仿宋" w:eastAsia="仿宋" w:cs="仿宋"/>
          <w:color w:val="auto"/>
          <w:sz w:val="24"/>
          <w:szCs w:val="24"/>
          <w:highlight w:val="none"/>
          <w:lang w:val="zh-CN" w:eastAsia="zh-CN"/>
        </w:rPr>
        <w:t>付</w:t>
      </w:r>
      <w:r>
        <w:rPr>
          <w:rFonts w:hint="eastAsia" w:ascii="仿宋" w:hAnsi="仿宋" w:eastAsia="仿宋" w:cs="仿宋"/>
          <w:color w:val="auto"/>
          <w:sz w:val="24"/>
          <w:szCs w:val="24"/>
          <w:highlight w:val="none"/>
          <w:lang w:val="en-US" w:eastAsia="zh-CN"/>
        </w:rPr>
        <w:t>的所有</w:t>
      </w:r>
      <w:r>
        <w:rPr>
          <w:rFonts w:hint="eastAsia" w:ascii="仿宋" w:hAnsi="仿宋" w:eastAsia="仿宋" w:cs="仿宋"/>
          <w:color w:val="auto"/>
          <w:sz w:val="24"/>
          <w:szCs w:val="24"/>
          <w:highlight w:val="none"/>
          <w:lang w:val="zh-CN" w:eastAsia="zh-CN"/>
        </w:rPr>
        <w:t>款</w:t>
      </w:r>
      <w:r>
        <w:rPr>
          <w:rFonts w:hint="eastAsia" w:ascii="仿宋" w:hAnsi="仿宋" w:eastAsia="仿宋" w:cs="仿宋"/>
          <w:color w:val="auto"/>
          <w:sz w:val="24"/>
          <w:szCs w:val="24"/>
          <w:highlight w:val="none"/>
          <w:lang w:val="en-US" w:eastAsia="zh-CN"/>
        </w:rPr>
        <w:t>项；</w:t>
      </w:r>
    </w:p>
    <w:p w14:paraId="209CFDBA">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如</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因项目所需，需要对实验数据增加个性化分析，则</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需要在力所能及的范围内，满足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的合理需求。额外个性化分析需求不超过2次；</w:t>
      </w:r>
      <w:r>
        <w:rPr>
          <w:rFonts w:hint="eastAsia" w:ascii="仿宋" w:hAnsi="仿宋" w:eastAsia="仿宋" w:cs="仿宋"/>
          <w:color w:val="auto"/>
          <w:sz w:val="24"/>
          <w:highlight w:val="none"/>
          <w:lang w:val="en-US" w:eastAsia="zh-CN"/>
        </w:rPr>
        <w:t>具体费用另行商议。</w:t>
      </w:r>
    </w:p>
    <w:p w14:paraId="62198342">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乙方转包或分包本项目的，按违约处理，甲方有权终止合同，不予支付未支付的所有款项；</w:t>
      </w:r>
    </w:p>
    <w:p w14:paraId="1D7D4CC2">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 xml:space="preserve">如因乙方失误导致项目失败，乙方承担责任，乙方需将退还甲方已付项目款； </w:t>
      </w:r>
    </w:p>
    <w:p w14:paraId="2202E731">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应当保证其交付给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的研究开发成果不侵犯任何第三人的合法权益。如有第三方向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提出侵犯其专利权、商标权或其它知识产权的主张，该责任应由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承担；</w:t>
      </w:r>
    </w:p>
    <w:p w14:paraId="251CBFA4">
      <w:pPr>
        <w:keepNext w:val="0"/>
        <w:keepLines w:val="0"/>
        <w:pageBreakBefore w:val="0"/>
        <w:widowControl w:val="0"/>
        <w:numPr>
          <w:ilvl w:val="0"/>
          <w:numId w:val="105"/>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未经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同意，不得将</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标本用于他用。</w:t>
      </w:r>
    </w:p>
    <w:p w14:paraId="3D87F62F">
      <w:pPr>
        <w:keepNext w:val="0"/>
        <w:keepLines w:val="0"/>
        <w:pageBreakBefore w:val="0"/>
        <w:widowControl w:val="0"/>
        <w:numPr>
          <w:ilvl w:val="0"/>
          <w:numId w:val="103"/>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其他事项</w:t>
      </w:r>
    </w:p>
    <w:p w14:paraId="64E513D8">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若有反复（多次）实验，导致合同期内项目无法完成，经双方同意，合同完成的期限可根据实验进程中重复实验的时间进行适当的延期；</w:t>
      </w:r>
    </w:p>
    <w:p w14:paraId="6775E8FC">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若在实验中遇到技术障碍，乙方应与甲方及时沟通，甲方应及时予以反馈，双方沟通时间应从合同工作日中扣除；</w:t>
      </w:r>
    </w:p>
    <w:p w14:paraId="6C68F45E">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如因不可抗拒的客观因素（如水电供应中断、灾害等）或未能预见的技术困难导致的项目延误，甲、乙双方均不承担责任；</w:t>
      </w:r>
    </w:p>
    <w:p w14:paraId="0C0F1C35">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执行过程中所有环节和内容，均需遵循国家、省、市有关法律、标准、技术规范和规范性文件的最新规定。合同期内如遇国家法律法规或上级政策变动，乙方须无条件服从配合，并按新的法规、政策执行，甲方将不承担任何责任。如甲方有需要，应在过渡期间继续向甲方提供服务，确保项目的推进；</w:t>
      </w:r>
    </w:p>
    <w:p w14:paraId="2E0B3E57">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合同签订后，甲方、乙方双方均应严格履行，如因本合同的履行发生争议，甲方、乙方双方应积极协商解决，协商不成，可向甲方所在地人民法院提起诉讼；</w:t>
      </w:r>
    </w:p>
    <w:p w14:paraId="19A2B7E0">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如因生物技术带有不确定性和技术风险导致项目中止，按照乙方实际已完成的工作量计算已发生费用，甲、乙方双方各承担50%的损失； </w:t>
      </w:r>
    </w:p>
    <w:p w14:paraId="5F9270AC">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本项目合同生效后，若一方未按约定期限履行合同（付款除外），应向对方支付的违约金逾期每天以合同总价的1‰计。逾期超过30日，未违约方有权解除合同，并保留向违约方索赔的权利。</w:t>
      </w:r>
    </w:p>
    <w:p w14:paraId="7C7135FE">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其它违约责任按合同其他条款约定及《中华人民共和国民法典》规定处理。</w:t>
      </w:r>
    </w:p>
    <w:p w14:paraId="14A777F4">
      <w:pPr>
        <w:keepNext w:val="0"/>
        <w:keepLines w:val="0"/>
        <w:pageBreakBefore w:val="0"/>
        <w:widowControl w:val="0"/>
        <w:numPr>
          <w:ilvl w:val="0"/>
          <w:numId w:val="106"/>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为确保本项目的规范性与严肃性，甲乙双方均需遵守以下要求：</w:t>
      </w:r>
    </w:p>
    <w:p w14:paraId="49E314C3">
      <w:pPr>
        <w:keepNext w:val="0"/>
        <w:keepLines w:val="0"/>
        <w:pageBreakBefore w:val="0"/>
        <w:widowControl w:val="0"/>
        <w:numPr>
          <w:ilvl w:val="0"/>
          <w:numId w:val="107"/>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乙方交付的实验报告、科研成果等，仅能用于甲方开展的科学研究；</w:t>
      </w:r>
    </w:p>
    <w:p w14:paraId="17E46D04">
      <w:pPr>
        <w:keepNext w:val="0"/>
        <w:keepLines w:val="0"/>
        <w:pageBreakBefore w:val="0"/>
        <w:widowControl w:val="0"/>
        <w:numPr>
          <w:ilvl w:val="0"/>
          <w:numId w:val="107"/>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乙方不得将上述资料用于商业运作、非法获利，或实施任何不符合科研伦理、违背项目要求的行为；</w:t>
      </w:r>
    </w:p>
    <w:p w14:paraId="6044B1C4">
      <w:pPr>
        <w:keepNext w:val="0"/>
        <w:keepLines w:val="0"/>
        <w:pageBreakBefore w:val="0"/>
        <w:widowControl w:val="0"/>
        <w:numPr>
          <w:ilvl w:val="0"/>
          <w:numId w:val="107"/>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甲方不得将乙方交付的资料用于病人诊疗及日常医疗工作，不得进行任何可能损害成交供应商权益，或违反科研规定、具有商业性质的操作；</w:t>
      </w:r>
    </w:p>
    <w:p w14:paraId="64AA826B">
      <w:pPr>
        <w:keepNext w:val="0"/>
        <w:keepLines w:val="0"/>
        <w:pageBreakBefore w:val="0"/>
        <w:widowControl w:val="0"/>
        <w:numPr>
          <w:ilvl w:val="0"/>
          <w:numId w:val="107"/>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任一方违反上述规定，合同将自动失效。过错方须在合同失效之日起10个工作日内，退还所有已支付的款项，并赔偿无责方因过错方违约行为而产生的所有损失。损失计算依据相关法律法规及行业惯例，包括但不限于直接经济损失（如项目前期投入成本、已采购但未使用的设备物资费用等）、间接经济损失（如预期收益损失、因项目延误导致的其他合作机会丧失等）以及为维护自身合法权益而支出的合理费用（如差旅费、鉴定费、律师费等）。</w:t>
      </w:r>
    </w:p>
    <w:p w14:paraId="738CD9CF">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合同解除</w:t>
      </w:r>
    </w:p>
    <w:p w14:paraId="7D8CCD6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双方确定，出现下列情形，致使本合同的履行成为不必要或不可能的，可以解除本合同：</w:t>
      </w:r>
    </w:p>
    <w:p w14:paraId="1DB2299E">
      <w:pPr>
        <w:keepNext w:val="0"/>
        <w:keepLines w:val="0"/>
        <w:pageBreakBefore w:val="0"/>
        <w:widowControl w:val="0"/>
        <w:numPr>
          <w:ilvl w:val="0"/>
          <w:numId w:val="108"/>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发生不可抗力，经双方协商同意解除本合同的；</w:t>
      </w:r>
    </w:p>
    <w:p w14:paraId="104BB903">
      <w:pPr>
        <w:keepNext w:val="0"/>
        <w:keepLines w:val="0"/>
        <w:pageBreakBefore w:val="0"/>
        <w:widowControl w:val="0"/>
        <w:numPr>
          <w:ilvl w:val="0"/>
          <w:numId w:val="108"/>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如果一方违反合同，并在收到对方违约通知书后30天内仍未能改正违约的另一方可立即终止本合同。</w:t>
      </w:r>
    </w:p>
    <w:p w14:paraId="56F3437A">
      <w:pPr>
        <w:keepNext w:val="0"/>
        <w:keepLines w:val="0"/>
        <w:pageBreakBefore w:val="0"/>
        <w:widowControl w:val="0"/>
        <w:numPr>
          <w:ilvl w:val="0"/>
          <w:numId w:val="108"/>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没有必要继续履行。</w:t>
      </w:r>
    </w:p>
    <w:p w14:paraId="4D70782F">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知识产权的归属</w:t>
      </w:r>
    </w:p>
    <w:p w14:paraId="6EBF8D3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本项目所产生的数据，甲方拥有完全的使用权和支配权，乙方不涉及到知识产权、成果申报和文章署名问题。</w:t>
      </w:r>
    </w:p>
    <w:p w14:paraId="459A927D">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保密责任</w:t>
      </w:r>
    </w:p>
    <w:p w14:paraId="69298054">
      <w:pPr>
        <w:keepNext w:val="0"/>
        <w:keepLines w:val="0"/>
        <w:pageBreakBefore w:val="0"/>
        <w:widowControl w:val="0"/>
        <w:numPr>
          <w:ilvl w:val="0"/>
          <w:numId w:val="109"/>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采购人、成交供应商均</w:t>
      </w:r>
      <w:r>
        <w:rPr>
          <w:rFonts w:hint="eastAsia" w:ascii="仿宋" w:hAnsi="仿宋" w:eastAsia="仿宋" w:cs="仿宋"/>
          <w:color w:val="auto"/>
          <w:sz w:val="24"/>
          <w:szCs w:val="24"/>
          <w:highlight w:val="none"/>
          <w:lang w:val="zh-CN" w:eastAsia="zh-CN"/>
        </w:rPr>
        <w:t>应履行以下保密义务：</w:t>
      </w:r>
    </w:p>
    <w:p w14:paraId="404B7674">
      <w:pPr>
        <w:keepNext w:val="0"/>
        <w:keepLines w:val="0"/>
        <w:pageBreakBefore w:val="0"/>
        <w:widowControl w:val="0"/>
        <w:numPr>
          <w:ilvl w:val="0"/>
          <w:numId w:val="110"/>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保密内容（包括技术信息和经营信息）：</w:t>
      </w:r>
      <w:r>
        <w:rPr>
          <w:rFonts w:hint="eastAsia" w:ascii="仿宋" w:hAnsi="仿宋" w:eastAsia="仿宋" w:cs="仿宋"/>
          <w:color w:val="auto"/>
          <w:sz w:val="24"/>
          <w:szCs w:val="24"/>
          <w:highlight w:val="none"/>
          <w:lang w:val="en-US" w:eastAsia="zh-CN"/>
        </w:rPr>
        <w:t>甲、乙</w:t>
      </w:r>
      <w:r>
        <w:rPr>
          <w:rFonts w:hint="eastAsia" w:ascii="仿宋" w:hAnsi="仿宋" w:eastAsia="仿宋" w:cs="仿宋"/>
          <w:color w:val="auto"/>
          <w:sz w:val="24"/>
          <w:szCs w:val="24"/>
          <w:highlight w:val="none"/>
          <w:lang w:val="zh-CN" w:eastAsia="zh-CN"/>
        </w:rPr>
        <w:t>双方因本项目合同的履行而获知的不为公众所知悉的信息，包括但不限于本项目涉及的临床研究相关资料、实验内容、原始资料、技术路线、试验报告、患者隐私信息及与试验有关的资料、结果及价格等。未经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书面同意，</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不得将上述信息泄露给任何第三方；未经</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书面同意，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不得将本项目技术路线、价格等涉及</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机密的资料泄漏给第三方。</w:t>
      </w:r>
    </w:p>
    <w:p w14:paraId="68D8F660">
      <w:pPr>
        <w:keepNext w:val="0"/>
        <w:keepLines w:val="0"/>
        <w:pageBreakBefore w:val="0"/>
        <w:widowControl w:val="0"/>
        <w:numPr>
          <w:ilvl w:val="0"/>
          <w:numId w:val="110"/>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涉密人员范围：包括但不限于直接参与项目的实验技术人员、数据分析人员、接触数据的第三方支持人员。</w:t>
      </w:r>
    </w:p>
    <w:p w14:paraId="61C5A1A8">
      <w:pPr>
        <w:keepNext w:val="0"/>
        <w:keepLines w:val="0"/>
        <w:pageBreakBefore w:val="0"/>
        <w:widowControl w:val="0"/>
        <w:numPr>
          <w:ilvl w:val="0"/>
          <w:numId w:val="110"/>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szCs w:val="24"/>
          <w:highlight w:val="none"/>
          <w:lang w:val="zh-CN" w:eastAsia="zh-CN"/>
        </w:rPr>
        <w:t>保密期限：双方就本项目合同的签订之日起，直至相应保密内容由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向社会公众公开之日止（</w:t>
      </w:r>
      <w:r>
        <w:rPr>
          <w:rFonts w:hint="eastAsia" w:ascii="仿宋" w:hAnsi="仿宋" w:eastAsia="仿宋" w:cs="仿宋"/>
          <w:color w:val="auto"/>
          <w:sz w:val="24"/>
          <w:szCs w:val="24"/>
          <w:highlight w:val="none"/>
          <w:lang w:val="en-US" w:eastAsia="zh-CN"/>
        </w:rPr>
        <w:t>原则上不少于3年，具体以项目的实施情况为准</w:t>
      </w:r>
      <w:r>
        <w:rPr>
          <w:rFonts w:hint="eastAsia" w:ascii="仿宋" w:hAnsi="仿宋" w:eastAsia="仿宋" w:cs="仿宋"/>
          <w:color w:val="auto"/>
          <w:sz w:val="24"/>
          <w:szCs w:val="24"/>
          <w:highlight w:val="none"/>
          <w:lang w:val="zh-CN" w:eastAsia="zh-CN"/>
        </w:rPr>
        <w:t>）。</w:t>
      </w:r>
    </w:p>
    <w:p w14:paraId="38B59F30">
      <w:pPr>
        <w:keepNext w:val="0"/>
        <w:keepLines w:val="0"/>
        <w:pageBreakBefore w:val="0"/>
        <w:widowControl w:val="0"/>
        <w:numPr>
          <w:ilvl w:val="0"/>
          <w:numId w:val="110"/>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szCs w:val="24"/>
          <w:highlight w:val="none"/>
          <w:lang w:val="zh-CN" w:eastAsia="zh-CN"/>
        </w:rPr>
        <w:t>泄密赔偿：</w:t>
      </w:r>
      <w:r>
        <w:rPr>
          <w:rFonts w:hint="eastAsia" w:ascii="仿宋" w:hAnsi="仿宋" w:eastAsia="仿宋" w:cs="仿宋"/>
          <w:color w:val="auto"/>
          <w:sz w:val="24"/>
          <w:szCs w:val="24"/>
          <w:highlight w:val="none"/>
          <w:lang w:val="en-US" w:eastAsia="zh-CN"/>
        </w:rPr>
        <w:t>如发生泄密事件，泄密方需向无责方支付赔偿款（赔偿款金额为不少于合同金额的 5%，具体赔偿金额将综合考虑泄密信息的保密等级、传播范围、对无责方业务及商誉造成的实际损害等因素确定）；如造成重大损失，无责方依法追究泄密方刑事责任。</w:t>
      </w:r>
    </w:p>
    <w:p w14:paraId="76A2506C">
      <w:pPr>
        <w:keepNext w:val="0"/>
        <w:keepLines w:val="0"/>
        <w:pageBreakBefore w:val="0"/>
        <w:widowControl w:val="0"/>
        <w:numPr>
          <w:ilvl w:val="0"/>
          <w:numId w:val="110"/>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highlight w:val="none"/>
          <w:lang w:val="zh-CN" w:eastAsia="zh-CN"/>
        </w:rPr>
        <w:t>若</w:t>
      </w:r>
      <w:r>
        <w:rPr>
          <w:rFonts w:hint="eastAsia" w:ascii="仿宋" w:hAnsi="仿宋" w:eastAsia="仿宋" w:cs="仿宋"/>
          <w:color w:val="auto"/>
          <w:sz w:val="24"/>
          <w:highlight w:val="none"/>
          <w:lang w:val="en-US" w:eastAsia="zh-CN"/>
        </w:rPr>
        <w:t>甲、乙</w:t>
      </w:r>
      <w:r>
        <w:rPr>
          <w:rFonts w:hint="eastAsia" w:ascii="仿宋" w:hAnsi="仿宋" w:eastAsia="仿宋" w:cs="仿宋"/>
          <w:color w:val="auto"/>
          <w:sz w:val="24"/>
          <w:highlight w:val="none"/>
          <w:lang w:val="zh-CN" w:eastAsia="zh-CN"/>
        </w:rPr>
        <w:t>双方对赔偿金额有争议，可协商选择双方认可的第三方专业机构进行评估，评估费用由泄密方承担，评估结果作为确定赔偿金额的依据。</w:t>
      </w:r>
    </w:p>
    <w:p w14:paraId="2D0CF478">
      <w:pPr>
        <w:keepNext w:val="0"/>
        <w:keepLines w:val="0"/>
        <w:pageBreakBefore w:val="0"/>
        <w:widowControl w:val="0"/>
        <w:numPr>
          <w:ilvl w:val="0"/>
          <w:numId w:val="110"/>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所有专利、著作权等知识产权归</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独有。</w:t>
      </w:r>
    </w:p>
    <w:p w14:paraId="5122724F">
      <w:pPr>
        <w:keepNext w:val="0"/>
        <w:keepLines w:val="0"/>
        <w:pageBreakBefore w:val="0"/>
        <w:widowControl w:val="0"/>
        <w:numPr>
          <w:ilvl w:val="0"/>
          <w:numId w:val="109"/>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lang w:val="zh-CN" w:eastAsia="zh-CN"/>
        </w:rPr>
        <w:t>不得在向采购人交付研究开发成果之前，自行将研究开发成果转让给第三人。</w:t>
      </w:r>
    </w:p>
    <w:p w14:paraId="7E7943B2">
      <w:pPr>
        <w:keepNext w:val="0"/>
        <w:keepLines w:val="0"/>
        <w:pageBreakBefore w:val="0"/>
        <w:widowControl w:val="0"/>
        <w:numPr>
          <w:ilvl w:val="0"/>
          <w:numId w:val="109"/>
        </w:numPr>
        <w:kinsoku/>
        <w:wordWrap/>
        <w:overflowPunct/>
        <w:topLinePunct w:val="0"/>
        <w:autoSpaceDE/>
        <w:autoSpaceDN/>
        <w:bidi w:val="0"/>
        <w:adjustRightInd/>
        <w:snapToGrid/>
        <w:spacing w:beforeAutospacing="0"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其它保密责任按合同其他条款约定及《中华人民共和国保守国家秘密法》等相关规定处理。</w:t>
      </w:r>
    </w:p>
    <w:p w14:paraId="3D22D62E">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备注（甲乙双方需要增加的条款）</w:t>
      </w:r>
    </w:p>
    <w:p w14:paraId="7C7F6B3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2" w:firstLineChars="200"/>
        <w:textAlignment w:val="auto"/>
        <w:rPr>
          <w:rFonts w:hint="eastAsia" w:ascii="仿宋" w:hAnsi="仿宋" w:eastAsia="仿宋" w:cs="仿宋"/>
          <w:b/>
          <w:color w:val="auto"/>
          <w:sz w:val="24"/>
          <w:szCs w:val="24"/>
          <w:highlight w:val="none"/>
          <w:u w:val="single"/>
          <w:lang w:eastAsia="zh-CN"/>
        </w:rPr>
      </w:pPr>
      <w:r>
        <w:rPr>
          <w:rFonts w:hint="eastAsia" w:ascii="仿宋" w:hAnsi="仿宋" w:eastAsia="仿宋" w:cs="仿宋"/>
          <w:b/>
          <w:color w:val="auto"/>
          <w:sz w:val="24"/>
          <w:szCs w:val="24"/>
          <w:highlight w:val="none"/>
          <w:u w:val="single"/>
          <w:lang w:eastAsia="zh-CN"/>
        </w:rPr>
        <w:t xml:space="preserve">     无                                                                  </w:t>
      </w:r>
    </w:p>
    <w:p w14:paraId="3F41FCC5">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合同生效</w:t>
      </w:r>
    </w:p>
    <w:p w14:paraId="618AE3E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本协议一式</w:t>
      </w:r>
      <w:r>
        <w:rPr>
          <w:rFonts w:hint="eastAsia" w:ascii="仿宋" w:hAnsi="仿宋" w:eastAsia="仿宋" w:cs="仿宋"/>
          <w:color w:val="auto"/>
          <w:sz w:val="24"/>
          <w:szCs w:val="24"/>
          <w:highlight w:val="none"/>
          <w:u w:val="single"/>
          <w:lang w:eastAsia="zh-CN"/>
        </w:rPr>
        <w:t xml:space="preserve">  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eastAsia="zh-CN"/>
        </w:rPr>
        <w:t>份</w:t>
      </w:r>
      <w:r>
        <w:rPr>
          <w:rFonts w:hint="eastAsia" w:ascii="仿宋" w:hAnsi="仿宋" w:eastAsia="仿宋" w:cs="仿宋"/>
          <w:color w:val="auto"/>
          <w:sz w:val="24"/>
          <w:szCs w:val="24"/>
          <w:highlight w:val="none"/>
          <w:lang w:eastAsia="zh-CN"/>
        </w:rPr>
        <w:t>，甲方执叁份，乙方执壹份。各份具有同等效力。自双方授权代表签字并盖章后生效。如甲方签约时间有变更，以盖章时间为准。本合同的附件具有同等的法律效力。</w:t>
      </w:r>
    </w:p>
    <w:p w14:paraId="28565363">
      <w:pPr>
        <w:keepNext w:val="0"/>
        <w:keepLines w:val="0"/>
        <w:pageBreakBefore w:val="0"/>
        <w:widowControl w:val="0"/>
        <w:numPr>
          <w:ilvl w:val="0"/>
          <w:numId w:val="84"/>
        </w:numPr>
        <w:kinsoku/>
        <w:wordWrap/>
        <w:overflowPunct/>
        <w:topLinePunct w:val="0"/>
        <w:autoSpaceDE/>
        <w:autoSpaceDN/>
        <w:bidi w:val="0"/>
        <w:adjustRightInd/>
        <w:snapToGrid/>
        <w:spacing w:beforeAutospacing="0" w:line="360" w:lineRule="auto"/>
        <w:ind w:left="0" w:leftChars="0" w:firstLine="420" w:firstLineChars="0"/>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eastAsia="zh-CN"/>
        </w:rPr>
        <w:t>补充约定</w:t>
      </w:r>
    </w:p>
    <w:p w14:paraId="12C9CC7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本合同未尽事宜，双方友好协商解决或另行签约。</w:t>
      </w:r>
    </w:p>
    <w:p w14:paraId="71A135B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auto"/>
          <w:sz w:val="24"/>
          <w:szCs w:val="24"/>
          <w:highlight w:val="none"/>
          <w:lang w:eastAsia="zh-CN"/>
        </w:rPr>
      </w:pPr>
    </w:p>
    <w:p w14:paraId="509621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甲方：                              乙方：</w:t>
      </w:r>
    </w:p>
    <w:p w14:paraId="2A957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签章：                              签章：</w:t>
      </w:r>
    </w:p>
    <w:p w14:paraId="42E0C85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法定代表人／委托代理人：            法定代表人／委托代理人：</w:t>
      </w:r>
    </w:p>
    <w:p w14:paraId="4473A0D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auto"/>
          <w:sz w:val="24"/>
          <w:szCs w:val="24"/>
          <w:highlight w:val="none"/>
          <w:lang w:eastAsia="zh-CN"/>
        </w:rPr>
        <w:sectPr>
          <w:pgSz w:w="11906" w:h="16838"/>
          <w:pgMar w:top="1440" w:right="947" w:bottom="1440" w:left="879" w:header="170" w:footer="992" w:gutter="0"/>
          <w:pgNumType w:fmt="decimal"/>
          <w:cols w:space="0" w:num="1"/>
          <w:rtlGutter w:val="0"/>
          <w:docGrid w:type="lines" w:linePitch="312" w:charSpace="0"/>
        </w:sectPr>
      </w:pPr>
      <w:r>
        <w:rPr>
          <w:rFonts w:hint="eastAsia" w:ascii="仿宋" w:hAnsi="仿宋" w:eastAsia="仿宋" w:cs="仿宋"/>
          <w:b/>
          <w:color w:val="auto"/>
          <w:sz w:val="24"/>
          <w:szCs w:val="24"/>
          <w:highlight w:val="none"/>
        </w:rPr>
        <w:t>日期：      年    月    日          日期：    年   月    日</w:t>
      </w:r>
    </w:p>
    <w:p w14:paraId="6E87D45C">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auto"/>
          <w:highlight w:val="none"/>
        </w:rPr>
      </w:pPr>
    </w:p>
    <w:p w14:paraId="6F91CD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14:paraId="77F6DB5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14:paraId="445734A2">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五</w:t>
      </w:r>
      <w:r>
        <w:rPr>
          <w:rFonts w:hint="eastAsia" w:ascii="微软雅黑" w:hAnsi="微软雅黑" w:eastAsia="微软雅黑" w:cs="微软雅黑"/>
          <w:color w:val="auto"/>
          <w:highlight w:val="none"/>
        </w:rPr>
        <w:t>章</w:t>
      </w:r>
      <w:r>
        <w:rPr>
          <w:rFonts w:hint="eastAsia" w:ascii="微软雅黑" w:hAnsi="微软雅黑" w:eastAsia="微软雅黑" w:cs="微软雅黑"/>
          <w:color w:val="auto"/>
          <w:highlight w:val="none"/>
          <w:lang w:val="en-US" w:eastAsia="zh-CN"/>
        </w:rPr>
        <w:t xml:space="preserve"> 响应文件编制要求</w:t>
      </w:r>
    </w:p>
    <w:p w14:paraId="7B7E6257">
      <w:pPr>
        <w:pStyle w:val="31"/>
        <w:rPr>
          <w:rFonts w:hint="eastAsia"/>
          <w:color w:val="auto"/>
          <w:highlight w:val="none"/>
        </w:rPr>
      </w:pPr>
    </w:p>
    <w:p w14:paraId="30D32893">
      <w:pPr>
        <w:pStyle w:val="31"/>
        <w:rPr>
          <w:rFonts w:hint="eastAsia"/>
          <w:color w:val="auto"/>
          <w:highlight w:val="none"/>
        </w:rPr>
      </w:pPr>
    </w:p>
    <w:p w14:paraId="3B1E524E">
      <w:pPr>
        <w:pStyle w:val="31"/>
        <w:rPr>
          <w:rFonts w:hint="eastAsia"/>
          <w:color w:val="auto"/>
          <w:highlight w:val="none"/>
        </w:rPr>
      </w:pPr>
    </w:p>
    <w:p w14:paraId="2237CBA5">
      <w:pPr>
        <w:pStyle w:val="31"/>
        <w:rPr>
          <w:rFonts w:hint="eastAsia" w:ascii="仿宋" w:hAnsi="仿宋" w:eastAsia="仿宋" w:cs="仿宋"/>
          <w:color w:val="auto"/>
          <w:highlight w:val="none"/>
        </w:rPr>
      </w:pPr>
      <w:r>
        <w:rPr>
          <w:rFonts w:hint="eastAsia" w:ascii="仿宋" w:hAnsi="仿宋" w:eastAsia="仿宋" w:cs="仿宋"/>
          <w:b/>
          <w:color w:val="auto"/>
          <w:sz w:val="32"/>
          <w:szCs w:val="18"/>
          <w:highlight w:val="none"/>
        </w:rPr>
        <w:t>（请</w:t>
      </w:r>
      <w:r>
        <w:rPr>
          <w:rFonts w:hint="eastAsia" w:ascii="仿宋" w:hAnsi="仿宋" w:eastAsia="仿宋" w:cs="仿宋"/>
          <w:b/>
          <w:color w:val="auto"/>
          <w:sz w:val="32"/>
          <w:szCs w:val="18"/>
          <w:highlight w:val="none"/>
          <w:lang w:val="en-US" w:eastAsia="zh-CN"/>
        </w:rPr>
        <w:t>响应</w:t>
      </w:r>
      <w:r>
        <w:rPr>
          <w:rFonts w:hint="eastAsia" w:ascii="仿宋" w:hAnsi="仿宋" w:eastAsia="仿宋" w:cs="仿宋"/>
          <w:b/>
          <w:color w:val="auto"/>
          <w:sz w:val="32"/>
          <w:szCs w:val="18"/>
          <w:highlight w:val="none"/>
        </w:rPr>
        <w:t>人按照以下文件的要求格式、内容、顺序制作</w:t>
      </w:r>
      <w:r>
        <w:rPr>
          <w:rFonts w:hint="eastAsia" w:ascii="仿宋" w:hAnsi="仿宋" w:eastAsia="仿宋" w:cs="仿宋"/>
          <w:b/>
          <w:color w:val="auto"/>
          <w:sz w:val="32"/>
          <w:szCs w:val="18"/>
          <w:highlight w:val="none"/>
          <w:lang w:val="en-US" w:eastAsia="zh-CN"/>
        </w:rPr>
        <w:t>响应</w:t>
      </w:r>
      <w:r>
        <w:rPr>
          <w:rFonts w:hint="eastAsia" w:ascii="仿宋" w:hAnsi="仿宋" w:eastAsia="仿宋" w:cs="仿宋"/>
          <w:b/>
          <w:color w:val="auto"/>
          <w:sz w:val="32"/>
          <w:szCs w:val="18"/>
          <w:highlight w:val="none"/>
        </w:rPr>
        <w:t>文件，并请编制目录及页码，否则可能将影响对</w:t>
      </w:r>
      <w:r>
        <w:rPr>
          <w:rFonts w:hint="eastAsia" w:ascii="仿宋" w:hAnsi="仿宋" w:eastAsia="仿宋" w:cs="仿宋"/>
          <w:b/>
          <w:color w:val="auto"/>
          <w:sz w:val="32"/>
          <w:szCs w:val="18"/>
          <w:highlight w:val="none"/>
          <w:lang w:val="en-US" w:eastAsia="zh-CN"/>
        </w:rPr>
        <w:t>响应</w:t>
      </w:r>
      <w:r>
        <w:rPr>
          <w:rFonts w:hint="eastAsia" w:ascii="仿宋" w:hAnsi="仿宋" w:eastAsia="仿宋" w:cs="仿宋"/>
          <w:b/>
          <w:color w:val="auto"/>
          <w:sz w:val="32"/>
          <w:szCs w:val="18"/>
          <w:highlight w:val="none"/>
        </w:rPr>
        <w:t>文件的评价。）</w:t>
      </w:r>
    </w:p>
    <w:p w14:paraId="7DFCF2B7">
      <w:pPr>
        <w:pStyle w:val="31"/>
        <w:rPr>
          <w:rFonts w:hint="eastAsia"/>
          <w:color w:val="auto"/>
          <w:highlight w:val="none"/>
        </w:rPr>
      </w:pPr>
    </w:p>
    <w:p w14:paraId="15A9277E">
      <w:pPr>
        <w:pStyle w:val="31"/>
        <w:rPr>
          <w:rFonts w:hint="eastAsia"/>
          <w:color w:val="auto"/>
          <w:highlight w:val="none"/>
        </w:rPr>
      </w:pPr>
    </w:p>
    <w:p w14:paraId="7C1FEF0A">
      <w:pPr>
        <w:pStyle w:val="31"/>
        <w:rPr>
          <w:rFonts w:hint="eastAsia"/>
          <w:color w:val="auto"/>
          <w:highlight w:val="none"/>
        </w:rPr>
      </w:pPr>
    </w:p>
    <w:p w14:paraId="173EC6FF">
      <w:pPr>
        <w:pStyle w:val="31"/>
        <w:rPr>
          <w:rFonts w:hint="eastAsia"/>
          <w:color w:val="auto"/>
          <w:highlight w:val="none"/>
        </w:rPr>
      </w:pPr>
    </w:p>
    <w:p w14:paraId="0CEAA3CB">
      <w:pPr>
        <w:pStyle w:val="31"/>
        <w:rPr>
          <w:rFonts w:hint="eastAsia"/>
          <w:color w:val="auto"/>
          <w:highlight w:val="none"/>
        </w:rPr>
      </w:pPr>
    </w:p>
    <w:p w14:paraId="11A88868">
      <w:pPr>
        <w:pStyle w:val="31"/>
        <w:rPr>
          <w:rFonts w:hint="eastAsia"/>
          <w:color w:val="auto"/>
          <w:highlight w:val="none"/>
        </w:rPr>
      </w:pPr>
    </w:p>
    <w:p w14:paraId="4F12A110">
      <w:pPr>
        <w:pStyle w:val="31"/>
        <w:rPr>
          <w:rFonts w:hint="eastAsia"/>
          <w:color w:val="auto"/>
          <w:highlight w:val="none"/>
        </w:rPr>
      </w:pPr>
    </w:p>
    <w:p w14:paraId="5E4DAFD9">
      <w:pPr>
        <w:pStyle w:val="31"/>
        <w:rPr>
          <w:rFonts w:hint="eastAsia"/>
          <w:color w:val="auto"/>
          <w:highlight w:val="none"/>
        </w:rPr>
      </w:pPr>
    </w:p>
    <w:p w14:paraId="5CC33679">
      <w:pPr>
        <w:pStyle w:val="31"/>
        <w:rPr>
          <w:rFonts w:hint="eastAsia"/>
          <w:color w:val="auto"/>
          <w:highlight w:val="none"/>
        </w:rPr>
      </w:pPr>
    </w:p>
    <w:p w14:paraId="6DB9CA80">
      <w:pPr>
        <w:pStyle w:val="31"/>
        <w:rPr>
          <w:rFonts w:hint="eastAsia"/>
          <w:color w:val="auto"/>
          <w:highlight w:val="none"/>
        </w:rPr>
      </w:pPr>
    </w:p>
    <w:p w14:paraId="76AF40C2">
      <w:pPr>
        <w:pStyle w:val="31"/>
        <w:rPr>
          <w:rFonts w:hint="eastAsia"/>
          <w:color w:val="auto"/>
          <w:highlight w:val="none"/>
        </w:rPr>
      </w:pPr>
    </w:p>
    <w:p w14:paraId="1E4A95CF">
      <w:pPr>
        <w:pStyle w:val="31"/>
        <w:rPr>
          <w:rFonts w:hint="eastAsia"/>
          <w:color w:val="auto"/>
          <w:highlight w:val="none"/>
        </w:rPr>
      </w:pPr>
    </w:p>
    <w:p w14:paraId="48622631">
      <w:pPr>
        <w:pStyle w:val="31"/>
        <w:rPr>
          <w:rFonts w:hint="eastAsia"/>
          <w:color w:val="auto"/>
          <w:highlight w:val="none"/>
        </w:rPr>
      </w:pPr>
    </w:p>
    <w:p w14:paraId="52FE2C37">
      <w:pPr>
        <w:pStyle w:val="31"/>
        <w:rPr>
          <w:rFonts w:hint="eastAsia"/>
          <w:color w:val="auto"/>
          <w:highlight w:val="none"/>
        </w:rPr>
      </w:pPr>
    </w:p>
    <w:p w14:paraId="16352E44">
      <w:pPr>
        <w:pStyle w:val="31"/>
        <w:rPr>
          <w:rFonts w:hint="eastAsia"/>
          <w:color w:val="auto"/>
          <w:highlight w:val="none"/>
        </w:rPr>
      </w:pPr>
    </w:p>
    <w:p w14:paraId="657D267F">
      <w:pPr>
        <w:pStyle w:val="31"/>
        <w:rPr>
          <w:rFonts w:hint="eastAsia"/>
          <w:color w:val="auto"/>
          <w:highlight w:val="none"/>
        </w:rPr>
      </w:pPr>
    </w:p>
    <w:p w14:paraId="16777D91">
      <w:pPr>
        <w:pStyle w:val="31"/>
        <w:rPr>
          <w:rFonts w:hint="eastAsia"/>
          <w:color w:val="auto"/>
          <w:highlight w:val="none"/>
        </w:rPr>
      </w:pPr>
    </w:p>
    <w:p w14:paraId="49BE27A4">
      <w:pPr>
        <w:pStyle w:val="31"/>
        <w:rPr>
          <w:rFonts w:hint="eastAsia"/>
          <w:color w:val="auto"/>
          <w:highlight w:val="none"/>
        </w:rPr>
      </w:pPr>
    </w:p>
    <w:p w14:paraId="11372D08">
      <w:pPr>
        <w:pStyle w:val="31"/>
        <w:spacing w:line="360" w:lineRule="auto"/>
        <w:ind w:left="0" w:leftChars="0" w:firstLine="0" w:firstLineChars="0"/>
        <w:jc w:val="center"/>
        <w:rPr>
          <w:rFonts w:hint="eastAsia" w:ascii="华文中宋" w:hAnsi="华文中宋" w:eastAsia="华文中宋" w:cs="华文中宋"/>
          <w:b/>
          <w:bCs/>
          <w:color w:val="auto"/>
          <w:sz w:val="48"/>
          <w:szCs w:val="72"/>
          <w:highlight w:val="none"/>
          <w:lang w:val="en-US" w:eastAsia="zh-CN"/>
        </w:rPr>
      </w:pPr>
    </w:p>
    <w:p w14:paraId="1D8A01C5">
      <w:pPr>
        <w:pStyle w:val="31"/>
        <w:spacing w:line="360" w:lineRule="auto"/>
        <w:ind w:left="0" w:leftChars="0" w:firstLine="0" w:firstLineChars="0"/>
        <w:jc w:val="center"/>
        <w:rPr>
          <w:rFonts w:hint="eastAsia" w:ascii="华文中宋" w:hAnsi="华文中宋" w:eastAsia="华文中宋" w:cs="华文中宋"/>
          <w:b/>
          <w:bCs/>
          <w:color w:val="auto"/>
          <w:sz w:val="48"/>
          <w:szCs w:val="72"/>
          <w:highlight w:val="none"/>
          <w:lang w:val="en-US" w:eastAsia="zh-CN"/>
        </w:rPr>
      </w:pPr>
      <w:r>
        <w:rPr>
          <w:rFonts w:hint="eastAsia" w:ascii="华文中宋" w:hAnsi="华文中宋" w:eastAsia="华文中宋" w:cs="华文中宋"/>
          <w:b/>
          <w:bCs/>
          <w:color w:val="auto"/>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（本提示内容非</w:t>
      </w:r>
      <w:r>
        <w:rPr>
          <w:rFonts w:hint="eastAsia" w:ascii="黑体" w:hAnsi="黑体" w:eastAsia="黑体" w:cs="黑体"/>
          <w:color w:val="auto"/>
          <w:sz w:val="28"/>
          <w:szCs w:val="28"/>
          <w:highlight w:val="none"/>
          <w:lang w:eastAsia="zh-CN"/>
        </w:rPr>
        <w:t>比选文件</w:t>
      </w:r>
      <w:r>
        <w:rPr>
          <w:rFonts w:hint="eastAsia" w:ascii="黑体" w:hAnsi="黑体" w:eastAsia="黑体" w:cs="黑体"/>
          <w:color w:val="auto"/>
          <w:sz w:val="28"/>
          <w:szCs w:val="28"/>
          <w:highlight w:val="none"/>
          <w:lang w:val="en-US" w:eastAsia="zh-CN"/>
        </w:rPr>
        <w:t>的组成部分，仅为善意提醒。如有不一致，以</w:t>
      </w:r>
      <w:r>
        <w:rPr>
          <w:rFonts w:hint="eastAsia" w:ascii="黑体" w:hAnsi="黑体" w:eastAsia="黑体" w:cs="黑体"/>
          <w:color w:val="auto"/>
          <w:sz w:val="28"/>
          <w:szCs w:val="28"/>
          <w:highlight w:val="none"/>
          <w:lang w:eastAsia="zh-CN"/>
        </w:rPr>
        <w:t>比选文件</w:t>
      </w:r>
      <w:r>
        <w:rPr>
          <w:rFonts w:hint="eastAsia" w:ascii="黑体" w:hAnsi="黑体" w:eastAsia="黑体" w:cs="黑体"/>
          <w:color w:val="auto"/>
          <w:sz w:val="28"/>
          <w:szCs w:val="28"/>
          <w:highlight w:val="none"/>
          <w:lang w:val="en-US" w:eastAsia="zh-CN"/>
        </w:rPr>
        <w:t>为准。）</w:t>
      </w:r>
    </w:p>
    <w:p w14:paraId="455FC835">
      <w:pPr>
        <w:pStyle w:val="31"/>
        <w:numPr>
          <w:ilvl w:val="0"/>
          <w:numId w:val="111"/>
        </w:numPr>
        <w:spacing w:line="360" w:lineRule="auto"/>
        <w:ind w:left="0" w:leftChars="0"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人应仔细阅读</w:t>
      </w:r>
      <w:r>
        <w:rPr>
          <w:rFonts w:hint="eastAsia" w:ascii="黑体" w:hAnsi="黑体" w:eastAsia="黑体" w:cs="黑体"/>
          <w:color w:val="auto"/>
          <w:sz w:val="28"/>
          <w:szCs w:val="28"/>
          <w:highlight w:val="none"/>
          <w:lang w:val="en-US" w:eastAsia="zh-CN"/>
        </w:rPr>
        <w:t>比选文件</w:t>
      </w:r>
      <w:r>
        <w:rPr>
          <w:rFonts w:hint="eastAsia" w:ascii="黑体" w:hAnsi="黑体" w:eastAsia="黑体" w:cs="黑体"/>
          <w:color w:val="auto"/>
          <w:sz w:val="28"/>
          <w:szCs w:val="28"/>
          <w:highlight w:val="none"/>
        </w:rPr>
        <w:t>中所有的事项、格式、条款和规范等，完整、真实、准确的填写</w:t>
      </w:r>
      <w:r>
        <w:rPr>
          <w:rFonts w:hint="eastAsia" w:ascii="黑体" w:hAnsi="黑体" w:eastAsia="黑体" w:cs="黑体"/>
          <w:color w:val="auto"/>
          <w:sz w:val="28"/>
          <w:szCs w:val="28"/>
          <w:highlight w:val="none"/>
          <w:lang w:val="en-US" w:eastAsia="zh-CN"/>
        </w:rPr>
        <w:t>比选文件</w:t>
      </w:r>
      <w:r>
        <w:rPr>
          <w:rFonts w:hint="eastAsia" w:ascii="黑体" w:hAnsi="黑体" w:eastAsia="黑体" w:cs="黑体"/>
          <w:color w:val="auto"/>
          <w:sz w:val="28"/>
          <w:szCs w:val="28"/>
          <w:highlight w:val="none"/>
        </w:rPr>
        <w:t>中规定的所有内容</w:t>
      </w:r>
      <w:r>
        <w:rPr>
          <w:rFonts w:hint="eastAsia" w:ascii="黑体" w:hAnsi="黑体" w:eastAsia="黑体" w:cs="黑体"/>
          <w:color w:val="auto"/>
          <w:sz w:val="28"/>
          <w:szCs w:val="28"/>
          <w:highlight w:val="none"/>
          <w:lang w:eastAsia="zh-CN"/>
        </w:rPr>
        <w:t>。</w:t>
      </w:r>
    </w:p>
    <w:p w14:paraId="41109F0C">
      <w:pPr>
        <w:pStyle w:val="31"/>
        <w:numPr>
          <w:ilvl w:val="0"/>
          <w:numId w:val="111"/>
        </w:numPr>
        <w:spacing w:line="360" w:lineRule="auto"/>
        <w:ind w:left="0" w:leftChars="0" w:firstLine="560" w:firstLineChars="20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按照</w:t>
      </w:r>
      <w:r>
        <w:rPr>
          <w:rFonts w:hint="eastAsia" w:ascii="黑体" w:hAnsi="黑体" w:eastAsia="黑体" w:cs="黑体"/>
          <w:color w:val="auto"/>
          <w:sz w:val="28"/>
          <w:szCs w:val="28"/>
          <w:highlight w:val="none"/>
          <w:lang w:val="en-US" w:eastAsia="zh-CN"/>
        </w:rPr>
        <w:t>比选文件</w:t>
      </w:r>
      <w:r>
        <w:rPr>
          <w:rFonts w:hint="eastAsia" w:ascii="黑体" w:hAnsi="黑体" w:eastAsia="黑体" w:cs="黑体"/>
          <w:color w:val="auto"/>
          <w:sz w:val="28"/>
          <w:szCs w:val="28"/>
          <w:highlight w:val="none"/>
        </w:rPr>
        <w:t>的要求编制</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文件，对</w:t>
      </w:r>
      <w:r>
        <w:rPr>
          <w:rFonts w:hint="eastAsia" w:ascii="黑体" w:hAnsi="黑体" w:eastAsia="黑体" w:cs="黑体"/>
          <w:color w:val="auto"/>
          <w:sz w:val="28"/>
          <w:szCs w:val="28"/>
          <w:highlight w:val="none"/>
          <w:lang w:val="en-US" w:eastAsia="zh-CN"/>
        </w:rPr>
        <w:t>比选文件</w:t>
      </w:r>
      <w:r>
        <w:rPr>
          <w:rFonts w:hint="eastAsia" w:ascii="黑体" w:hAnsi="黑体" w:eastAsia="黑体" w:cs="黑体"/>
          <w:color w:val="auto"/>
          <w:sz w:val="28"/>
          <w:szCs w:val="28"/>
          <w:highlight w:val="none"/>
        </w:rPr>
        <w:t>提出的实质性要求和条件做出响应。否则，其</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将被拒绝。</w:t>
      </w:r>
    </w:p>
    <w:p w14:paraId="75BD26F7">
      <w:pPr>
        <w:pStyle w:val="31"/>
        <w:numPr>
          <w:ilvl w:val="0"/>
          <w:numId w:val="111"/>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auto"/>
          <w:sz w:val="28"/>
          <w:szCs w:val="28"/>
          <w:highlight w:val="none"/>
          <w:u w:val="single"/>
          <w:lang w:val="en-US" w:eastAsia="zh-CN"/>
        </w:rPr>
        <w:t>都必须盖上响应人公章</w:t>
      </w:r>
      <w:r>
        <w:rPr>
          <w:rFonts w:hint="eastAsia" w:ascii="黑体" w:hAnsi="黑体" w:eastAsia="黑体" w:cs="黑体"/>
          <w:color w:val="auto"/>
          <w:sz w:val="28"/>
          <w:szCs w:val="28"/>
          <w:highlight w:val="none"/>
          <w:lang w:val="en-US" w:eastAsia="zh-CN"/>
        </w:rPr>
        <w:t>。</w:t>
      </w:r>
    </w:p>
    <w:p w14:paraId="03AF5D39">
      <w:pPr>
        <w:pStyle w:val="31"/>
        <w:numPr>
          <w:ilvl w:val="0"/>
          <w:numId w:val="111"/>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文件所附的相关资料复印件若模糊不清的，将影响其评审得分。</w:t>
      </w:r>
    </w:p>
    <w:p w14:paraId="6028108D">
      <w:pPr>
        <w:pStyle w:val="31"/>
        <w:numPr>
          <w:ilvl w:val="0"/>
          <w:numId w:val="111"/>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人必须对其</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文件所提供的全部资料的真实性承担法律责任，</w:t>
      </w:r>
      <w:r>
        <w:rPr>
          <w:rFonts w:hint="eastAsia" w:ascii="黑体" w:hAnsi="黑体" w:eastAsia="黑体" w:cs="黑体"/>
          <w:color w:val="auto"/>
          <w:sz w:val="28"/>
          <w:szCs w:val="28"/>
          <w:highlight w:val="none"/>
          <w:lang w:val="en-US" w:eastAsia="zh-CN"/>
        </w:rPr>
        <w:t>且</w:t>
      </w:r>
      <w:r>
        <w:rPr>
          <w:rFonts w:hint="eastAsia" w:ascii="黑体" w:hAnsi="黑体" w:eastAsia="黑体" w:cs="黑体"/>
          <w:color w:val="auto"/>
          <w:sz w:val="28"/>
          <w:szCs w:val="28"/>
          <w:highlight w:val="none"/>
        </w:rPr>
        <w:t>无条件接受集中采购机构或采购人及政府采购监管部门等对其中任何资料进行核实的要求。</w:t>
      </w:r>
    </w:p>
    <w:p w14:paraId="7D523C72">
      <w:pPr>
        <w:pStyle w:val="31"/>
        <w:numPr>
          <w:ilvl w:val="0"/>
          <w:numId w:val="111"/>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为了提高采购效率，节约社会交易成本与时间，已</w:t>
      </w:r>
      <w:r>
        <w:rPr>
          <w:rFonts w:hint="eastAsia" w:ascii="黑体" w:hAnsi="黑体" w:eastAsia="黑体" w:cs="黑体"/>
          <w:color w:val="auto"/>
          <w:sz w:val="28"/>
          <w:szCs w:val="28"/>
          <w:highlight w:val="none"/>
          <w:lang w:val="en-US" w:eastAsia="zh-CN"/>
        </w:rPr>
        <w:t>报名并获取了</w:t>
      </w:r>
      <w:r>
        <w:rPr>
          <w:rFonts w:hint="eastAsia" w:ascii="黑体" w:hAnsi="黑体" w:eastAsia="黑体" w:cs="黑体"/>
          <w:color w:val="auto"/>
          <w:sz w:val="28"/>
          <w:szCs w:val="28"/>
          <w:highlight w:val="none"/>
          <w:lang w:eastAsia="zh-CN"/>
        </w:rPr>
        <w:t>比选文件</w:t>
      </w:r>
      <w:r>
        <w:rPr>
          <w:rFonts w:hint="eastAsia" w:ascii="黑体" w:hAnsi="黑体" w:eastAsia="黑体" w:cs="黑体"/>
          <w:color w:val="auto"/>
          <w:sz w:val="28"/>
          <w:szCs w:val="28"/>
          <w:highlight w:val="none"/>
        </w:rPr>
        <w:t>而决定不参加本</w:t>
      </w:r>
      <w:r>
        <w:rPr>
          <w:rFonts w:hint="eastAsia" w:ascii="黑体" w:hAnsi="黑体" w:eastAsia="黑体" w:cs="黑体"/>
          <w:color w:val="auto"/>
          <w:sz w:val="28"/>
          <w:szCs w:val="28"/>
          <w:highlight w:val="none"/>
          <w:lang w:val="en-US" w:eastAsia="zh-CN"/>
        </w:rPr>
        <w:t>项目响应</w:t>
      </w:r>
      <w:r>
        <w:rPr>
          <w:rFonts w:hint="eastAsia" w:ascii="黑体" w:hAnsi="黑体" w:eastAsia="黑体" w:cs="黑体"/>
          <w:color w:val="auto"/>
          <w:sz w:val="28"/>
          <w:szCs w:val="28"/>
          <w:highlight w:val="none"/>
        </w:rPr>
        <w:t>的供应商，在</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文件递交截止时间的</w:t>
      </w:r>
      <w:r>
        <w:rPr>
          <w:rFonts w:hint="eastAsia" w:ascii="黑体" w:hAnsi="黑体" w:eastAsia="黑体" w:cs="黑体"/>
          <w:color w:val="auto"/>
          <w:sz w:val="28"/>
          <w:szCs w:val="28"/>
          <w:highlight w:val="none"/>
          <w:lang w:eastAsia="zh-CN"/>
        </w:rPr>
        <w:t>前</w:t>
      </w:r>
      <w:r>
        <w:rPr>
          <w:rFonts w:hint="eastAsia" w:ascii="黑体" w:hAnsi="黑体" w:eastAsia="黑体" w:cs="黑体"/>
          <w:color w:val="auto"/>
          <w:sz w:val="28"/>
          <w:szCs w:val="28"/>
          <w:highlight w:val="none"/>
          <w:lang w:val="en-US" w:eastAsia="zh-CN"/>
        </w:rPr>
        <w:t>3</w:t>
      </w:r>
      <w:r>
        <w:rPr>
          <w:rFonts w:hint="eastAsia" w:ascii="黑体" w:hAnsi="黑体" w:eastAsia="黑体" w:cs="黑体"/>
          <w:color w:val="auto"/>
          <w:sz w:val="28"/>
          <w:szCs w:val="28"/>
          <w:highlight w:val="none"/>
        </w:rPr>
        <w:t>日，按《</w:t>
      </w:r>
      <w:r>
        <w:rPr>
          <w:rFonts w:hint="eastAsia" w:ascii="黑体" w:hAnsi="黑体" w:eastAsia="黑体" w:cs="黑体"/>
          <w:color w:val="auto"/>
          <w:sz w:val="28"/>
          <w:szCs w:val="28"/>
          <w:highlight w:val="none"/>
          <w:lang w:val="en-US" w:eastAsia="zh-CN"/>
        </w:rPr>
        <w:t>比选邀请</w:t>
      </w:r>
      <w:r>
        <w:rPr>
          <w:rFonts w:hint="eastAsia" w:ascii="黑体" w:hAnsi="黑体" w:eastAsia="黑体" w:cs="黑体"/>
          <w:color w:val="auto"/>
          <w:sz w:val="28"/>
          <w:szCs w:val="28"/>
          <w:highlight w:val="none"/>
        </w:rPr>
        <w:t>函》中的联系方式，以</w:t>
      </w:r>
      <w:r>
        <w:rPr>
          <w:rFonts w:hint="eastAsia" w:ascii="黑体" w:hAnsi="黑体" w:eastAsia="黑体" w:cs="黑体"/>
          <w:color w:val="auto"/>
          <w:sz w:val="28"/>
          <w:szCs w:val="28"/>
          <w:highlight w:val="none"/>
          <w:lang w:val="en-US" w:eastAsia="zh-CN"/>
        </w:rPr>
        <w:t>电子邮件</w:t>
      </w:r>
      <w:r>
        <w:rPr>
          <w:rFonts w:hint="eastAsia" w:ascii="黑体" w:hAnsi="黑体" w:eastAsia="黑体" w:cs="黑体"/>
          <w:color w:val="auto"/>
          <w:sz w:val="28"/>
          <w:szCs w:val="28"/>
          <w:highlight w:val="none"/>
        </w:rPr>
        <w:t>形式告知</w:t>
      </w:r>
      <w:r>
        <w:rPr>
          <w:rFonts w:hint="eastAsia" w:ascii="黑体" w:hAnsi="黑体" w:eastAsia="黑体" w:cs="黑体"/>
          <w:color w:val="auto"/>
          <w:sz w:val="28"/>
          <w:szCs w:val="28"/>
          <w:highlight w:val="none"/>
          <w:lang w:val="en-US" w:eastAsia="zh-CN"/>
        </w:rPr>
        <w:t>我院指定联系人（否则影响到供应商今后参加我院采购项目的评价）</w:t>
      </w:r>
      <w:r>
        <w:rPr>
          <w:rFonts w:hint="eastAsia" w:ascii="黑体" w:hAnsi="黑体" w:eastAsia="黑体" w:cs="黑体"/>
          <w:color w:val="auto"/>
          <w:sz w:val="28"/>
          <w:szCs w:val="28"/>
          <w:highlight w:val="none"/>
        </w:rPr>
        <w:t>。对您的支持与配合，谨此致谢。</w:t>
      </w:r>
    </w:p>
    <w:p w14:paraId="30768494">
      <w:pPr>
        <w:pStyle w:val="31"/>
        <w:numPr>
          <w:ilvl w:val="0"/>
          <w:numId w:val="111"/>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因场地有限，</w:t>
      </w:r>
      <w:r>
        <w:rPr>
          <w:rFonts w:hint="eastAsia" w:ascii="黑体" w:hAnsi="黑体" w:eastAsia="黑体" w:cs="黑体"/>
          <w:color w:val="auto"/>
          <w:sz w:val="28"/>
          <w:szCs w:val="28"/>
          <w:highlight w:val="none"/>
          <w:lang w:val="en-US" w:eastAsia="zh-CN"/>
        </w:rPr>
        <w:t>我院</w:t>
      </w:r>
      <w:r>
        <w:rPr>
          <w:rFonts w:hint="eastAsia" w:ascii="黑体" w:hAnsi="黑体" w:eastAsia="黑体" w:cs="黑体"/>
          <w:color w:val="auto"/>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auto"/>
          <w:sz w:val="32"/>
          <w:szCs w:val="32"/>
          <w:highlight w:val="none"/>
        </w:rPr>
      </w:pPr>
    </w:p>
    <w:p w14:paraId="347D2EBA">
      <w:pPr>
        <w:pStyle w:val="31"/>
        <w:rPr>
          <w:rFonts w:hint="eastAsia" w:ascii="宋体" w:hAnsi="宋体" w:cs="宋体"/>
          <w:color w:val="auto"/>
          <w:sz w:val="32"/>
          <w:szCs w:val="32"/>
          <w:highlight w:val="none"/>
        </w:rPr>
      </w:pPr>
    </w:p>
    <w:p w14:paraId="6074F6C2">
      <w:pPr>
        <w:pStyle w:val="31"/>
        <w:rPr>
          <w:rFonts w:hint="eastAsia" w:ascii="宋体" w:hAnsi="宋体" w:cs="宋体"/>
          <w:color w:val="auto"/>
          <w:sz w:val="32"/>
          <w:szCs w:val="32"/>
          <w:highlight w:val="none"/>
        </w:rPr>
      </w:pPr>
    </w:p>
    <w:p w14:paraId="6055F1C2">
      <w:pPr>
        <w:pStyle w:val="31"/>
        <w:rPr>
          <w:rFonts w:hint="eastAsia" w:ascii="宋体" w:hAnsi="宋体" w:cs="宋体"/>
          <w:color w:val="auto"/>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auto"/>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auto"/>
          <w:sz w:val="32"/>
          <w:szCs w:val="32"/>
          <w:highlight w:val="none"/>
        </w:rPr>
      </w:pPr>
    </w:p>
    <w:p w14:paraId="441D1A48">
      <w:pPr>
        <w:spacing w:line="360" w:lineRule="auto"/>
        <w:jc w:val="both"/>
        <w:rPr>
          <w:rFonts w:hint="eastAsia" w:ascii="华文中宋" w:hAnsi="华文中宋" w:eastAsia="华文中宋" w:cs="华文中宋"/>
          <w:b/>
          <w:color w:val="auto"/>
          <w:sz w:val="52"/>
          <w:szCs w:val="32"/>
          <w:highlight w:val="none"/>
        </w:rPr>
      </w:pPr>
    </w:p>
    <w:p w14:paraId="40513901">
      <w:pPr>
        <w:spacing w:line="360" w:lineRule="auto"/>
        <w:jc w:val="center"/>
        <w:rPr>
          <w:rFonts w:hint="eastAsia" w:ascii="华文中宋" w:hAnsi="华文中宋" w:eastAsia="华文中宋" w:cs="华文中宋"/>
          <w:b/>
          <w:color w:val="auto"/>
          <w:sz w:val="52"/>
          <w:szCs w:val="32"/>
          <w:highlight w:val="none"/>
        </w:rPr>
      </w:pPr>
      <w:r>
        <w:rPr>
          <w:rFonts w:hint="eastAsia" w:ascii="华文中宋" w:hAnsi="华文中宋" w:eastAsia="华文中宋" w:cs="华文中宋"/>
          <w:b/>
          <w:color w:val="auto"/>
          <w:sz w:val="52"/>
          <w:szCs w:val="32"/>
          <w:highlight w:val="none"/>
        </w:rPr>
        <w:t>中山大学</w:t>
      </w:r>
      <w:r>
        <w:rPr>
          <w:rFonts w:hint="eastAsia" w:ascii="华文中宋" w:hAnsi="华文中宋" w:eastAsia="华文中宋" w:cs="华文中宋"/>
          <w:b/>
          <w:color w:val="auto"/>
          <w:sz w:val="52"/>
          <w:szCs w:val="32"/>
          <w:highlight w:val="none"/>
          <w:lang w:val="en-US" w:eastAsia="zh-CN"/>
        </w:rPr>
        <w:t>孙逸仙纪念</w:t>
      </w:r>
      <w:r>
        <w:rPr>
          <w:rFonts w:hint="eastAsia" w:ascii="华文中宋" w:hAnsi="华文中宋" w:eastAsia="华文中宋" w:cs="华文中宋"/>
          <w:b/>
          <w:color w:val="auto"/>
          <w:sz w:val="52"/>
          <w:szCs w:val="32"/>
          <w:highlight w:val="none"/>
        </w:rPr>
        <w:t>医院</w:t>
      </w:r>
    </w:p>
    <w:p w14:paraId="7F4710F8">
      <w:pPr>
        <w:spacing w:line="360" w:lineRule="auto"/>
        <w:jc w:val="center"/>
        <w:rPr>
          <w:rFonts w:hint="eastAsia" w:ascii="华文中宋" w:hAnsi="华文中宋" w:eastAsia="华文中宋" w:cs="华文中宋"/>
          <w:b/>
          <w:color w:val="auto"/>
          <w:sz w:val="52"/>
          <w:szCs w:val="32"/>
          <w:highlight w:val="none"/>
        </w:rPr>
      </w:pPr>
      <w:r>
        <w:rPr>
          <w:rFonts w:hint="eastAsia" w:ascii="华文中宋" w:hAnsi="华文中宋" w:eastAsia="华文中宋" w:cs="华文中宋"/>
          <w:b/>
          <w:color w:val="auto"/>
          <w:sz w:val="52"/>
          <w:szCs w:val="32"/>
          <w:highlight w:val="none"/>
          <w:u w:val="single"/>
        </w:rPr>
        <w:t xml:space="preserve"> </w:t>
      </w:r>
      <w:r>
        <w:rPr>
          <w:rFonts w:hint="eastAsia" w:ascii="华文中宋" w:hAnsi="华文中宋" w:eastAsia="华文中宋" w:cs="华文中宋"/>
          <w:b/>
          <w:color w:val="auto"/>
          <w:sz w:val="52"/>
          <w:szCs w:val="32"/>
          <w:highlight w:val="none"/>
          <w:u w:val="single"/>
          <w:lang w:val="en-US" w:eastAsia="zh-CN"/>
        </w:rPr>
        <w:t xml:space="preserve">             </w:t>
      </w:r>
      <w:r>
        <w:rPr>
          <w:rFonts w:hint="eastAsia" w:ascii="华文中宋" w:hAnsi="华文中宋" w:eastAsia="华文中宋" w:cs="华文中宋"/>
          <w:b/>
          <w:color w:val="auto"/>
          <w:sz w:val="52"/>
          <w:szCs w:val="32"/>
          <w:highlight w:val="none"/>
        </w:rPr>
        <w:t>项目</w:t>
      </w:r>
    </w:p>
    <w:p w14:paraId="41893B0B">
      <w:pPr>
        <w:spacing w:line="360" w:lineRule="auto"/>
        <w:jc w:val="center"/>
        <w:rPr>
          <w:rFonts w:hint="eastAsia" w:ascii="华文中宋" w:hAnsi="华文中宋" w:eastAsia="华文中宋" w:cs="华文中宋"/>
          <w:b/>
          <w:color w:val="auto"/>
          <w:sz w:val="52"/>
          <w:szCs w:val="32"/>
          <w:highlight w:val="none"/>
        </w:rPr>
      </w:pPr>
      <w:r>
        <w:rPr>
          <w:rFonts w:hint="eastAsia" w:ascii="华文中宋" w:hAnsi="华文中宋" w:eastAsia="华文中宋" w:cs="华文中宋"/>
          <w:b/>
          <w:color w:val="auto"/>
          <w:sz w:val="52"/>
          <w:szCs w:val="32"/>
          <w:highlight w:val="none"/>
          <w:lang w:val="en-US" w:eastAsia="zh-CN"/>
        </w:rPr>
        <w:t>响</w:t>
      </w:r>
      <w:r>
        <w:rPr>
          <w:rFonts w:hint="eastAsia" w:ascii="华文中宋" w:hAnsi="华文中宋" w:eastAsia="华文中宋" w:cs="华文中宋"/>
          <w:b/>
          <w:color w:val="auto"/>
          <w:sz w:val="52"/>
          <w:szCs w:val="32"/>
          <w:highlight w:val="none"/>
        </w:rPr>
        <w:t xml:space="preserve"> </w:t>
      </w:r>
      <w:r>
        <w:rPr>
          <w:rFonts w:hint="eastAsia" w:ascii="华文中宋" w:hAnsi="华文中宋" w:eastAsia="华文中宋" w:cs="华文中宋"/>
          <w:b/>
          <w:color w:val="auto"/>
          <w:sz w:val="52"/>
          <w:szCs w:val="32"/>
          <w:highlight w:val="none"/>
          <w:lang w:val="en-US" w:eastAsia="zh-CN"/>
        </w:rPr>
        <w:t>应</w:t>
      </w:r>
      <w:r>
        <w:rPr>
          <w:rFonts w:hint="eastAsia" w:ascii="华文中宋" w:hAnsi="华文中宋" w:eastAsia="华文中宋" w:cs="华文中宋"/>
          <w:b/>
          <w:color w:val="auto"/>
          <w:sz w:val="52"/>
          <w:szCs w:val="32"/>
          <w:highlight w:val="none"/>
        </w:rPr>
        <w:t xml:space="preserve"> </w:t>
      </w:r>
      <w:r>
        <w:rPr>
          <w:rFonts w:hint="eastAsia" w:ascii="华文中宋" w:hAnsi="华文中宋" w:eastAsia="华文中宋" w:cs="华文中宋"/>
          <w:b/>
          <w:color w:val="auto"/>
          <w:sz w:val="52"/>
          <w:szCs w:val="32"/>
          <w:highlight w:val="none"/>
          <w:lang w:val="en-US" w:eastAsia="zh-CN"/>
        </w:rPr>
        <w:t>文</w:t>
      </w:r>
      <w:r>
        <w:rPr>
          <w:rFonts w:hint="eastAsia" w:ascii="华文中宋" w:hAnsi="华文中宋" w:eastAsia="华文中宋" w:cs="华文中宋"/>
          <w:b/>
          <w:color w:val="auto"/>
          <w:sz w:val="52"/>
          <w:szCs w:val="32"/>
          <w:highlight w:val="none"/>
        </w:rPr>
        <w:t xml:space="preserve"> </w:t>
      </w:r>
      <w:r>
        <w:rPr>
          <w:rFonts w:hint="eastAsia" w:ascii="华文中宋" w:hAnsi="华文中宋" w:eastAsia="华文中宋" w:cs="华文中宋"/>
          <w:b/>
          <w:color w:val="auto"/>
          <w:sz w:val="52"/>
          <w:szCs w:val="32"/>
          <w:highlight w:val="none"/>
          <w:lang w:val="en-US" w:eastAsia="zh-CN"/>
        </w:rPr>
        <w:t>件</w:t>
      </w:r>
    </w:p>
    <w:p w14:paraId="42D0E5A7">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t>(正本/副本）</w:t>
      </w:r>
    </w:p>
    <w:p w14:paraId="7758CD28">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7466E1B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3D163A1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5A1BB6AB">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05664CC4">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483E781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14:paraId="17586B4F">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auto"/>
          <w:sz w:val="28"/>
          <w:szCs w:val="28"/>
          <w:highlight w:val="none"/>
          <w:u w:val="single"/>
          <w:lang w:val="en-US" w:eastAsia="zh-CN"/>
        </w:rPr>
      </w:pPr>
      <w:bookmarkStart w:id="23" w:name="_Toc97049462"/>
      <w:bookmarkStart w:id="24" w:name="_Toc97049463"/>
      <w:r>
        <w:rPr>
          <w:rFonts w:hint="eastAsia" w:ascii="华文中宋" w:hAnsi="华文中宋" w:eastAsia="华文中宋" w:cs="华文中宋"/>
          <w:b/>
          <w:color w:val="auto"/>
          <w:sz w:val="28"/>
          <w:szCs w:val="28"/>
          <w:highlight w:val="none"/>
        </w:rPr>
        <w:t>公司名称</w:t>
      </w:r>
      <w:r>
        <w:rPr>
          <w:rFonts w:hint="eastAsia" w:ascii="华文中宋" w:hAnsi="华文中宋" w:eastAsia="华文中宋" w:cs="华文中宋"/>
          <w:b/>
          <w:color w:val="auto"/>
          <w:sz w:val="22"/>
          <w:szCs w:val="22"/>
          <w:highlight w:val="none"/>
        </w:rPr>
        <w:t>（盖章）</w:t>
      </w:r>
      <w:r>
        <w:rPr>
          <w:rFonts w:hint="eastAsia" w:ascii="华文中宋" w:hAnsi="华文中宋" w:eastAsia="华文中宋" w:cs="华文中宋"/>
          <w:b/>
          <w:color w:val="auto"/>
          <w:sz w:val="28"/>
          <w:szCs w:val="28"/>
          <w:highlight w:val="none"/>
        </w:rPr>
        <w:t>：</w:t>
      </w:r>
      <w:r>
        <w:rPr>
          <w:rFonts w:hint="eastAsia" w:ascii="华文中宋" w:hAnsi="华文中宋" w:eastAsia="华文中宋" w:cs="华文中宋"/>
          <w:b/>
          <w:color w:val="auto"/>
          <w:sz w:val="28"/>
          <w:szCs w:val="28"/>
          <w:highlight w:val="none"/>
          <w:u w:val="single"/>
          <w:lang w:val="en-US" w:eastAsia="zh-CN"/>
        </w:rPr>
        <w:t xml:space="preserve">                           </w:t>
      </w:r>
    </w:p>
    <w:p w14:paraId="504255CB">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法定代表人或法定授权代表</w:t>
      </w:r>
      <w:r>
        <w:rPr>
          <w:rFonts w:hint="eastAsia" w:ascii="华文中宋" w:hAnsi="华文中宋" w:eastAsia="华文中宋" w:cs="华文中宋"/>
          <w:b/>
          <w:color w:val="auto"/>
          <w:sz w:val="22"/>
          <w:szCs w:val="22"/>
          <w:highlight w:val="none"/>
        </w:rPr>
        <w:t>（签字）</w:t>
      </w:r>
      <w:r>
        <w:rPr>
          <w:rFonts w:hint="eastAsia" w:ascii="华文中宋" w:hAnsi="华文中宋" w:eastAsia="华文中宋" w:cs="华文中宋"/>
          <w:b/>
          <w:color w:val="auto"/>
          <w:sz w:val="28"/>
          <w:szCs w:val="28"/>
          <w:highlight w:val="none"/>
        </w:rPr>
        <w:t>：</w:t>
      </w:r>
      <w:r>
        <w:rPr>
          <w:rFonts w:hint="eastAsia" w:ascii="华文中宋" w:hAnsi="华文中宋" w:eastAsia="华文中宋" w:cs="华文中宋"/>
          <w:b/>
          <w:color w:val="auto"/>
          <w:sz w:val="28"/>
          <w:szCs w:val="28"/>
          <w:highlight w:val="none"/>
          <w:u w:val="single"/>
          <w:lang w:val="en-US" w:eastAsia="zh-CN"/>
        </w:rPr>
        <w:t xml:space="preserve">           </w:t>
      </w:r>
    </w:p>
    <w:p w14:paraId="1222532C">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联系方式：</w:t>
      </w:r>
      <w:r>
        <w:rPr>
          <w:rFonts w:hint="eastAsia" w:ascii="华文中宋" w:hAnsi="华文中宋" w:eastAsia="华文中宋" w:cs="华文中宋"/>
          <w:b/>
          <w:color w:val="auto"/>
          <w:sz w:val="28"/>
          <w:szCs w:val="28"/>
          <w:highlight w:val="none"/>
          <w:u w:val="single"/>
          <w:lang w:val="en-US" w:eastAsia="zh-CN"/>
        </w:rPr>
        <w:t xml:space="preserve">                                 </w:t>
      </w:r>
    </w:p>
    <w:p w14:paraId="1E6F5BBE">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auto"/>
          <w:sz w:val="32"/>
          <w:szCs w:val="32"/>
          <w:highlight w:val="none"/>
          <w:lang w:eastAsia="zh-CN"/>
        </w:rPr>
      </w:pPr>
      <w:r>
        <w:rPr>
          <w:rFonts w:hint="eastAsia" w:ascii="华文中宋" w:hAnsi="华文中宋" w:eastAsia="华文中宋" w:cs="华文中宋"/>
          <w:b/>
          <w:color w:val="auto"/>
          <w:sz w:val="28"/>
          <w:szCs w:val="28"/>
          <w:highlight w:val="none"/>
        </w:rPr>
        <w:t>日    期：</w:t>
      </w:r>
      <w:r>
        <w:rPr>
          <w:rFonts w:hint="eastAsia" w:ascii="华文中宋" w:hAnsi="华文中宋" w:eastAsia="华文中宋" w:cs="华文中宋"/>
          <w:b/>
          <w:color w:val="auto"/>
          <w:sz w:val="28"/>
          <w:szCs w:val="28"/>
          <w:highlight w:val="none"/>
          <w:u w:val="single"/>
          <w:lang w:val="en-US" w:eastAsia="zh-CN"/>
        </w:rPr>
        <w:t xml:space="preserve">                                 </w:t>
      </w:r>
    </w:p>
    <w:p w14:paraId="733C6F95">
      <w:pPr>
        <w:pStyle w:val="4"/>
        <w:pageBreakBefore/>
        <w:jc w:val="center"/>
        <w:rPr>
          <w:rFonts w:hint="eastAsia" w:ascii="仿宋" w:hAnsi="仿宋" w:eastAsia="仿宋" w:cs="仿宋"/>
          <w:color w:val="auto"/>
          <w:sz w:val="24"/>
          <w:highlight w:val="none"/>
        </w:rPr>
      </w:pPr>
      <w:r>
        <w:rPr>
          <w:rFonts w:hint="eastAsia" w:ascii="仿宋" w:hAnsi="仿宋" w:eastAsia="仿宋" w:cs="仿宋"/>
          <w:color w:val="auto"/>
          <w:sz w:val="36"/>
          <w:szCs w:val="36"/>
          <w:highlight w:val="none"/>
          <w:lang w:val="en-US" w:eastAsia="zh-CN"/>
        </w:rPr>
        <w:t>响应</w:t>
      </w:r>
      <w:r>
        <w:rPr>
          <w:rFonts w:hint="eastAsia" w:ascii="仿宋" w:hAnsi="仿宋" w:eastAsia="仿宋" w:cs="仿宋"/>
          <w:color w:val="auto"/>
          <w:sz w:val="36"/>
          <w:szCs w:val="36"/>
          <w:highlight w:val="none"/>
        </w:rPr>
        <w:t>文件目录</w:t>
      </w:r>
      <w:bookmarkEnd w:id="23"/>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p>
    <w:p w14:paraId="5E1F63DD">
      <w:pPr>
        <w:keepNext w:val="0"/>
        <w:keepLines w:val="0"/>
        <w:widowControl/>
        <w:suppressLineNumbers w:val="0"/>
        <w:jc w:val="left"/>
        <w:rPr>
          <w:rFonts w:hint="eastAsia" w:ascii="仿宋" w:hAnsi="仿宋" w:eastAsia="仿宋" w:cs="仿宋"/>
          <w:color w:val="auto"/>
          <w:sz w:val="24"/>
          <w:szCs w:val="24"/>
          <w:highlight w:val="none"/>
        </w:rPr>
      </w:pPr>
    </w:p>
    <w:p w14:paraId="604E48AA">
      <w:pPr>
        <w:shd w:val="clear" w:color="auto" w:fill="FFFFFF"/>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报价…………………………………………………………………………第（  ）页</w:t>
      </w:r>
    </w:p>
    <w:p w14:paraId="4CC2E30A">
      <w:pPr>
        <w:pStyle w:val="31"/>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（一）报价一览表………………………………………………………………第（  ）页</w:t>
      </w:r>
    </w:p>
    <w:p w14:paraId="7A63FA56">
      <w:pPr>
        <w:shd w:val="clear" w:color="auto" w:fill="FFFFFF"/>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r>
        <w:rPr>
          <w:rFonts w:hint="eastAsia" w:ascii="仿宋" w:hAnsi="仿宋" w:eastAsia="仿宋" w:cs="仿宋"/>
          <w:color w:val="auto"/>
          <w:sz w:val="24"/>
          <w:szCs w:val="24"/>
          <w:highlight w:val="none"/>
          <w:lang w:val="en-US" w:eastAsia="zh-CN"/>
        </w:rPr>
        <w:t>…………………………………………………………第（  ）页</w:t>
      </w:r>
    </w:p>
    <w:p w14:paraId="0E2389E3">
      <w:pPr>
        <w:shd w:val="clear" w:color="auto" w:fill="FFFFFF"/>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审查……………………………………………………………………第（  ）页</w:t>
      </w:r>
    </w:p>
    <w:p w14:paraId="73C74448">
      <w:pPr>
        <w:pStyle w:val="31"/>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（一）资格自查表………………………………………………………………第（  ）页</w:t>
      </w:r>
    </w:p>
    <w:p w14:paraId="49BC01C3">
      <w:pPr>
        <w:pStyle w:val="31"/>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（二）资格审查证明资料………………………………………………………第（  ）页</w:t>
      </w:r>
    </w:p>
    <w:p w14:paraId="598DB78E">
      <w:pPr>
        <w:shd w:val="clear" w:color="auto" w:fill="FFFFFF"/>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三、符合性</w:t>
      </w:r>
      <w:r>
        <w:rPr>
          <w:rFonts w:hint="eastAsia" w:ascii="仿宋" w:hAnsi="仿宋" w:eastAsia="仿宋" w:cs="仿宋"/>
          <w:color w:val="auto"/>
          <w:sz w:val="24"/>
          <w:szCs w:val="24"/>
          <w:highlight w:val="none"/>
          <w:lang w:val="en-US" w:eastAsia="zh-CN"/>
        </w:rPr>
        <w:t>审查…………………………………………………………………第（  ）页</w:t>
      </w:r>
    </w:p>
    <w:p w14:paraId="5CA56405">
      <w:pPr>
        <w:pStyle w:val="31"/>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（一）符合性自查表……………………………………………………………第（  ）页</w:t>
      </w:r>
    </w:p>
    <w:p w14:paraId="3968121C">
      <w:pPr>
        <w:pStyle w:val="31"/>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（二）符合性审查证明资料……………………………………………………第（  ）页</w:t>
      </w:r>
    </w:p>
    <w:p w14:paraId="2D4298C9">
      <w:pPr>
        <w:shd w:val="clear" w:color="auto" w:fill="FFFFFF"/>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四、商务</w:t>
      </w:r>
      <w:r>
        <w:rPr>
          <w:rFonts w:hint="eastAsia" w:ascii="仿宋" w:hAnsi="仿宋" w:eastAsia="仿宋" w:cs="仿宋"/>
          <w:color w:val="auto"/>
          <w:sz w:val="24"/>
          <w:szCs w:val="24"/>
          <w:highlight w:val="none"/>
          <w:lang w:val="en-US" w:eastAsia="zh-CN"/>
        </w:rPr>
        <w:t>评审……………………………………………………………………第（  ）页</w:t>
      </w:r>
    </w:p>
    <w:p w14:paraId="4D57873A">
      <w:pPr>
        <w:pStyle w:val="31"/>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评审自查表…………………………………………………………第（  ）页</w:t>
      </w:r>
    </w:p>
    <w:p w14:paraId="0A8B62A5">
      <w:pPr>
        <w:pStyle w:val="31"/>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评审证明资料………………………………………………………第（  ）页</w:t>
      </w:r>
    </w:p>
    <w:p w14:paraId="7F856BC8">
      <w:pPr>
        <w:shd w:val="clear" w:color="auto" w:fill="FFFFFF"/>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服务评审……………………………………………………………………第（  ）页</w:t>
      </w:r>
    </w:p>
    <w:p w14:paraId="03AEE070">
      <w:pPr>
        <w:pStyle w:val="31"/>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（一）服务评审自查表…………………………………………………………第（  ）页</w:t>
      </w:r>
    </w:p>
    <w:p w14:paraId="722A5C6F">
      <w:pPr>
        <w:pStyle w:val="31"/>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（二）服务评审证明资料………………………………………………………第（  ）页</w:t>
      </w:r>
    </w:p>
    <w:p w14:paraId="0B33C3F5">
      <w:pPr>
        <w:shd w:val="clear" w:color="auto" w:fill="FFFFFF"/>
        <w:spacing w:line="360" w:lineRule="auto"/>
        <w:rPr>
          <w:rFonts w:hint="eastAsia" w:ascii="仿宋" w:hAnsi="仿宋" w:eastAsia="仿宋" w:cs="仿宋"/>
          <w:color w:val="auto"/>
          <w:sz w:val="24"/>
          <w:szCs w:val="36"/>
          <w:highlight w:val="none"/>
        </w:rPr>
      </w:pPr>
    </w:p>
    <w:p w14:paraId="4077D6F9">
      <w:pPr>
        <w:pStyle w:val="31"/>
        <w:rPr>
          <w:rFonts w:hint="eastAsia" w:ascii="仿宋" w:hAnsi="仿宋" w:eastAsia="仿宋" w:cs="仿宋"/>
          <w:color w:val="auto"/>
          <w:highlight w:val="none"/>
        </w:rPr>
      </w:pPr>
    </w:p>
    <w:p w14:paraId="1D95E92E">
      <w:pPr>
        <w:pStyle w:val="31"/>
        <w:ind w:left="0" w:leftChars="0" w:firstLine="0" w:firstLineChars="0"/>
        <w:rPr>
          <w:rFonts w:hint="eastAsia" w:ascii="仿宋" w:hAnsi="仿宋" w:eastAsia="仿宋" w:cs="仿宋"/>
          <w:color w:val="auto"/>
          <w:sz w:val="24"/>
          <w:szCs w:val="24"/>
          <w:highlight w:val="none"/>
        </w:rPr>
      </w:pPr>
    </w:p>
    <w:p w14:paraId="2CDBBB89">
      <w:pPr>
        <w:pStyle w:val="31"/>
        <w:ind w:left="0" w:leftChars="0" w:firstLine="0" w:firstLineChars="0"/>
        <w:rPr>
          <w:rFonts w:hint="eastAsia" w:ascii="仿宋" w:hAnsi="仿宋" w:eastAsia="仿宋" w:cs="仿宋"/>
          <w:color w:val="auto"/>
          <w:sz w:val="24"/>
          <w:szCs w:val="24"/>
          <w:highlight w:val="none"/>
        </w:rPr>
      </w:pPr>
    </w:p>
    <w:p w14:paraId="2DEE4576">
      <w:pPr>
        <w:pStyle w:val="31"/>
        <w:ind w:firstLine="400"/>
        <w:rPr>
          <w:rFonts w:hint="eastAsia" w:ascii="仿宋" w:hAnsi="仿宋" w:eastAsia="仿宋" w:cs="仿宋"/>
          <w:color w:val="auto"/>
          <w:sz w:val="24"/>
          <w:szCs w:val="24"/>
          <w:highlight w:val="none"/>
        </w:rPr>
      </w:pPr>
    </w:p>
    <w:p w14:paraId="519D3072">
      <w:pPr>
        <w:pStyle w:val="31"/>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特别提示与要求：</w:t>
      </w:r>
    </w:p>
    <w:p w14:paraId="4CF8EA70">
      <w:pPr>
        <w:pStyle w:val="31"/>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请</w:t>
      </w:r>
      <w:r>
        <w:rPr>
          <w:rFonts w:hint="eastAsia" w:ascii="仿宋" w:hAnsi="仿宋" w:eastAsia="仿宋" w:cs="仿宋"/>
          <w:color w:val="auto"/>
          <w:sz w:val="24"/>
          <w:szCs w:val="24"/>
          <w:highlight w:val="none"/>
          <w:u w:val="single"/>
        </w:rPr>
        <w:t>响应人</w:t>
      </w:r>
      <w:r>
        <w:rPr>
          <w:rFonts w:hint="eastAsia" w:ascii="仿宋" w:hAnsi="仿宋" w:eastAsia="仿宋" w:cs="仿宋"/>
          <w:color w:val="auto"/>
          <w:sz w:val="24"/>
          <w:szCs w:val="24"/>
          <w:highlight w:val="none"/>
          <w:lang w:eastAsia="zh-CN"/>
        </w:rPr>
        <w:t>按照以下要求的格式、内容、顺序制作</w:t>
      </w:r>
      <w:r>
        <w:rPr>
          <w:rFonts w:hint="eastAsia" w:ascii="仿宋" w:hAnsi="仿宋" w:eastAsia="仿宋" w:cs="仿宋"/>
          <w:color w:val="auto"/>
          <w:sz w:val="24"/>
          <w:szCs w:val="24"/>
          <w:highlight w:val="none"/>
          <w:u w:val="single"/>
        </w:rPr>
        <w:t>响应文件</w:t>
      </w:r>
      <w:r>
        <w:rPr>
          <w:rFonts w:hint="eastAsia" w:ascii="仿宋" w:hAnsi="仿宋" w:eastAsia="仿宋" w:cs="仿宋"/>
          <w:color w:val="auto"/>
          <w:sz w:val="24"/>
          <w:szCs w:val="24"/>
          <w:highlight w:val="none"/>
          <w:lang w:eastAsia="zh-CN"/>
        </w:rPr>
        <w:t>，并请</w:t>
      </w:r>
      <w:r>
        <w:rPr>
          <w:rFonts w:hint="eastAsia" w:ascii="仿宋" w:hAnsi="仿宋" w:eastAsia="仿宋" w:cs="仿宋"/>
          <w:b/>
          <w:bCs/>
          <w:color w:val="auto"/>
          <w:sz w:val="24"/>
          <w:szCs w:val="24"/>
          <w:highlight w:val="none"/>
          <w:lang w:eastAsia="zh-CN"/>
        </w:rPr>
        <w:t>编制目录及页码</w:t>
      </w:r>
      <w:r>
        <w:rPr>
          <w:rFonts w:hint="eastAsia" w:ascii="仿宋" w:hAnsi="仿宋" w:eastAsia="仿宋" w:cs="仿宋"/>
          <w:color w:val="auto"/>
          <w:sz w:val="24"/>
          <w:szCs w:val="24"/>
          <w:highlight w:val="none"/>
          <w:lang w:eastAsia="zh-CN"/>
        </w:rPr>
        <w:t>，否则可能将影响对</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文件的评价。</w:t>
      </w:r>
    </w:p>
    <w:p w14:paraId="3DAA21F9">
      <w:pPr>
        <w:pStyle w:val="31"/>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rPr>
        <w:t>响应人所递交的</w:t>
      </w:r>
      <w:r>
        <w:rPr>
          <w:rFonts w:hint="eastAsia" w:ascii="仿宋" w:hAnsi="仿宋" w:eastAsia="仿宋" w:cs="仿宋"/>
          <w:b/>
          <w:bCs/>
          <w:color w:val="auto"/>
          <w:sz w:val="24"/>
          <w:szCs w:val="24"/>
          <w:highlight w:val="none"/>
          <w:lang w:val="en-US" w:eastAsia="zh-CN"/>
        </w:rPr>
        <w:t>所有</w:t>
      </w:r>
      <w:r>
        <w:rPr>
          <w:rFonts w:hint="eastAsia" w:ascii="仿宋" w:hAnsi="仿宋" w:eastAsia="仿宋" w:cs="仿宋"/>
          <w:b/>
          <w:bCs/>
          <w:color w:val="auto"/>
          <w:sz w:val="24"/>
          <w:szCs w:val="24"/>
          <w:highlight w:val="none"/>
        </w:rPr>
        <w:t>资料</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要求</w:t>
      </w:r>
      <w:r>
        <w:rPr>
          <w:rFonts w:hint="eastAsia" w:ascii="仿宋" w:hAnsi="仿宋" w:eastAsia="仿宋" w:cs="仿宋"/>
          <w:b/>
          <w:bCs/>
          <w:color w:val="auto"/>
          <w:sz w:val="24"/>
          <w:szCs w:val="24"/>
          <w:highlight w:val="none"/>
        </w:rPr>
        <w:t>加盖响应人公章。</w:t>
      </w:r>
    </w:p>
    <w:p w14:paraId="6F6C987E">
      <w:pPr>
        <w:pStyle w:val="18"/>
        <w:spacing w:line="360" w:lineRule="auto"/>
        <w:rPr>
          <w:rFonts w:hint="eastAsia" w:ascii="仿宋" w:hAnsi="仿宋" w:eastAsia="仿宋" w:cs="仿宋"/>
          <w:color w:val="auto"/>
          <w:sz w:val="24"/>
          <w:szCs w:val="24"/>
          <w:highlight w:val="none"/>
        </w:rPr>
      </w:pPr>
    </w:p>
    <w:p w14:paraId="007081A0">
      <w:pPr>
        <w:spacing w:before="240" w:line="360" w:lineRule="auto"/>
        <w:rPr>
          <w:rFonts w:ascii="宋体" w:hAnsi="宋体"/>
          <w:color w:val="auto"/>
          <w:sz w:val="24"/>
          <w:highlight w:val="none"/>
        </w:rPr>
      </w:pPr>
      <w:r>
        <w:rPr>
          <w:rFonts w:hint="eastAsia" w:ascii="仿宋" w:hAnsi="仿宋" w:eastAsia="仿宋" w:cs="仿宋"/>
          <w:b/>
          <w:bCs/>
          <w:color w:val="auto"/>
          <w:sz w:val="24"/>
          <w:highlight w:val="none"/>
          <w:lang w:val="zh-CN"/>
        </w:rPr>
        <w:fldChar w:fldCharType="end"/>
      </w:r>
    </w:p>
    <w:p w14:paraId="0804EAD9">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auto"/>
          <w:sz w:val="21"/>
          <w:szCs w:val="28"/>
          <w:highlight w:val="none"/>
          <w:lang w:val="en-US" w:eastAsia="zh-CN"/>
        </w:rPr>
      </w:pPr>
    </w:p>
    <w:bookmarkEnd w:id="24"/>
    <w:p w14:paraId="2F03705A">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auto"/>
          <w:sz w:val="32"/>
          <w:szCs w:val="32"/>
          <w:highlight w:val="none"/>
          <w:lang w:eastAsia="zh-CN"/>
        </w:rPr>
      </w:pPr>
      <w:r>
        <w:rPr>
          <w:rFonts w:hint="eastAsia" w:ascii="黑体" w:hAnsi="黑体" w:eastAsia="黑体" w:cs="黑体"/>
          <w:color w:val="auto"/>
          <w:sz w:val="36"/>
          <w:szCs w:val="36"/>
          <w:highlight w:val="none"/>
          <w:lang w:val="en-US" w:eastAsia="zh-CN"/>
        </w:rPr>
        <w:t>一、</w:t>
      </w:r>
      <w:r>
        <w:rPr>
          <w:rFonts w:hint="eastAsia"/>
          <w:color w:val="auto"/>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项目名称：</w:t>
            </w:r>
          </w:p>
        </w:tc>
        <w:tc>
          <w:tcPr>
            <w:tcW w:w="6746"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中山大学孙逸仙纪念医院多组学测序揭示放射性脑病损伤机制的研究（空间组、单细胞转录组、蛋白质组和代谢组）检测分析技术服务</w:t>
            </w:r>
            <w:r>
              <w:rPr>
                <w:rFonts w:hint="eastAsia" w:ascii="仿宋" w:hAnsi="仿宋" w:eastAsia="仿宋" w:cs="仿宋"/>
                <w:color w:val="auto"/>
                <w:sz w:val="24"/>
                <w:szCs w:val="32"/>
                <w:highlight w:val="none"/>
                <w:lang w:val="en-US" w:eastAsia="zh-CN"/>
              </w:rPr>
              <w:t>采购项目</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响应</w:t>
            </w:r>
            <w:r>
              <w:rPr>
                <w:rFonts w:hint="eastAsia" w:ascii="仿宋" w:hAnsi="仿宋" w:eastAsia="仿宋" w:cs="仿宋"/>
                <w:color w:val="auto"/>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响应</w:t>
            </w:r>
            <w:r>
              <w:rPr>
                <w:rFonts w:hint="eastAsia" w:ascii="仿宋" w:hAnsi="仿宋" w:eastAsia="仿宋" w:cs="仿宋"/>
                <w:color w:val="auto"/>
                <w:sz w:val="24"/>
                <w:szCs w:val="32"/>
                <w:highlight w:val="none"/>
              </w:rPr>
              <w:t>日期：</w:t>
            </w:r>
          </w:p>
        </w:tc>
        <w:tc>
          <w:tcPr>
            <w:tcW w:w="2636"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联系电话：</w:t>
            </w:r>
          </w:p>
        </w:tc>
        <w:tc>
          <w:tcPr>
            <w:tcW w:w="2636"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auto"/>
                <w:sz w:val="24"/>
                <w:szCs w:val="32"/>
                <w:highlight w:val="none"/>
              </w:rPr>
            </w:pPr>
          </w:p>
        </w:tc>
      </w:tr>
    </w:tbl>
    <w:p w14:paraId="640A9405">
      <w:pPr>
        <w:pStyle w:val="2"/>
        <w:spacing w:line="360" w:lineRule="auto"/>
        <w:jc w:val="left"/>
        <w:outlineLvl w:val="1"/>
        <w:rPr>
          <w:rFonts w:ascii="宋体" w:hAnsi="宋体" w:cs="宋体"/>
          <w:bCs/>
          <w:color w:val="auto"/>
          <w:sz w:val="10"/>
          <w:szCs w:val="21"/>
          <w:highlight w:val="none"/>
        </w:rPr>
      </w:pPr>
    </w:p>
    <w:p w14:paraId="73EB013B">
      <w:pPr>
        <w:rPr>
          <w:color w:val="auto"/>
          <w:highlight w:val="none"/>
        </w:rPr>
      </w:pPr>
    </w:p>
    <w:tbl>
      <w:tblPr>
        <w:tblStyle w:val="24"/>
        <w:tblW w:w="6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068"/>
        <w:gridCol w:w="1508"/>
        <w:gridCol w:w="1102"/>
      </w:tblGrid>
      <w:tr w14:paraId="2CCB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61" w:type="dxa"/>
            <w:noWrap w:val="0"/>
            <w:vAlign w:val="center"/>
          </w:tcPr>
          <w:p w14:paraId="728F7231">
            <w:pPr>
              <w:keepNext w:val="0"/>
              <w:keepLines w:val="0"/>
              <w:suppressLineNumbers w:val="0"/>
              <w:spacing w:before="0" w:beforeAutospacing="0" w:after="0" w:afterAutospacing="0"/>
              <w:ind w:left="0" w:right="0"/>
              <w:jc w:val="center"/>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采购内容</w:t>
            </w:r>
          </w:p>
        </w:tc>
        <w:tc>
          <w:tcPr>
            <w:tcW w:w="2068" w:type="dxa"/>
            <w:noWrap w:val="0"/>
            <w:vAlign w:val="center"/>
          </w:tcPr>
          <w:p w14:paraId="352D3CAA">
            <w:pPr>
              <w:keepNext w:val="0"/>
              <w:keepLines w:val="0"/>
              <w:suppressLineNumbers w:val="0"/>
              <w:spacing w:before="0" w:beforeAutospacing="0" w:after="0" w:afterAutospacing="0"/>
              <w:ind w:left="0" w:leftChars="0" w:right="0" w:rightChars="0"/>
              <w:jc w:val="center"/>
              <w:rPr>
                <w:rFonts w:hint="default" w:ascii="黑体" w:hAnsi="黑体" w:eastAsia="黑体" w:cs="黑体"/>
                <w:b/>
                <w:color w:val="auto"/>
                <w:szCs w:val="21"/>
                <w:highlight w:val="none"/>
                <w:lang w:val="en-US"/>
              </w:rPr>
            </w:pPr>
            <w:r>
              <w:rPr>
                <w:rFonts w:hint="eastAsia" w:ascii="黑体" w:hAnsi="黑体" w:eastAsia="黑体" w:cs="黑体"/>
                <w:b/>
                <w:color w:val="auto"/>
                <w:szCs w:val="21"/>
                <w:highlight w:val="none"/>
                <w:lang w:val="en-US" w:eastAsia="zh-CN"/>
              </w:rPr>
              <w:t>响应报价</w:t>
            </w:r>
          </w:p>
        </w:tc>
        <w:tc>
          <w:tcPr>
            <w:tcW w:w="1508" w:type="dxa"/>
            <w:noWrap w:val="0"/>
            <w:vAlign w:val="center"/>
          </w:tcPr>
          <w:p w14:paraId="17DBB579">
            <w:pPr>
              <w:keepNext w:val="0"/>
              <w:keepLines w:val="0"/>
              <w:suppressLineNumbers w:val="0"/>
              <w:spacing w:before="0" w:beforeAutospacing="0" w:after="0" w:afterAutospacing="0"/>
              <w:ind w:left="0" w:leftChars="0" w:right="0" w:rightChars="0"/>
              <w:jc w:val="center"/>
              <w:rPr>
                <w:rFonts w:hint="default" w:ascii="黑体" w:hAnsi="黑体" w:eastAsia="黑体" w:cs="黑体"/>
                <w:b/>
                <w:color w:val="auto"/>
                <w:szCs w:val="21"/>
                <w:highlight w:val="none"/>
                <w:lang w:val="en-US" w:eastAsia="zh-CN"/>
              </w:rPr>
            </w:pPr>
            <w:r>
              <w:rPr>
                <w:rFonts w:hint="eastAsia" w:ascii="黑体" w:hAnsi="黑体" w:eastAsia="黑体" w:cs="黑体"/>
                <w:b/>
                <w:color w:val="auto"/>
                <w:szCs w:val="21"/>
                <w:highlight w:val="none"/>
                <w:lang w:val="en-US" w:eastAsia="zh-CN"/>
              </w:rPr>
              <w:t>服务</w:t>
            </w:r>
            <w:r>
              <w:rPr>
                <w:rFonts w:hint="eastAsia" w:ascii="黑体" w:hAnsi="黑体" w:eastAsia="黑体" w:cs="黑体"/>
                <w:b/>
                <w:color w:val="auto"/>
                <w:szCs w:val="21"/>
                <w:highlight w:val="none"/>
              </w:rPr>
              <w:t>期限</w:t>
            </w:r>
          </w:p>
        </w:tc>
        <w:tc>
          <w:tcPr>
            <w:tcW w:w="1102" w:type="dxa"/>
            <w:noWrap w:val="0"/>
            <w:vAlign w:val="center"/>
          </w:tcPr>
          <w:p w14:paraId="17EF9A70">
            <w:pPr>
              <w:keepNext w:val="0"/>
              <w:keepLines w:val="0"/>
              <w:suppressLineNumbers w:val="0"/>
              <w:spacing w:before="0" w:beforeAutospacing="0" w:after="0" w:afterAutospacing="0"/>
              <w:ind w:left="0" w:right="0"/>
              <w:jc w:val="center"/>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备注</w:t>
            </w:r>
          </w:p>
        </w:tc>
      </w:tr>
      <w:tr w14:paraId="4058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261" w:type="dxa"/>
            <w:noWrap w:val="0"/>
            <w:vAlign w:val="center"/>
          </w:tcPr>
          <w:p w14:paraId="5FCBA489">
            <w:pPr>
              <w:keepNext w:val="0"/>
              <w:keepLines w:val="0"/>
              <w:suppressLineNumbers w:val="0"/>
              <w:spacing w:before="0" w:beforeAutospacing="0" w:after="0" w:afterAutospacing="0"/>
              <w:ind w:left="0" w:leftChars="0" w:right="0" w:rightChars="0"/>
              <w:jc w:val="center"/>
              <w:rPr>
                <w:rFonts w:hint="eastAsia" w:ascii="黑体" w:hAnsi="黑体" w:eastAsia="黑体" w:cs="黑体"/>
                <w:color w:val="auto"/>
                <w:szCs w:val="21"/>
                <w:highlight w:val="none"/>
              </w:rPr>
            </w:pPr>
            <w:r>
              <w:rPr>
                <w:rFonts w:hint="eastAsia" w:ascii="黑体" w:hAnsi="黑体" w:eastAsia="黑体" w:cs="黑体"/>
                <w:color w:val="auto"/>
                <w:kern w:val="0"/>
                <w:sz w:val="21"/>
                <w:szCs w:val="21"/>
                <w:highlight w:val="none"/>
              </w:rPr>
              <w:t>多组学测序揭示放射性脑病损伤机制的研究（空间组、单细胞转录组、蛋白质组和代谢组）检测分析技术服务采购项目</w:t>
            </w:r>
          </w:p>
        </w:tc>
        <w:tc>
          <w:tcPr>
            <w:tcW w:w="2068" w:type="dxa"/>
            <w:noWrap w:val="0"/>
            <w:vAlign w:val="center"/>
          </w:tcPr>
          <w:p w14:paraId="676C72B1">
            <w:pPr>
              <w:pStyle w:val="44"/>
              <w:keepLines w:val="0"/>
              <w:suppressLineNumbers w:val="0"/>
              <w:spacing w:before="0" w:beforeAutospacing="0" w:after="0" w:afterAutospacing="0" w:line="240" w:lineRule="auto"/>
              <w:ind w:left="0" w:leftChars="0" w:right="0" w:rightChars="0"/>
              <w:rPr>
                <w:rFonts w:hint="eastAsia" w:ascii="黑体" w:hAnsi="黑体" w:eastAsia="黑体" w:cs="黑体"/>
                <w:color w:val="auto"/>
                <w:szCs w:val="21"/>
                <w:highlight w:val="none"/>
              </w:rPr>
            </w:pPr>
          </w:p>
        </w:tc>
        <w:tc>
          <w:tcPr>
            <w:tcW w:w="1508" w:type="dxa"/>
            <w:noWrap w:val="0"/>
            <w:vAlign w:val="center"/>
          </w:tcPr>
          <w:p w14:paraId="5FBC41E4">
            <w:pPr>
              <w:keepNext w:val="0"/>
              <w:keepLines w:val="0"/>
              <w:suppressLineNumbers w:val="0"/>
              <w:spacing w:before="0" w:beforeAutospacing="0" w:after="0" w:afterAutospacing="0"/>
              <w:ind w:left="0" w:leftChars="0" w:right="0" w:rightChars="0"/>
              <w:jc w:val="center"/>
              <w:rPr>
                <w:rFonts w:hint="eastAsia" w:ascii="黑体" w:hAnsi="黑体" w:eastAsia="黑体" w:cs="黑体"/>
                <w:color w:val="auto"/>
                <w:szCs w:val="21"/>
                <w:highlight w:val="none"/>
              </w:rPr>
            </w:pPr>
            <w:r>
              <w:rPr>
                <w:rFonts w:hint="eastAsia" w:ascii="黑体" w:hAnsi="黑体" w:eastAsia="黑体" w:cs="黑体"/>
                <w:snapToGrid/>
                <w:color w:val="auto"/>
                <w:spacing w:val="0"/>
                <w:kern w:val="2"/>
                <w:sz w:val="21"/>
                <w:szCs w:val="21"/>
                <w:highlight w:val="none"/>
                <w:lang w:val="en-US" w:eastAsia="zh-CN"/>
              </w:rPr>
              <w:t>自合同生效之日起至课题研究项目结束之日为止或采购金额达到采购预算时止，以两者先到者为准。</w:t>
            </w:r>
          </w:p>
        </w:tc>
        <w:tc>
          <w:tcPr>
            <w:tcW w:w="1102" w:type="dxa"/>
            <w:noWrap w:val="0"/>
            <w:vAlign w:val="center"/>
          </w:tcPr>
          <w:p w14:paraId="57662A29">
            <w:pPr>
              <w:keepNext w:val="0"/>
              <w:keepLines w:val="0"/>
              <w:suppressLineNumbers w:val="0"/>
              <w:spacing w:before="0" w:beforeAutospacing="0" w:after="0" w:afterAutospacing="0"/>
              <w:ind w:left="0" w:right="0"/>
              <w:jc w:val="center"/>
              <w:rPr>
                <w:rFonts w:hint="eastAsia" w:ascii="黑体" w:hAnsi="黑体" w:eastAsia="黑体" w:cs="黑体"/>
                <w:color w:val="auto"/>
                <w:szCs w:val="21"/>
                <w:highlight w:val="none"/>
              </w:rPr>
            </w:pPr>
          </w:p>
        </w:tc>
      </w:tr>
    </w:tbl>
    <w:p w14:paraId="21A48083">
      <w:pPr>
        <w:pStyle w:val="2"/>
        <w:spacing w:line="360" w:lineRule="auto"/>
        <w:jc w:val="left"/>
        <w:outlineLvl w:val="1"/>
        <w:rPr>
          <w:rFonts w:ascii="宋体" w:hAnsi="宋体" w:cs="宋体"/>
          <w:bCs/>
          <w:color w:val="auto"/>
          <w:sz w:val="10"/>
          <w:szCs w:val="21"/>
          <w:highlight w:val="none"/>
        </w:rPr>
      </w:pPr>
    </w:p>
    <w:p w14:paraId="4F1B688D">
      <w:pPr>
        <w:rPr>
          <w:color w:val="auto"/>
          <w:highlight w:val="none"/>
        </w:rPr>
      </w:pPr>
    </w:p>
    <w:p w14:paraId="174C25CE">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509605">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378CCD3">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完成本项目全部内容所需费用的含税价（包括但不限于上门取样，运输样本，检测服务等一系列成本）。</w:t>
      </w:r>
    </w:p>
    <w:p w14:paraId="4C22EB5F">
      <w:pPr>
        <w:pStyle w:val="31"/>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7E3AC1C4">
      <w:pPr>
        <w:pStyle w:val="31"/>
        <w:rPr>
          <w:rFonts w:hint="eastAsia" w:ascii="仿宋" w:hAnsi="仿宋" w:eastAsia="仿宋" w:cs="仿宋"/>
          <w:color w:val="auto"/>
          <w:highlight w:val="none"/>
        </w:rPr>
      </w:pPr>
    </w:p>
    <w:p w14:paraId="425DB050">
      <w:pPr>
        <w:pStyle w:val="31"/>
        <w:rPr>
          <w:rFonts w:hint="eastAsia" w:ascii="仿宋" w:hAnsi="仿宋" w:eastAsia="仿宋" w:cs="仿宋"/>
          <w:color w:val="auto"/>
          <w:highlight w:val="none"/>
        </w:rPr>
      </w:pPr>
    </w:p>
    <w:p w14:paraId="2AF4CA0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A771AC0">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0929792">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2C9F9B3">
      <w:pPr>
        <w:pStyle w:val="4"/>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（二）分项报价明细表（详细报价清单）</w:t>
      </w:r>
    </w:p>
    <w:p w14:paraId="22C9EAE2">
      <w:pPr>
        <w:numPr>
          <w:ilvl w:val="0"/>
          <w:numId w:val="0"/>
        </w:numPr>
        <w:rPr>
          <w:rFonts w:hint="eastAsia" w:ascii="仿宋" w:hAnsi="仿宋" w:eastAsia="仿宋" w:cs="仿宋"/>
          <w:color w:val="auto"/>
          <w:highlight w:val="none"/>
          <w:lang w:val="en-US" w:eastAsia="zh-CN"/>
        </w:rPr>
      </w:pPr>
    </w:p>
    <w:p w14:paraId="7EAF1A4C">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项目名称：中山大学孙逸仙纪念医院多组学测序揭示放射性脑病损伤机制的研究（空间组、单细胞转录组、蛋白质组和代谢组）检测分析技术服务采购项目</w:t>
      </w:r>
    </w:p>
    <w:p w14:paraId="07F551B4">
      <w:pPr>
        <w:pStyle w:val="15"/>
        <w:rPr>
          <w:rFonts w:hint="eastAsia" w:ascii="仿宋" w:hAnsi="仿宋" w:eastAsia="仿宋" w:cs="仿宋"/>
          <w:color w:val="auto"/>
          <w:highlight w:val="none"/>
          <w:lang w:val="en-US" w:eastAsia="zh-CN"/>
        </w:rPr>
      </w:pPr>
    </w:p>
    <w:p w14:paraId="238F15FB">
      <w:pPr>
        <w:rPr>
          <w:rFonts w:hint="eastAsia" w:ascii="仿宋" w:hAnsi="仿宋" w:eastAsia="仿宋" w:cs="仿宋"/>
          <w:color w:val="auto"/>
          <w:highlight w:val="none"/>
          <w:lang w:val="en-US" w:eastAsia="zh-CN"/>
        </w:rPr>
      </w:pPr>
    </w:p>
    <w:tbl>
      <w:tblPr>
        <w:tblStyle w:val="24"/>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800"/>
        <w:gridCol w:w="1200"/>
        <w:gridCol w:w="1594"/>
        <w:gridCol w:w="1060"/>
      </w:tblGrid>
      <w:tr w14:paraId="4E9A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85" w:type="dxa"/>
            <w:tcBorders>
              <w:top w:val="single" w:color="auto" w:sz="4" w:space="0"/>
              <w:left w:val="single" w:color="auto" w:sz="4" w:space="0"/>
              <w:bottom w:val="single" w:color="auto" w:sz="4" w:space="0"/>
              <w:right w:val="single" w:color="auto" w:sz="4" w:space="0"/>
            </w:tcBorders>
            <w:noWrap/>
            <w:vAlign w:val="center"/>
          </w:tcPr>
          <w:p w14:paraId="4E959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组学</w:t>
            </w:r>
          </w:p>
        </w:tc>
        <w:tc>
          <w:tcPr>
            <w:tcW w:w="2800" w:type="dxa"/>
            <w:tcBorders>
              <w:top w:val="single" w:color="auto" w:sz="4" w:space="0"/>
              <w:left w:val="single" w:color="auto" w:sz="4" w:space="0"/>
              <w:bottom w:val="single" w:color="auto" w:sz="4" w:space="0"/>
              <w:right w:val="single" w:color="auto" w:sz="4" w:space="0"/>
            </w:tcBorders>
            <w:noWrap/>
            <w:vAlign w:val="center"/>
          </w:tcPr>
          <w:p w14:paraId="6ACFF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检测项目</w:t>
            </w:r>
          </w:p>
        </w:tc>
        <w:tc>
          <w:tcPr>
            <w:tcW w:w="1200" w:type="dxa"/>
            <w:tcBorders>
              <w:top w:val="single" w:color="auto" w:sz="4" w:space="0"/>
              <w:left w:val="single" w:color="auto" w:sz="4" w:space="0"/>
              <w:bottom w:val="single" w:color="auto" w:sz="4" w:space="0"/>
              <w:right w:val="single" w:color="auto" w:sz="4" w:space="0"/>
            </w:tcBorders>
            <w:noWrap/>
            <w:vAlign w:val="center"/>
          </w:tcPr>
          <w:p w14:paraId="2F466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单价</w:t>
            </w:r>
          </w:p>
        </w:tc>
        <w:tc>
          <w:tcPr>
            <w:tcW w:w="1594" w:type="dxa"/>
            <w:tcBorders>
              <w:top w:val="single" w:color="auto" w:sz="4" w:space="0"/>
              <w:left w:val="single" w:color="auto" w:sz="4" w:space="0"/>
              <w:bottom w:val="single" w:color="auto" w:sz="4" w:space="0"/>
              <w:right w:val="single" w:color="auto" w:sz="4" w:space="0"/>
            </w:tcBorders>
            <w:noWrap/>
            <w:vAlign w:val="center"/>
          </w:tcPr>
          <w:p w14:paraId="69DBB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样本</w:t>
            </w:r>
            <w:r>
              <w:rPr>
                <w:rFonts w:hint="eastAsia" w:ascii="仿宋" w:hAnsi="仿宋" w:eastAsia="仿宋" w:cs="仿宋"/>
                <w:b/>
                <w:bCs/>
                <w:color w:val="auto"/>
                <w:sz w:val="21"/>
                <w:szCs w:val="21"/>
                <w:highlight w:val="none"/>
                <w:lang w:val="en-US" w:eastAsia="zh-CN"/>
              </w:rPr>
              <w:t>预估</w:t>
            </w:r>
            <w:r>
              <w:rPr>
                <w:rFonts w:hint="eastAsia" w:ascii="仿宋" w:hAnsi="仿宋" w:eastAsia="仿宋" w:cs="仿宋"/>
                <w:b/>
                <w:bCs/>
                <w:color w:val="auto"/>
                <w:sz w:val="21"/>
                <w:szCs w:val="21"/>
                <w:highlight w:val="none"/>
              </w:rPr>
              <w:t>数量</w:t>
            </w:r>
          </w:p>
        </w:tc>
        <w:tc>
          <w:tcPr>
            <w:tcW w:w="1060" w:type="dxa"/>
            <w:tcBorders>
              <w:top w:val="single" w:color="auto" w:sz="4" w:space="0"/>
              <w:left w:val="single" w:color="auto" w:sz="4" w:space="0"/>
              <w:bottom w:val="single" w:color="auto" w:sz="4" w:space="0"/>
              <w:right w:val="single" w:color="auto" w:sz="4" w:space="0"/>
            </w:tcBorders>
            <w:noWrap/>
            <w:vAlign w:val="center"/>
          </w:tcPr>
          <w:p w14:paraId="7B1B4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合计</w:t>
            </w:r>
          </w:p>
        </w:tc>
      </w:tr>
      <w:tr w14:paraId="2A6A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top w:val="single" w:color="auto" w:sz="4" w:space="0"/>
              <w:left w:val="single" w:color="auto" w:sz="4" w:space="0"/>
              <w:bottom w:val="single" w:color="auto" w:sz="4" w:space="0"/>
              <w:right w:val="single" w:color="auto" w:sz="4" w:space="0"/>
            </w:tcBorders>
            <w:noWrap/>
            <w:vAlign w:val="bottom"/>
          </w:tcPr>
          <w:p w14:paraId="7C486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空间组</w:t>
            </w:r>
          </w:p>
        </w:tc>
        <w:tc>
          <w:tcPr>
            <w:tcW w:w="2800" w:type="dxa"/>
            <w:tcBorders>
              <w:top w:val="single" w:color="auto" w:sz="4" w:space="0"/>
              <w:left w:val="single" w:color="auto" w:sz="4" w:space="0"/>
              <w:bottom w:val="single" w:color="auto" w:sz="4" w:space="0"/>
              <w:right w:val="single" w:color="auto" w:sz="4" w:space="0"/>
            </w:tcBorders>
            <w:noWrap/>
            <w:vAlign w:val="bottom"/>
          </w:tcPr>
          <w:p w14:paraId="4C98A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空间组学技术检测</w:t>
            </w:r>
          </w:p>
        </w:tc>
        <w:tc>
          <w:tcPr>
            <w:tcW w:w="1200" w:type="dxa"/>
            <w:tcBorders>
              <w:top w:val="single" w:color="auto" w:sz="4" w:space="0"/>
              <w:left w:val="single" w:color="auto" w:sz="4" w:space="0"/>
              <w:bottom w:val="single" w:color="auto" w:sz="4" w:space="0"/>
              <w:right w:val="single" w:color="auto" w:sz="4" w:space="0"/>
            </w:tcBorders>
            <w:noWrap/>
            <w:vAlign w:val="bottom"/>
          </w:tcPr>
          <w:p w14:paraId="3F105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noWrap/>
            <w:vAlign w:val="bottom"/>
          </w:tcPr>
          <w:p w14:paraId="562DA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10</w:t>
            </w:r>
          </w:p>
        </w:tc>
        <w:tc>
          <w:tcPr>
            <w:tcW w:w="1060" w:type="dxa"/>
            <w:tcBorders>
              <w:top w:val="single" w:color="auto" w:sz="4" w:space="0"/>
              <w:left w:val="single" w:color="auto" w:sz="4" w:space="0"/>
              <w:bottom w:val="single" w:color="auto" w:sz="4" w:space="0"/>
              <w:right w:val="single" w:color="auto" w:sz="4" w:space="0"/>
            </w:tcBorders>
            <w:noWrap/>
            <w:vAlign w:val="bottom"/>
          </w:tcPr>
          <w:p w14:paraId="3DD4D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r>
      <w:tr w14:paraId="6747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top w:val="single" w:color="auto" w:sz="4" w:space="0"/>
              <w:left w:val="single" w:color="auto" w:sz="4" w:space="0"/>
              <w:bottom w:val="single" w:color="auto" w:sz="4" w:space="0"/>
              <w:right w:val="single" w:color="auto" w:sz="4" w:space="0"/>
            </w:tcBorders>
            <w:noWrap/>
            <w:vAlign w:val="bottom"/>
          </w:tcPr>
          <w:p w14:paraId="2DEEF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单细胞转录组</w:t>
            </w:r>
          </w:p>
        </w:tc>
        <w:tc>
          <w:tcPr>
            <w:tcW w:w="2800" w:type="dxa"/>
            <w:tcBorders>
              <w:top w:val="single" w:color="auto" w:sz="4" w:space="0"/>
              <w:left w:val="single" w:color="auto" w:sz="4" w:space="0"/>
              <w:bottom w:val="single" w:color="auto" w:sz="4" w:space="0"/>
              <w:right w:val="single" w:color="auto" w:sz="4" w:space="0"/>
            </w:tcBorders>
            <w:noWrap/>
            <w:vAlign w:val="bottom"/>
          </w:tcPr>
          <w:p w14:paraId="69516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高通量单细胞测序平台</w:t>
            </w:r>
          </w:p>
        </w:tc>
        <w:tc>
          <w:tcPr>
            <w:tcW w:w="1200" w:type="dxa"/>
            <w:tcBorders>
              <w:top w:val="single" w:color="auto" w:sz="4" w:space="0"/>
              <w:left w:val="single" w:color="auto" w:sz="4" w:space="0"/>
              <w:bottom w:val="single" w:color="auto" w:sz="4" w:space="0"/>
              <w:right w:val="single" w:color="auto" w:sz="4" w:space="0"/>
            </w:tcBorders>
            <w:noWrap/>
            <w:vAlign w:val="bottom"/>
          </w:tcPr>
          <w:p w14:paraId="14CBD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lang w:eastAsia="zh-CN"/>
              </w:rPr>
            </w:pPr>
          </w:p>
        </w:tc>
        <w:tc>
          <w:tcPr>
            <w:tcW w:w="1594" w:type="dxa"/>
            <w:tcBorders>
              <w:top w:val="single" w:color="auto" w:sz="4" w:space="0"/>
              <w:left w:val="single" w:color="auto" w:sz="4" w:space="0"/>
              <w:bottom w:val="single" w:color="auto" w:sz="4" w:space="0"/>
              <w:right w:val="single" w:color="auto" w:sz="4" w:space="0"/>
            </w:tcBorders>
            <w:noWrap/>
            <w:vAlign w:val="bottom"/>
          </w:tcPr>
          <w:p w14:paraId="504C6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1060" w:type="dxa"/>
            <w:tcBorders>
              <w:top w:val="single" w:color="auto" w:sz="4" w:space="0"/>
              <w:left w:val="single" w:color="auto" w:sz="4" w:space="0"/>
              <w:bottom w:val="single" w:color="auto" w:sz="4" w:space="0"/>
              <w:right w:val="single" w:color="auto" w:sz="4" w:space="0"/>
            </w:tcBorders>
            <w:noWrap/>
            <w:vAlign w:val="bottom"/>
          </w:tcPr>
          <w:p w14:paraId="3BAE1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r>
      <w:tr w14:paraId="5728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top w:val="single" w:color="auto" w:sz="4" w:space="0"/>
              <w:left w:val="single" w:color="auto" w:sz="4" w:space="0"/>
              <w:bottom w:val="single" w:color="auto" w:sz="4" w:space="0"/>
              <w:right w:val="single" w:color="auto" w:sz="4" w:space="0"/>
            </w:tcBorders>
            <w:noWrap/>
            <w:vAlign w:val="bottom"/>
          </w:tcPr>
          <w:p w14:paraId="2424A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蛋白质组</w:t>
            </w:r>
          </w:p>
        </w:tc>
        <w:tc>
          <w:tcPr>
            <w:tcW w:w="2800" w:type="dxa"/>
            <w:tcBorders>
              <w:top w:val="single" w:color="auto" w:sz="4" w:space="0"/>
              <w:left w:val="single" w:color="auto" w:sz="4" w:space="0"/>
              <w:bottom w:val="single" w:color="auto" w:sz="4" w:space="0"/>
              <w:right w:val="single" w:color="auto" w:sz="4" w:space="0"/>
            </w:tcBorders>
            <w:noWrap/>
            <w:vAlign w:val="bottom"/>
          </w:tcPr>
          <w:p w14:paraId="2493C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4D-DIA蛋白质组学</w:t>
            </w:r>
          </w:p>
        </w:tc>
        <w:tc>
          <w:tcPr>
            <w:tcW w:w="1200" w:type="dxa"/>
            <w:tcBorders>
              <w:top w:val="single" w:color="auto" w:sz="4" w:space="0"/>
              <w:left w:val="single" w:color="auto" w:sz="4" w:space="0"/>
              <w:bottom w:val="single" w:color="auto" w:sz="4" w:space="0"/>
              <w:right w:val="single" w:color="auto" w:sz="4" w:space="0"/>
            </w:tcBorders>
            <w:noWrap/>
            <w:vAlign w:val="bottom"/>
          </w:tcPr>
          <w:p w14:paraId="0C85F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noWrap/>
            <w:vAlign w:val="bottom"/>
          </w:tcPr>
          <w:p w14:paraId="4F750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200</w:t>
            </w:r>
          </w:p>
        </w:tc>
        <w:tc>
          <w:tcPr>
            <w:tcW w:w="1060" w:type="dxa"/>
            <w:tcBorders>
              <w:top w:val="single" w:color="auto" w:sz="4" w:space="0"/>
              <w:left w:val="single" w:color="auto" w:sz="4" w:space="0"/>
              <w:bottom w:val="single" w:color="auto" w:sz="4" w:space="0"/>
              <w:right w:val="single" w:color="auto" w:sz="4" w:space="0"/>
            </w:tcBorders>
            <w:noWrap/>
            <w:vAlign w:val="bottom"/>
          </w:tcPr>
          <w:p w14:paraId="3D108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r>
      <w:tr w14:paraId="7164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top w:val="single" w:color="auto" w:sz="4" w:space="0"/>
              <w:left w:val="single" w:color="auto" w:sz="4" w:space="0"/>
              <w:bottom w:val="single" w:color="auto" w:sz="4" w:space="0"/>
              <w:right w:val="single" w:color="auto" w:sz="4" w:space="0"/>
            </w:tcBorders>
            <w:noWrap/>
            <w:vAlign w:val="bottom"/>
          </w:tcPr>
          <w:p w14:paraId="32732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代谢组</w:t>
            </w:r>
          </w:p>
        </w:tc>
        <w:tc>
          <w:tcPr>
            <w:tcW w:w="2800" w:type="dxa"/>
            <w:tcBorders>
              <w:top w:val="single" w:color="auto" w:sz="4" w:space="0"/>
              <w:left w:val="single" w:color="auto" w:sz="4" w:space="0"/>
              <w:bottom w:val="single" w:color="auto" w:sz="4" w:space="0"/>
              <w:right w:val="single" w:color="auto" w:sz="4" w:space="0"/>
            </w:tcBorders>
            <w:noWrap/>
            <w:vAlign w:val="bottom"/>
          </w:tcPr>
          <w:p w14:paraId="3616D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高通量靶向代谢脂质代谢</w:t>
            </w:r>
          </w:p>
        </w:tc>
        <w:tc>
          <w:tcPr>
            <w:tcW w:w="1200" w:type="dxa"/>
            <w:tcBorders>
              <w:top w:val="single" w:color="auto" w:sz="4" w:space="0"/>
              <w:left w:val="single" w:color="auto" w:sz="4" w:space="0"/>
              <w:bottom w:val="single" w:color="auto" w:sz="4" w:space="0"/>
              <w:right w:val="single" w:color="auto" w:sz="4" w:space="0"/>
            </w:tcBorders>
            <w:noWrap/>
            <w:vAlign w:val="bottom"/>
          </w:tcPr>
          <w:p w14:paraId="43703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lang w:eastAsia="zh-CN"/>
              </w:rPr>
            </w:pPr>
          </w:p>
        </w:tc>
        <w:tc>
          <w:tcPr>
            <w:tcW w:w="1594" w:type="dxa"/>
            <w:tcBorders>
              <w:top w:val="single" w:color="auto" w:sz="4" w:space="0"/>
              <w:left w:val="single" w:color="auto" w:sz="4" w:space="0"/>
              <w:bottom w:val="single" w:color="auto" w:sz="4" w:space="0"/>
              <w:right w:val="single" w:color="auto" w:sz="4" w:space="0"/>
            </w:tcBorders>
            <w:noWrap/>
            <w:vAlign w:val="bottom"/>
          </w:tcPr>
          <w:p w14:paraId="15B8A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200</w:t>
            </w:r>
          </w:p>
        </w:tc>
        <w:tc>
          <w:tcPr>
            <w:tcW w:w="1060" w:type="dxa"/>
            <w:tcBorders>
              <w:top w:val="single" w:color="auto" w:sz="4" w:space="0"/>
              <w:left w:val="single" w:color="auto" w:sz="4" w:space="0"/>
              <w:bottom w:val="single" w:color="auto" w:sz="4" w:space="0"/>
              <w:right w:val="single" w:color="auto" w:sz="4" w:space="0"/>
            </w:tcBorders>
            <w:noWrap/>
            <w:vAlign w:val="bottom"/>
          </w:tcPr>
          <w:p w14:paraId="3B6CF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r>
      <w:tr w14:paraId="117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top w:val="single" w:color="auto" w:sz="4" w:space="0"/>
              <w:left w:val="single" w:color="auto" w:sz="4" w:space="0"/>
              <w:bottom w:val="single" w:color="auto" w:sz="4" w:space="0"/>
              <w:right w:val="single" w:color="auto" w:sz="4" w:space="0"/>
            </w:tcBorders>
            <w:noWrap/>
            <w:vAlign w:val="bottom"/>
          </w:tcPr>
          <w:p w14:paraId="4651C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c>
          <w:tcPr>
            <w:tcW w:w="2800" w:type="dxa"/>
            <w:tcBorders>
              <w:top w:val="single" w:color="auto" w:sz="4" w:space="0"/>
              <w:left w:val="single" w:color="auto" w:sz="4" w:space="0"/>
              <w:bottom w:val="single" w:color="auto" w:sz="4" w:space="0"/>
              <w:right w:val="single" w:color="auto" w:sz="4" w:space="0"/>
            </w:tcBorders>
            <w:noWrap/>
            <w:vAlign w:val="bottom"/>
          </w:tcPr>
          <w:p w14:paraId="5CBCB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1200" w:type="dxa"/>
            <w:tcBorders>
              <w:top w:val="single" w:color="auto" w:sz="4" w:space="0"/>
              <w:left w:val="single" w:color="auto" w:sz="4" w:space="0"/>
              <w:bottom w:val="single" w:color="auto" w:sz="4" w:space="0"/>
              <w:right w:val="single" w:color="auto" w:sz="4" w:space="0"/>
            </w:tcBorders>
            <w:noWrap/>
            <w:vAlign w:val="bottom"/>
          </w:tcPr>
          <w:p w14:paraId="04E38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noWrap/>
            <w:vAlign w:val="bottom"/>
          </w:tcPr>
          <w:p w14:paraId="3501D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ign w:val="bottom"/>
          </w:tcPr>
          <w:p w14:paraId="092B1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仿宋" w:hAnsi="仿宋" w:eastAsia="仿宋" w:cs="仿宋"/>
                <w:color w:val="auto"/>
                <w:sz w:val="21"/>
                <w:szCs w:val="21"/>
                <w:highlight w:val="none"/>
              </w:rPr>
            </w:pPr>
          </w:p>
        </w:tc>
      </w:tr>
    </w:tbl>
    <w:p w14:paraId="4416D2DB">
      <w:pPr>
        <w:rPr>
          <w:rFonts w:hint="eastAsia" w:ascii="仿宋" w:hAnsi="仿宋" w:eastAsia="仿宋" w:cs="仿宋"/>
          <w:color w:val="auto"/>
          <w:sz w:val="18"/>
          <w:szCs w:val="18"/>
          <w:highlight w:val="none"/>
          <w:lang w:val="en-US" w:eastAsia="zh-CN"/>
        </w:rPr>
      </w:pPr>
    </w:p>
    <w:p w14:paraId="58C7D34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18"/>
          <w:szCs w:val="18"/>
          <w:highlight w:val="none"/>
          <w:lang w:val="en-US" w:eastAsia="zh-CN"/>
        </w:rPr>
      </w:pPr>
    </w:p>
    <w:p w14:paraId="68984DB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注：1.此表为报价总表的服务报价明细表。</w:t>
      </w:r>
    </w:p>
    <w:p w14:paraId="7C150F4B">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2.报价人应按分项报价明细表的各项内容要求进行填写，不得更改此表格式。</w:t>
      </w:r>
    </w:p>
    <w:p w14:paraId="3EDE0EF4">
      <w:pPr>
        <w:pStyle w:val="2"/>
        <w:numPr>
          <w:ilvl w:val="0"/>
          <w:numId w:val="0"/>
        </w:numPr>
        <w:ind w:firstLine="360" w:firstLineChars="20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3.分项报价总合计需等于“报价一览表”的金额，如不相等，</w:t>
      </w:r>
      <w:r>
        <w:rPr>
          <w:rFonts w:hint="eastAsia" w:ascii="仿宋" w:hAnsi="仿宋" w:eastAsia="仿宋" w:cs="仿宋"/>
          <w:b/>
          <w:bCs/>
          <w:color w:val="auto"/>
          <w:sz w:val="18"/>
          <w:szCs w:val="18"/>
          <w:highlight w:val="none"/>
          <w:lang w:val="en-US" w:eastAsia="zh-CN"/>
        </w:rPr>
        <w:t>按无效响应处理</w:t>
      </w:r>
      <w:r>
        <w:rPr>
          <w:rFonts w:hint="eastAsia" w:ascii="仿宋" w:hAnsi="仿宋" w:eastAsia="仿宋" w:cs="仿宋"/>
          <w:color w:val="auto"/>
          <w:kern w:val="2"/>
          <w:sz w:val="18"/>
          <w:szCs w:val="18"/>
          <w:highlight w:val="none"/>
          <w:lang w:val="en-US" w:eastAsia="zh-CN" w:bidi="ar-SA"/>
        </w:rPr>
        <w:t>。</w:t>
      </w:r>
    </w:p>
    <w:p w14:paraId="0ABE8055">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4.未完全按第1-3点要求执行的，均按无效响应处理。</w:t>
      </w:r>
    </w:p>
    <w:p w14:paraId="08531C9C">
      <w:pPr>
        <w:rPr>
          <w:rFonts w:hint="eastAsia" w:ascii="仿宋" w:hAnsi="仿宋" w:eastAsia="仿宋" w:cs="仿宋"/>
          <w:color w:val="auto"/>
          <w:highlight w:val="none"/>
          <w:lang w:val="en-US" w:eastAsia="zh-CN"/>
        </w:rPr>
      </w:pPr>
    </w:p>
    <w:p w14:paraId="46F1752E">
      <w:pPr>
        <w:pStyle w:val="15"/>
        <w:rPr>
          <w:rFonts w:hint="eastAsia" w:ascii="仿宋" w:hAnsi="仿宋" w:eastAsia="仿宋" w:cs="仿宋"/>
          <w:color w:val="auto"/>
          <w:highlight w:val="none"/>
          <w:lang w:val="en-US" w:eastAsia="zh-CN"/>
        </w:rPr>
      </w:pPr>
    </w:p>
    <w:p w14:paraId="059EB90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C0C1D0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7092AC2">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FA9BC63">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auto"/>
          <w:sz w:val="32"/>
          <w:szCs w:val="40"/>
          <w:highlight w:val="none"/>
          <w:lang w:eastAsia="zh-CN"/>
        </w:rPr>
      </w:pPr>
      <w:r>
        <w:rPr>
          <w:rFonts w:hint="eastAsia" w:ascii="黑体" w:hAnsi="黑体" w:cs="黑体"/>
          <w:color w:val="auto"/>
          <w:sz w:val="36"/>
          <w:szCs w:val="36"/>
          <w:highlight w:val="none"/>
          <w:lang w:val="en-US" w:eastAsia="zh-CN"/>
        </w:rPr>
        <w:t>二、资格审查</w:t>
      </w:r>
    </w:p>
    <w:p w14:paraId="4DB2E3EB">
      <w:pPr>
        <w:jc w:val="center"/>
        <w:rPr>
          <w:rFonts w:hint="eastAsia" w:ascii="仿宋" w:hAnsi="仿宋" w:eastAsia="仿宋" w:cs="仿宋"/>
          <w:b/>
          <w:bCs/>
          <w:color w:val="auto"/>
          <w:sz w:val="32"/>
          <w:szCs w:val="40"/>
          <w:highlight w:val="none"/>
          <w:lang w:eastAsia="zh-CN"/>
        </w:rPr>
      </w:pPr>
      <w:r>
        <w:rPr>
          <w:rFonts w:hint="eastAsia" w:ascii="仿宋" w:hAnsi="仿宋" w:eastAsia="仿宋" w:cs="仿宋"/>
          <w:b/>
          <w:bCs/>
          <w:color w:val="auto"/>
          <w:sz w:val="32"/>
          <w:szCs w:val="40"/>
          <w:highlight w:val="none"/>
          <w:lang w:eastAsia="zh-CN"/>
        </w:rPr>
        <w:t>（</w:t>
      </w:r>
      <w:r>
        <w:rPr>
          <w:rFonts w:hint="eastAsia" w:ascii="仿宋" w:hAnsi="仿宋" w:eastAsia="仿宋" w:cs="仿宋"/>
          <w:b/>
          <w:bCs/>
          <w:color w:val="auto"/>
          <w:sz w:val="32"/>
          <w:szCs w:val="40"/>
          <w:highlight w:val="none"/>
          <w:lang w:val="en-US" w:eastAsia="zh-CN"/>
        </w:rPr>
        <w:t>一</w:t>
      </w:r>
      <w:r>
        <w:rPr>
          <w:rFonts w:hint="eastAsia" w:ascii="仿宋" w:hAnsi="仿宋" w:eastAsia="仿宋" w:cs="仿宋"/>
          <w:b/>
          <w:bCs/>
          <w:color w:val="auto"/>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1C2E3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7ED1BB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Cs w:val="21"/>
                <w:highlight w:val="none"/>
              </w:rPr>
              <w:t>评审内容</w:t>
            </w:r>
          </w:p>
        </w:tc>
        <w:tc>
          <w:tcPr>
            <w:tcW w:w="5834" w:type="dxa"/>
            <w:vAlign w:val="center"/>
          </w:tcPr>
          <w:p w14:paraId="069B5FB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color w:val="auto"/>
                <w:szCs w:val="21"/>
                <w:highlight w:val="none"/>
                <w:lang w:eastAsia="zh-CN"/>
              </w:rPr>
              <w:t>比选文件</w:t>
            </w:r>
            <w:r>
              <w:rPr>
                <w:rFonts w:hint="eastAsia" w:ascii="仿宋" w:hAnsi="仿宋" w:eastAsia="仿宋" w:cs="仿宋"/>
                <w:bCs/>
                <w:color w:val="auto"/>
                <w:szCs w:val="21"/>
                <w:highlight w:val="none"/>
              </w:rPr>
              <w:t>要求</w:t>
            </w:r>
          </w:p>
        </w:tc>
        <w:tc>
          <w:tcPr>
            <w:tcW w:w="1515" w:type="dxa"/>
            <w:vAlign w:val="center"/>
          </w:tcPr>
          <w:p w14:paraId="38CFA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Cs w:val="21"/>
                <w:highlight w:val="none"/>
              </w:rPr>
              <w:t>自查结论</w:t>
            </w:r>
          </w:p>
        </w:tc>
        <w:tc>
          <w:tcPr>
            <w:tcW w:w="2289" w:type="dxa"/>
            <w:vAlign w:val="center"/>
          </w:tcPr>
          <w:p w14:paraId="2AFD4F37">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color w:val="auto"/>
                <w:szCs w:val="21"/>
                <w:highlight w:val="none"/>
              </w:rPr>
              <w:t>证明资料</w:t>
            </w:r>
          </w:p>
        </w:tc>
      </w:tr>
      <w:tr w14:paraId="6165BC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C6B29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合格条件</w:t>
            </w:r>
          </w:p>
        </w:tc>
        <w:tc>
          <w:tcPr>
            <w:tcW w:w="5834" w:type="dxa"/>
            <w:vAlign w:val="center"/>
          </w:tcPr>
          <w:p w14:paraId="1FD765E8">
            <w:pPr>
              <w:keepNext w:val="0"/>
              <w:keepLines w:val="0"/>
              <w:suppressLineNumbers w:val="0"/>
              <w:spacing w:before="0" w:beforeAutospacing="0" w:after="0" w:afterAutospacing="0"/>
              <w:ind w:left="0" w:right="78" w:rightChars="37"/>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供应商应具备以下条件：</w:t>
            </w:r>
          </w:p>
          <w:p w14:paraId="0C6D5A19">
            <w:pPr>
              <w:keepNext w:val="0"/>
              <w:keepLines w:val="0"/>
              <w:suppressLineNumbers w:val="0"/>
              <w:spacing w:before="0" w:beforeAutospacing="0" w:after="0" w:afterAutospacing="0"/>
              <w:ind w:left="0" w:right="78" w:rightChars="37"/>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①具有良好的商业信誉和健全的财务会计制度；</w:t>
            </w:r>
          </w:p>
          <w:p w14:paraId="1B1B6EB4">
            <w:pPr>
              <w:keepNext w:val="0"/>
              <w:keepLines w:val="0"/>
              <w:suppressLineNumbers w:val="0"/>
              <w:spacing w:before="0" w:beforeAutospacing="0" w:after="0" w:afterAutospacing="0"/>
              <w:ind w:left="0" w:right="78" w:rightChars="37"/>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②有依法缴纳税收和社会保障资金的良好记录；</w:t>
            </w:r>
          </w:p>
          <w:p w14:paraId="32AFB876">
            <w:pPr>
              <w:keepNext w:val="0"/>
              <w:keepLines w:val="0"/>
              <w:suppressLineNumbers w:val="0"/>
              <w:spacing w:before="0" w:beforeAutospacing="0" w:after="0" w:afterAutospacing="0"/>
              <w:ind w:left="0" w:right="78" w:rightChars="37"/>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③具备履行合同所必需的设备和专业技术能力；</w:t>
            </w:r>
          </w:p>
          <w:p w14:paraId="1934EEBC">
            <w:pPr>
              <w:keepNext w:val="0"/>
              <w:keepLines w:val="0"/>
              <w:suppressLineNumbers w:val="0"/>
              <w:spacing w:before="0" w:beforeAutospacing="0" w:after="0" w:afterAutospacing="0"/>
              <w:ind w:left="0" w:leftChars="0" w:right="78" w:rightChars="37"/>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6ACE8E5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28669F5E">
            <w:pPr>
              <w:keepNext w:val="0"/>
              <w:keepLines w:val="0"/>
              <w:suppressLineNumbers w:val="0"/>
              <w:spacing w:before="0" w:beforeAutospacing="0" w:after="0" w:afterAutospacing="0"/>
              <w:ind w:left="36" w:leftChars="17"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□不通过</w:t>
            </w:r>
          </w:p>
        </w:tc>
        <w:tc>
          <w:tcPr>
            <w:tcW w:w="2289" w:type="dxa"/>
            <w:vAlign w:val="center"/>
          </w:tcPr>
          <w:p w14:paraId="0C38E39B">
            <w:pPr>
              <w:keepNext w:val="0"/>
              <w:keepLines w:val="0"/>
              <w:suppressLineNumbers w:val="0"/>
              <w:spacing w:before="0" w:beforeAutospacing="0" w:after="0" w:afterAutospacing="0"/>
              <w:ind w:left="0" w:right="-178" w:rightChars="-85"/>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298FBC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6EB1902">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highlight w:val="none"/>
              </w:rPr>
            </w:pPr>
          </w:p>
        </w:tc>
        <w:tc>
          <w:tcPr>
            <w:tcW w:w="5834" w:type="dxa"/>
            <w:vAlign w:val="center"/>
          </w:tcPr>
          <w:p w14:paraId="3D771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376F6E64">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466DB2B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□不通过</w:t>
            </w:r>
          </w:p>
        </w:tc>
        <w:tc>
          <w:tcPr>
            <w:tcW w:w="2289" w:type="dxa"/>
            <w:vAlign w:val="center"/>
          </w:tcPr>
          <w:p w14:paraId="54D5429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49E1EB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7FE7591">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highlight w:val="none"/>
              </w:rPr>
            </w:pPr>
          </w:p>
        </w:tc>
        <w:tc>
          <w:tcPr>
            <w:tcW w:w="5834" w:type="dxa"/>
            <w:vAlign w:val="center"/>
          </w:tcPr>
          <w:p w14:paraId="3F22B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8"/>
                <w:sz w:val="21"/>
                <w:szCs w:val="21"/>
                <w:highlight w:val="none"/>
                <w:lang w:val="en-US" w:eastAsia="zh-CN"/>
              </w:rPr>
            </w:pPr>
            <w:r>
              <w:rPr>
                <w:rFonts w:hint="eastAsia" w:ascii="仿宋" w:hAnsi="仿宋" w:eastAsia="仿宋" w:cs="仿宋"/>
                <w:color w:val="auto"/>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74B220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4BB37E0F">
            <w:pPr>
              <w:keepNext w:val="0"/>
              <w:keepLines w:val="0"/>
              <w:suppressLineNumbers w:val="0"/>
              <w:spacing w:before="0" w:beforeAutospacing="0" w:after="0" w:afterAutospacing="0"/>
              <w:ind w:left="36" w:leftChars="17"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□不通过</w:t>
            </w:r>
          </w:p>
        </w:tc>
        <w:tc>
          <w:tcPr>
            <w:tcW w:w="2289" w:type="dxa"/>
            <w:vAlign w:val="center"/>
          </w:tcPr>
          <w:p w14:paraId="2492268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6A5985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D236C82">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highlight w:val="none"/>
              </w:rPr>
            </w:pPr>
          </w:p>
        </w:tc>
        <w:tc>
          <w:tcPr>
            <w:tcW w:w="5834" w:type="dxa"/>
            <w:vAlign w:val="center"/>
          </w:tcPr>
          <w:p w14:paraId="7A139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8"/>
                <w:sz w:val="21"/>
                <w:szCs w:val="21"/>
                <w:highlight w:val="none"/>
                <w:lang w:val="en-US" w:eastAsia="zh-CN"/>
              </w:rPr>
              <w:t>本项目不接受联合体报名，成交供应商不得以任何方式转包或分包本项目。</w:t>
            </w:r>
            <w:r>
              <w:rPr>
                <w:rFonts w:hint="eastAsia" w:ascii="仿宋" w:hAnsi="仿宋" w:eastAsia="仿宋" w:cs="仿宋"/>
                <w:color w:val="auto"/>
                <w:sz w:val="21"/>
                <w:szCs w:val="21"/>
                <w:highlight w:val="none"/>
                <w:lang w:val="en-US" w:eastAsia="zh-CN"/>
              </w:rPr>
              <w:t>（出具有效的声明函加盖公章，格式详见“1、资格声明函”）</w:t>
            </w:r>
          </w:p>
        </w:tc>
        <w:tc>
          <w:tcPr>
            <w:tcW w:w="1515" w:type="dxa"/>
            <w:vAlign w:val="center"/>
          </w:tcPr>
          <w:p w14:paraId="1327E11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6C508F1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1"/>
                <w:szCs w:val="21"/>
                <w:highlight w:val="none"/>
              </w:rPr>
              <w:t>□不通过</w:t>
            </w:r>
          </w:p>
        </w:tc>
        <w:tc>
          <w:tcPr>
            <w:tcW w:w="2289" w:type="dxa"/>
            <w:vAlign w:val="center"/>
          </w:tcPr>
          <w:p w14:paraId="5D07120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17E13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B510AB5">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highlight w:val="none"/>
              </w:rPr>
            </w:pPr>
          </w:p>
        </w:tc>
        <w:tc>
          <w:tcPr>
            <w:tcW w:w="5834" w:type="dxa"/>
            <w:vAlign w:val="center"/>
          </w:tcPr>
          <w:p w14:paraId="2941C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8"/>
                <w:sz w:val="21"/>
                <w:szCs w:val="21"/>
                <w:highlight w:val="none"/>
                <w:lang w:val="en-US" w:eastAsia="zh-CN"/>
              </w:rPr>
            </w:pPr>
            <w:r>
              <w:rPr>
                <w:rFonts w:hint="eastAsia" w:ascii="仿宋" w:hAnsi="仿宋" w:eastAsia="仿宋" w:cs="仿宋"/>
                <w:color w:val="auto"/>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7CFCC6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11B15109">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□不通过</w:t>
            </w:r>
          </w:p>
        </w:tc>
        <w:tc>
          <w:tcPr>
            <w:tcW w:w="2289" w:type="dxa"/>
            <w:vAlign w:val="center"/>
          </w:tcPr>
          <w:p w14:paraId="6C78115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31A98D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63A5517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554AB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1C201C1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037DD79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□不通过</w:t>
            </w:r>
          </w:p>
        </w:tc>
        <w:tc>
          <w:tcPr>
            <w:tcW w:w="2289" w:type="dxa"/>
            <w:vAlign w:val="center"/>
          </w:tcPr>
          <w:p w14:paraId="5CC6704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243C79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1F63A2BA">
            <w:pPr>
              <w:keepNext w:val="0"/>
              <w:keepLines w:val="0"/>
              <w:suppressLineNumbers w:val="0"/>
              <w:spacing w:before="0" w:beforeAutospacing="0" w:after="0" w:afterAutospacing="0"/>
              <w:ind w:left="0" w:right="-178" w:rightChars="-85"/>
              <w:jc w:val="center"/>
              <w:rPr>
                <w:rFonts w:hint="eastAsia" w:ascii="仿宋" w:hAnsi="仿宋" w:eastAsia="仿宋" w:cs="仿宋"/>
                <w:color w:val="auto"/>
                <w:highlight w:val="none"/>
              </w:rPr>
            </w:pPr>
          </w:p>
        </w:tc>
        <w:tc>
          <w:tcPr>
            <w:tcW w:w="5834" w:type="dxa"/>
            <w:vAlign w:val="center"/>
          </w:tcPr>
          <w:p w14:paraId="59050F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8"/>
                <w:sz w:val="21"/>
                <w:szCs w:val="21"/>
                <w:highlight w:val="none"/>
              </w:rPr>
              <w:t>出具加盖公章、有</w:t>
            </w:r>
            <w:r>
              <w:rPr>
                <w:rFonts w:hint="eastAsia" w:ascii="仿宋" w:hAnsi="仿宋" w:eastAsia="仿宋" w:cs="仿宋"/>
                <w:color w:val="auto"/>
                <w:kern w:val="28"/>
                <w:sz w:val="21"/>
                <w:szCs w:val="21"/>
                <w:highlight w:val="none"/>
                <w:lang w:val="en-US" w:eastAsia="zh-CN"/>
              </w:rPr>
              <w:t>单位负责人</w:t>
            </w:r>
            <w:r>
              <w:rPr>
                <w:rFonts w:hint="eastAsia" w:ascii="仿宋" w:hAnsi="仿宋" w:eastAsia="仿宋" w:cs="仿宋"/>
                <w:color w:val="auto"/>
                <w:kern w:val="28"/>
                <w:sz w:val="21"/>
                <w:szCs w:val="21"/>
                <w:highlight w:val="none"/>
                <w:lang w:eastAsia="zh-CN"/>
              </w:rPr>
              <w:t>（</w:t>
            </w:r>
            <w:r>
              <w:rPr>
                <w:rFonts w:hint="eastAsia" w:ascii="仿宋" w:hAnsi="仿宋" w:eastAsia="仿宋" w:cs="仿宋"/>
                <w:color w:val="auto"/>
                <w:kern w:val="28"/>
                <w:sz w:val="21"/>
                <w:szCs w:val="21"/>
                <w:highlight w:val="none"/>
                <w:lang w:val="en-US" w:eastAsia="zh-CN"/>
              </w:rPr>
              <w:t>法定代表人</w:t>
            </w:r>
            <w:r>
              <w:rPr>
                <w:rFonts w:hint="eastAsia" w:ascii="仿宋" w:hAnsi="仿宋" w:eastAsia="仿宋" w:cs="仿宋"/>
                <w:color w:val="auto"/>
                <w:kern w:val="28"/>
                <w:sz w:val="21"/>
                <w:szCs w:val="21"/>
                <w:highlight w:val="none"/>
                <w:lang w:eastAsia="zh-CN"/>
              </w:rPr>
              <w:t>）</w:t>
            </w:r>
            <w:r>
              <w:rPr>
                <w:rFonts w:hint="eastAsia" w:ascii="仿宋" w:hAnsi="仿宋" w:eastAsia="仿宋" w:cs="仿宋"/>
                <w:color w:val="auto"/>
                <w:kern w:val="28"/>
                <w:sz w:val="21"/>
                <w:szCs w:val="21"/>
                <w:highlight w:val="none"/>
              </w:rPr>
              <w:t>签名的《供应商廉洁守约承诺书》。（出具有效的加盖公章</w:t>
            </w:r>
            <w:r>
              <w:rPr>
                <w:rFonts w:hint="eastAsia" w:ascii="仿宋" w:hAnsi="仿宋" w:eastAsia="仿宋" w:cs="仿宋"/>
                <w:color w:val="auto"/>
                <w:kern w:val="28"/>
                <w:sz w:val="21"/>
                <w:szCs w:val="21"/>
                <w:highlight w:val="none"/>
                <w:lang w:val="en-US" w:eastAsia="zh-CN"/>
              </w:rPr>
              <w:t>承诺书</w:t>
            </w:r>
            <w:r>
              <w:rPr>
                <w:rFonts w:hint="eastAsia" w:ascii="仿宋" w:hAnsi="仿宋" w:eastAsia="仿宋" w:cs="仿宋"/>
                <w:color w:val="auto"/>
                <w:kern w:val="28"/>
                <w:sz w:val="21"/>
                <w:szCs w:val="21"/>
                <w:highlight w:val="none"/>
                <w:lang w:eastAsia="zh-CN"/>
              </w:rPr>
              <w:t>，格式详见“</w:t>
            </w:r>
            <w:r>
              <w:rPr>
                <w:rFonts w:hint="eastAsia" w:ascii="仿宋" w:hAnsi="仿宋" w:eastAsia="仿宋" w:cs="仿宋"/>
                <w:color w:val="auto"/>
                <w:kern w:val="28"/>
                <w:sz w:val="21"/>
                <w:szCs w:val="21"/>
                <w:highlight w:val="none"/>
                <w:lang w:val="en-US" w:eastAsia="zh-CN"/>
              </w:rPr>
              <w:t>3</w:t>
            </w:r>
            <w:r>
              <w:rPr>
                <w:rFonts w:hint="eastAsia" w:ascii="仿宋" w:hAnsi="仿宋" w:eastAsia="仿宋" w:cs="仿宋"/>
                <w:color w:val="auto"/>
                <w:kern w:val="28"/>
                <w:sz w:val="21"/>
                <w:szCs w:val="21"/>
                <w:highlight w:val="none"/>
                <w:lang w:eastAsia="zh-CN"/>
              </w:rPr>
              <w:t>、</w:t>
            </w:r>
            <w:r>
              <w:rPr>
                <w:rFonts w:hint="eastAsia" w:ascii="仿宋" w:hAnsi="仿宋" w:eastAsia="仿宋" w:cs="仿宋"/>
                <w:color w:val="auto"/>
                <w:kern w:val="28"/>
                <w:sz w:val="21"/>
                <w:szCs w:val="21"/>
                <w:highlight w:val="none"/>
                <w:lang w:val="en-US" w:eastAsia="zh-CN"/>
              </w:rPr>
              <w:t>供应商廉洁守约承诺书</w:t>
            </w:r>
            <w:r>
              <w:rPr>
                <w:rFonts w:hint="eastAsia" w:ascii="仿宋" w:hAnsi="仿宋" w:eastAsia="仿宋" w:cs="仿宋"/>
                <w:color w:val="auto"/>
                <w:kern w:val="28"/>
                <w:sz w:val="21"/>
                <w:szCs w:val="21"/>
                <w:highlight w:val="none"/>
                <w:lang w:eastAsia="zh-CN"/>
              </w:rPr>
              <w:t>”，</w:t>
            </w:r>
            <w:r>
              <w:rPr>
                <w:rFonts w:hint="eastAsia" w:ascii="仿宋" w:hAnsi="仿宋" w:eastAsia="仿宋" w:cs="仿宋"/>
                <w:color w:val="auto"/>
                <w:kern w:val="28"/>
                <w:sz w:val="21"/>
                <w:szCs w:val="21"/>
                <w:highlight w:val="none"/>
                <w:lang w:val="en-US" w:eastAsia="zh-CN"/>
              </w:rPr>
              <w:t>不得擅自删改</w:t>
            </w:r>
            <w:r>
              <w:rPr>
                <w:rFonts w:hint="eastAsia" w:ascii="仿宋" w:hAnsi="仿宋" w:eastAsia="仿宋" w:cs="仿宋"/>
                <w:color w:val="auto"/>
                <w:kern w:val="28"/>
                <w:sz w:val="21"/>
                <w:szCs w:val="21"/>
                <w:highlight w:val="none"/>
              </w:rPr>
              <w:t>）</w:t>
            </w:r>
          </w:p>
        </w:tc>
        <w:tc>
          <w:tcPr>
            <w:tcW w:w="1515" w:type="dxa"/>
            <w:vAlign w:val="center"/>
          </w:tcPr>
          <w:p w14:paraId="0206C78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31336F5C">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□不通过</w:t>
            </w:r>
          </w:p>
        </w:tc>
        <w:tc>
          <w:tcPr>
            <w:tcW w:w="2289" w:type="dxa"/>
            <w:vAlign w:val="center"/>
          </w:tcPr>
          <w:p w14:paraId="1409B53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02C94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368C44F">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9D8A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auto"/>
                <w:sz w:val="21"/>
                <w:szCs w:val="21"/>
                <w:highlight w:val="none"/>
                <w:lang w:val="en-US" w:eastAsia="zh-CN"/>
              </w:rPr>
              <w:t>已成功报名本次项目。</w:t>
            </w:r>
          </w:p>
        </w:tc>
        <w:tc>
          <w:tcPr>
            <w:tcW w:w="1515" w:type="dxa"/>
            <w:vAlign w:val="center"/>
          </w:tcPr>
          <w:p w14:paraId="337E077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7AD710D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□不通过</w:t>
            </w:r>
          </w:p>
        </w:tc>
        <w:tc>
          <w:tcPr>
            <w:tcW w:w="2289" w:type="dxa"/>
            <w:vAlign w:val="center"/>
          </w:tcPr>
          <w:p w14:paraId="356088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1"/>
                <w:szCs w:val="21"/>
                <w:highlight w:val="none"/>
                <w:lang w:val="en-US" w:eastAsia="zh-CN"/>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16AE32A">
      <w:pPr>
        <w:pStyle w:val="31"/>
        <w:rPr>
          <w:rFonts w:hint="eastAsia" w:ascii="仿宋" w:hAnsi="仿宋" w:eastAsia="仿宋" w:cs="仿宋"/>
          <w:color w:val="auto"/>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64180A2B">
      <w:pPr>
        <w:pStyle w:val="31"/>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2"/>
          <w:highlight w:val="none"/>
          <w:lang w:val="en-US" w:eastAsia="zh-CN"/>
        </w:rPr>
        <w:t>4、本自查表不得擅自删改。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A832510">
      <w:pPr>
        <w:pStyle w:val="31"/>
        <w:rPr>
          <w:rFonts w:ascii="仿宋_GB2312" w:hAnsi="华文仿宋" w:eastAsia="仿宋_GB2312" w:cs="华文仿宋"/>
          <w:bCs/>
          <w:color w:val="auto"/>
          <w:szCs w:val="21"/>
          <w:highlight w:val="none"/>
        </w:rPr>
      </w:pPr>
    </w:p>
    <w:p w14:paraId="184D9CBE">
      <w:pPr>
        <w:pStyle w:val="31"/>
        <w:rPr>
          <w:rFonts w:hint="eastAsia" w:ascii="宋体" w:hAnsi="宋体" w:cs="宋体"/>
          <w:color w:val="auto"/>
          <w:szCs w:val="21"/>
          <w:highlight w:val="none"/>
          <w:lang w:eastAsia="zh-CN"/>
        </w:rPr>
      </w:pPr>
    </w:p>
    <w:p w14:paraId="2864DD9C">
      <w:pPr>
        <w:pStyle w:val="31"/>
        <w:rPr>
          <w:rFonts w:ascii="仿宋_GB2312" w:hAnsi="华文仿宋" w:eastAsia="仿宋_GB2312" w:cs="华文仿宋"/>
          <w:bCs/>
          <w:color w:val="auto"/>
          <w:szCs w:val="21"/>
          <w:highlight w:val="none"/>
        </w:rPr>
      </w:pPr>
    </w:p>
    <w:p w14:paraId="596346E3">
      <w:pPr>
        <w:pStyle w:val="31"/>
        <w:rPr>
          <w:rFonts w:hint="eastAsia" w:ascii="宋体" w:hAnsi="宋体" w:cs="宋体"/>
          <w:color w:val="auto"/>
          <w:szCs w:val="21"/>
          <w:highlight w:val="none"/>
          <w:lang w:eastAsia="zh-CN"/>
        </w:rPr>
      </w:pPr>
    </w:p>
    <w:p w14:paraId="69DDADDC">
      <w:pPr>
        <w:pStyle w:val="31"/>
        <w:rPr>
          <w:rFonts w:hint="eastAsia" w:ascii="宋体" w:hAnsi="宋体" w:cs="宋体"/>
          <w:color w:val="auto"/>
          <w:szCs w:val="21"/>
          <w:highlight w:val="none"/>
          <w:lang w:eastAsia="zh-CN"/>
        </w:rPr>
      </w:pPr>
    </w:p>
    <w:p w14:paraId="2C1D3319">
      <w:pPr>
        <w:pStyle w:val="31"/>
        <w:rPr>
          <w:rFonts w:hint="eastAsia" w:ascii="宋体" w:hAnsi="宋体" w:cs="宋体"/>
          <w:color w:val="auto"/>
          <w:szCs w:val="21"/>
          <w:highlight w:val="none"/>
          <w:lang w:eastAsia="zh-CN"/>
        </w:rPr>
      </w:pPr>
    </w:p>
    <w:p w14:paraId="7827AABB">
      <w:pPr>
        <w:pStyle w:val="31"/>
        <w:rPr>
          <w:rFonts w:hint="eastAsia" w:ascii="宋体" w:hAnsi="宋体" w:cs="宋体"/>
          <w:color w:val="auto"/>
          <w:szCs w:val="21"/>
          <w:highlight w:val="none"/>
          <w:lang w:eastAsia="zh-CN"/>
        </w:rPr>
      </w:pPr>
    </w:p>
    <w:p w14:paraId="255D3309">
      <w:pPr>
        <w:pStyle w:val="31"/>
        <w:rPr>
          <w:rFonts w:hint="eastAsia" w:ascii="宋体" w:hAnsi="宋体" w:cs="宋体"/>
          <w:color w:val="auto"/>
          <w:szCs w:val="21"/>
          <w:highlight w:val="none"/>
          <w:lang w:eastAsia="zh-CN"/>
        </w:rPr>
      </w:pPr>
    </w:p>
    <w:p w14:paraId="46A5455A">
      <w:pPr>
        <w:pStyle w:val="31"/>
        <w:rPr>
          <w:rFonts w:hint="eastAsia" w:ascii="宋体" w:hAnsi="宋体" w:cs="宋体"/>
          <w:color w:val="auto"/>
          <w:szCs w:val="21"/>
          <w:highlight w:val="none"/>
          <w:lang w:eastAsia="zh-CN"/>
        </w:rPr>
      </w:pPr>
    </w:p>
    <w:p w14:paraId="2F1A0C02">
      <w:pPr>
        <w:pStyle w:val="31"/>
        <w:rPr>
          <w:rFonts w:hint="eastAsia" w:ascii="宋体" w:hAnsi="宋体" w:cs="宋体"/>
          <w:color w:val="auto"/>
          <w:szCs w:val="21"/>
          <w:highlight w:val="none"/>
          <w:lang w:eastAsia="zh-CN"/>
        </w:rPr>
      </w:pPr>
    </w:p>
    <w:p w14:paraId="1367180E">
      <w:pPr>
        <w:pStyle w:val="31"/>
        <w:rPr>
          <w:rFonts w:hint="eastAsia" w:ascii="宋体" w:hAnsi="宋体" w:cs="宋体"/>
          <w:color w:val="auto"/>
          <w:szCs w:val="21"/>
          <w:highlight w:val="none"/>
          <w:lang w:eastAsia="zh-CN"/>
        </w:rPr>
      </w:pPr>
    </w:p>
    <w:p w14:paraId="7BB66914">
      <w:pPr>
        <w:pStyle w:val="31"/>
        <w:rPr>
          <w:rFonts w:ascii="仿宋_GB2312" w:hAnsi="华文仿宋" w:eastAsia="仿宋_GB2312" w:cs="华文仿宋"/>
          <w:bCs/>
          <w:color w:val="auto"/>
          <w:szCs w:val="21"/>
          <w:highlight w:val="none"/>
        </w:rPr>
      </w:pPr>
    </w:p>
    <w:p w14:paraId="4696A160">
      <w:pPr>
        <w:pStyle w:val="31"/>
        <w:rPr>
          <w:rFonts w:hint="eastAsia" w:ascii="宋体" w:hAnsi="宋体" w:cs="宋体"/>
          <w:color w:val="auto"/>
          <w:szCs w:val="21"/>
          <w:highlight w:val="none"/>
          <w:lang w:eastAsia="zh-CN"/>
        </w:rPr>
      </w:pPr>
    </w:p>
    <w:p w14:paraId="20D99EBD">
      <w:pPr>
        <w:pStyle w:val="31"/>
        <w:rPr>
          <w:rFonts w:hint="eastAsia" w:ascii="宋体" w:hAnsi="宋体" w:cs="宋体"/>
          <w:color w:val="auto"/>
          <w:szCs w:val="21"/>
          <w:highlight w:val="none"/>
          <w:lang w:eastAsia="zh-CN"/>
        </w:rPr>
      </w:pPr>
    </w:p>
    <w:p w14:paraId="68DD4C11">
      <w:pPr>
        <w:pStyle w:val="31"/>
        <w:rPr>
          <w:rFonts w:hint="eastAsia" w:ascii="宋体" w:hAnsi="宋体" w:cs="宋体"/>
          <w:color w:val="auto"/>
          <w:szCs w:val="21"/>
          <w:highlight w:val="none"/>
          <w:lang w:eastAsia="zh-CN"/>
        </w:rPr>
      </w:pPr>
    </w:p>
    <w:p w14:paraId="0CC9DCDD">
      <w:pPr>
        <w:pStyle w:val="31"/>
        <w:rPr>
          <w:rFonts w:hint="eastAsia" w:ascii="宋体" w:hAnsi="宋体" w:cs="宋体"/>
          <w:color w:val="auto"/>
          <w:szCs w:val="21"/>
          <w:highlight w:val="none"/>
          <w:lang w:eastAsia="zh-CN"/>
        </w:rPr>
      </w:pPr>
    </w:p>
    <w:p w14:paraId="340DD184">
      <w:pPr>
        <w:pStyle w:val="31"/>
        <w:rPr>
          <w:rFonts w:hint="eastAsia" w:ascii="宋体" w:hAnsi="宋体" w:cs="宋体"/>
          <w:color w:val="auto"/>
          <w:szCs w:val="21"/>
          <w:highlight w:val="none"/>
          <w:lang w:eastAsia="zh-CN"/>
        </w:rPr>
      </w:pPr>
    </w:p>
    <w:p w14:paraId="00501770">
      <w:pPr>
        <w:pStyle w:val="31"/>
        <w:rPr>
          <w:rFonts w:hint="eastAsia" w:ascii="宋体" w:hAnsi="宋体" w:cs="宋体"/>
          <w:color w:val="auto"/>
          <w:szCs w:val="21"/>
          <w:highlight w:val="none"/>
          <w:lang w:eastAsia="zh-CN"/>
        </w:rPr>
      </w:pPr>
    </w:p>
    <w:p w14:paraId="6261067A">
      <w:pPr>
        <w:pStyle w:val="31"/>
        <w:rPr>
          <w:rFonts w:hint="eastAsia" w:ascii="宋体" w:hAnsi="宋体" w:cs="宋体"/>
          <w:color w:val="auto"/>
          <w:szCs w:val="21"/>
          <w:highlight w:val="none"/>
          <w:lang w:eastAsia="zh-CN"/>
        </w:rPr>
      </w:pPr>
    </w:p>
    <w:p w14:paraId="53EC56F2">
      <w:pPr>
        <w:pStyle w:val="31"/>
        <w:rPr>
          <w:rFonts w:hint="eastAsia" w:ascii="宋体" w:hAnsi="宋体" w:cs="宋体"/>
          <w:color w:val="auto"/>
          <w:szCs w:val="21"/>
          <w:highlight w:val="none"/>
          <w:lang w:eastAsia="zh-CN"/>
        </w:rPr>
      </w:pPr>
    </w:p>
    <w:p w14:paraId="35EC8B5F">
      <w:pPr>
        <w:pStyle w:val="31"/>
        <w:rPr>
          <w:rFonts w:hint="eastAsia" w:ascii="宋体" w:hAnsi="宋体" w:cs="宋体"/>
          <w:color w:val="auto"/>
          <w:szCs w:val="21"/>
          <w:highlight w:val="none"/>
          <w:lang w:eastAsia="zh-CN"/>
        </w:rPr>
      </w:pPr>
    </w:p>
    <w:p w14:paraId="66D8E6BE">
      <w:pPr>
        <w:pStyle w:val="31"/>
        <w:rPr>
          <w:rFonts w:hint="eastAsia" w:ascii="宋体" w:hAnsi="宋体" w:cs="宋体"/>
          <w:color w:val="auto"/>
          <w:szCs w:val="21"/>
          <w:highlight w:val="none"/>
          <w:lang w:eastAsia="zh-CN"/>
        </w:rPr>
      </w:pPr>
    </w:p>
    <w:p w14:paraId="2BAD3C2C">
      <w:pPr>
        <w:pStyle w:val="31"/>
        <w:rPr>
          <w:rFonts w:hint="eastAsia" w:ascii="宋体" w:hAnsi="宋体" w:cs="宋体"/>
          <w:color w:val="auto"/>
          <w:szCs w:val="21"/>
          <w:highlight w:val="none"/>
          <w:lang w:eastAsia="zh-CN"/>
        </w:rPr>
      </w:pPr>
    </w:p>
    <w:p w14:paraId="7053586F">
      <w:pPr>
        <w:pStyle w:val="31"/>
        <w:rPr>
          <w:rFonts w:hint="eastAsia" w:ascii="宋体" w:hAnsi="宋体" w:cs="宋体"/>
          <w:color w:val="auto"/>
          <w:szCs w:val="21"/>
          <w:highlight w:val="none"/>
          <w:lang w:eastAsia="zh-CN"/>
        </w:rPr>
      </w:pPr>
    </w:p>
    <w:p w14:paraId="740DD86B">
      <w:pPr>
        <w:pStyle w:val="31"/>
        <w:rPr>
          <w:rFonts w:hint="eastAsia" w:ascii="宋体" w:hAnsi="宋体" w:cs="宋体"/>
          <w:color w:val="auto"/>
          <w:szCs w:val="21"/>
          <w:highlight w:val="none"/>
          <w:lang w:eastAsia="zh-CN"/>
        </w:rPr>
      </w:pPr>
    </w:p>
    <w:p w14:paraId="659A086F">
      <w:pPr>
        <w:pStyle w:val="31"/>
        <w:rPr>
          <w:rFonts w:hint="eastAsia" w:ascii="宋体" w:hAnsi="宋体" w:cs="宋体"/>
          <w:color w:val="auto"/>
          <w:szCs w:val="21"/>
          <w:highlight w:val="none"/>
          <w:lang w:eastAsia="zh-CN"/>
        </w:rPr>
      </w:pPr>
    </w:p>
    <w:p w14:paraId="18AA3A6C">
      <w:pPr>
        <w:pStyle w:val="31"/>
        <w:rPr>
          <w:rFonts w:hint="eastAsia" w:ascii="宋体" w:hAnsi="宋体" w:cs="宋体"/>
          <w:color w:val="auto"/>
          <w:szCs w:val="21"/>
          <w:highlight w:val="none"/>
          <w:lang w:eastAsia="zh-CN"/>
        </w:rPr>
      </w:pPr>
    </w:p>
    <w:p w14:paraId="64BCD787">
      <w:pPr>
        <w:pStyle w:val="31"/>
        <w:rPr>
          <w:rFonts w:hint="eastAsia" w:ascii="宋体" w:hAnsi="宋体" w:cs="宋体"/>
          <w:color w:val="auto"/>
          <w:szCs w:val="21"/>
          <w:highlight w:val="none"/>
          <w:lang w:eastAsia="zh-CN"/>
        </w:rPr>
      </w:pPr>
    </w:p>
    <w:p w14:paraId="576EBDBC">
      <w:pPr>
        <w:pStyle w:val="31"/>
        <w:rPr>
          <w:rFonts w:hint="eastAsia" w:ascii="宋体" w:hAnsi="宋体" w:cs="宋体"/>
          <w:color w:val="auto"/>
          <w:szCs w:val="21"/>
          <w:highlight w:val="none"/>
          <w:lang w:eastAsia="zh-CN"/>
        </w:rPr>
      </w:pPr>
    </w:p>
    <w:p w14:paraId="02805C15">
      <w:pPr>
        <w:pStyle w:val="31"/>
        <w:rPr>
          <w:rFonts w:hint="eastAsia" w:ascii="宋体" w:hAnsi="宋体" w:cs="宋体"/>
          <w:color w:val="auto"/>
          <w:szCs w:val="21"/>
          <w:highlight w:val="none"/>
          <w:lang w:eastAsia="zh-CN"/>
        </w:rPr>
      </w:pPr>
    </w:p>
    <w:p w14:paraId="6C3FDEC3">
      <w:pPr>
        <w:pStyle w:val="31"/>
        <w:rPr>
          <w:rFonts w:hint="eastAsia" w:ascii="宋体" w:hAnsi="宋体" w:cs="宋体"/>
          <w:color w:val="auto"/>
          <w:szCs w:val="21"/>
          <w:highlight w:val="none"/>
          <w:lang w:eastAsia="zh-CN"/>
        </w:rPr>
      </w:pPr>
    </w:p>
    <w:p w14:paraId="68317DF7">
      <w:pPr>
        <w:pStyle w:val="31"/>
        <w:rPr>
          <w:rFonts w:hint="eastAsia" w:ascii="宋体" w:hAnsi="宋体" w:cs="宋体"/>
          <w:color w:val="auto"/>
          <w:szCs w:val="21"/>
          <w:highlight w:val="none"/>
          <w:lang w:eastAsia="zh-CN"/>
        </w:rPr>
      </w:pPr>
    </w:p>
    <w:p w14:paraId="0FE0B863">
      <w:pPr>
        <w:pStyle w:val="31"/>
        <w:rPr>
          <w:rFonts w:hint="eastAsia" w:ascii="宋体" w:hAnsi="宋体" w:cs="宋体"/>
          <w:color w:val="auto"/>
          <w:szCs w:val="21"/>
          <w:highlight w:val="none"/>
          <w:lang w:eastAsia="zh-CN"/>
        </w:rPr>
      </w:pPr>
    </w:p>
    <w:p w14:paraId="3FD2C692">
      <w:pPr>
        <w:pStyle w:val="31"/>
        <w:rPr>
          <w:rFonts w:hint="eastAsia" w:ascii="宋体" w:hAnsi="宋体" w:cs="宋体"/>
          <w:color w:val="auto"/>
          <w:szCs w:val="21"/>
          <w:highlight w:val="none"/>
          <w:lang w:eastAsia="zh-CN"/>
        </w:rPr>
      </w:pPr>
    </w:p>
    <w:p w14:paraId="44220E77">
      <w:pPr>
        <w:pStyle w:val="31"/>
        <w:rPr>
          <w:rFonts w:hint="eastAsia" w:ascii="宋体" w:hAnsi="宋体" w:cs="宋体"/>
          <w:color w:val="auto"/>
          <w:szCs w:val="21"/>
          <w:highlight w:val="none"/>
          <w:lang w:eastAsia="zh-CN"/>
        </w:rPr>
      </w:pPr>
    </w:p>
    <w:p w14:paraId="43860CE5">
      <w:pPr>
        <w:pStyle w:val="31"/>
        <w:rPr>
          <w:rFonts w:hint="eastAsia" w:ascii="宋体" w:hAnsi="宋体" w:cs="宋体"/>
          <w:color w:val="auto"/>
          <w:szCs w:val="21"/>
          <w:highlight w:val="none"/>
          <w:lang w:eastAsia="zh-CN"/>
        </w:rPr>
      </w:pPr>
    </w:p>
    <w:p w14:paraId="4D368203">
      <w:pPr>
        <w:pStyle w:val="31"/>
        <w:rPr>
          <w:rFonts w:hint="eastAsia" w:ascii="宋体" w:hAnsi="宋体" w:cs="宋体"/>
          <w:color w:val="auto"/>
          <w:szCs w:val="21"/>
          <w:highlight w:val="none"/>
          <w:lang w:eastAsia="zh-CN"/>
        </w:rPr>
      </w:pPr>
    </w:p>
    <w:p w14:paraId="3FCEA9F5">
      <w:pPr>
        <w:pStyle w:val="31"/>
        <w:rPr>
          <w:rFonts w:hint="eastAsia" w:ascii="宋体" w:hAnsi="宋体" w:cs="宋体"/>
          <w:color w:val="auto"/>
          <w:szCs w:val="21"/>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b/>
          <w:bCs/>
          <w:color w:val="auto"/>
          <w:sz w:val="36"/>
          <w:szCs w:val="44"/>
          <w:highlight w:val="none"/>
          <w:lang w:eastAsia="zh-CN"/>
        </w:rPr>
        <w:t>（</w:t>
      </w:r>
      <w:r>
        <w:rPr>
          <w:rFonts w:hint="eastAsia" w:ascii="仿宋" w:hAnsi="仿宋" w:eastAsia="仿宋" w:cs="仿宋"/>
          <w:b/>
          <w:bCs/>
          <w:color w:val="auto"/>
          <w:sz w:val="36"/>
          <w:szCs w:val="44"/>
          <w:highlight w:val="none"/>
          <w:lang w:val="en-US" w:eastAsia="zh-CN"/>
        </w:rPr>
        <w:t>二</w:t>
      </w:r>
      <w:r>
        <w:rPr>
          <w:rFonts w:hint="eastAsia" w:ascii="仿宋" w:hAnsi="仿宋" w:eastAsia="仿宋" w:cs="仿宋"/>
          <w:b/>
          <w:bCs/>
          <w:color w:val="auto"/>
          <w:sz w:val="36"/>
          <w:szCs w:val="44"/>
          <w:highlight w:val="none"/>
          <w:lang w:eastAsia="zh-CN"/>
        </w:rPr>
        <w:t>）</w:t>
      </w:r>
      <w:r>
        <w:rPr>
          <w:rFonts w:hint="eastAsia" w:ascii="仿宋" w:hAnsi="仿宋" w:eastAsia="仿宋" w:cs="仿宋"/>
          <w:b/>
          <w:bCs/>
          <w:color w:val="auto"/>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48F744A">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color w:val="auto"/>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2"/>
          <w:szCs w:val="40"/>
          <w:highlight w:val="none"/>
          <w:lang w:eastAsia="zh-CN"/>
        </w:rPr>
      </w:pPr>
      <w:r>
        <w:rPr>
          <w:rFonts w:hint="eastAsia" w:ascii="仿宋" w:hAnsi="仿宋" w:eastAsia="仿宋" w:cs="仿宋"/>
          <w:b/>
          <w:bCs/>
          <w:color w:val="auto"/>
          <w:sz w:val="32"/>
          <w:szCs w:val="40"/>
          <w:highlight w:val="none"/>
          <w:lang w:val="en-US" w:eastAsia="zh-CN"/>
        </w:rPr>
        <w:t>2、</w:t>
      </w:r>
      <w:r>
        <w:rPr>
          <w:rFonts w:hint="eastAsia" w:ascii="仿宋" w:hAnsi="仿宋" w:eastAsia="仿宋" w:cs="仿宋"/>
          <w:b/>
          <w:bCs/>
          <w:color w:val="auto"/>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36"/>
          <w:highlight w:val="none"/>
          <w:lang w:val="en-US" w:eastAsia="zh-CN"/>
        </w:rPr>
      </w:pPr>
      <w:r>
        <w:rPr>
          <w:rFonts w:hint="eastAsia" w:ascii="仿宋" w:hAnsi="仿宋" w:eastAsia="仿宋" w:cs="仿宋"/>
          <w:color w:val="auto"/>
          <w:kern w:val="0"/>
          <w:sz w:val="24"/>
          <w:szCs w:val="24"/>
          <w:highlight w:val="none"/>
          <w:lang w:val="en-US" w:eastAsia="zh-CN"/>
        </w:rPr>
        <w:t>（如为分公司报名，必须同时提供总公司的营业执照副本复印件及总公司授权书,加盖公章）</w:t>
      </w:r>
    </w:p>
    <w:p w14:paraId="2C258742">
      <w:pPr>
        <w:pStyle w:val="31"/>
        <w:rPr>
          <w:rFonts w:hint="eastAsia" w:ascii="宋体" w:hAnsi="宋体" w:cs="宋体"/>
          <w:color w:val="auto"/>
          <w:szCs w:val="21"/>
          <w:highlight w:val="none"/>
          <w:lang w:eastAsia="zh-CN"/>
        </w:rPr>
      </w:pPr>
    </w:p>
    <w:p w14:paraId="7735C370">
      <w:pPr>
        <w:pStyle w:val="31"/>
        <w:rPr>
          <w:rFonts w:hint="eastAsia" w:ascii="宋体" w:hAnsi="宋体" w:cs="宋体"/>
          <w:color w:val="auto"/>
          <w:szCs w:val="21"/>
          <w:highlight w:val="none"/>
          <w:lang w:eastAsia="zh-CN"/>
        </w:rPr>
      </w:pPr>
    </w:p>
    <w:p w14:paraId="5393909D">
      <w:pPr>
        <w:pStyle w:val="31"/>
        <w:rPr>
          <w:rFonts w:hint="eastAsia" w:ascii="宋体" w:hAnsi="宋体" w:cs="宋体"/>
          <w:color w:val="auto"/>
          <w:szCs w:val="21"/>
          <w:highlight w:val="none"/>
          <w:lang w:eastAsia="zh-CN"/>
        </w:rPr>
      </w:pPr>
    </w:p>
    <w:p w14:paraId="61D8AE5B">
      <w:pPr>
        <w:pStyle w:val="31"/>
        <w:rPr>
          <w:rFonts w:hint="eastAsia" w:ascii="宋体" w:hAnsi="宋体" w:cs="宋体"/>
          <w:color w:val="auto"/>
          <w:szCs w:val="21"/>
          <w:highlight w:val="none"/>
          <w:lang w:eastAsia="zh-CN"/>
        </w:rPr>
      </w:pPr>
    </w:p>
    <w:p w14:paraId="6BFB9AEC">
      <w:pPr>
        <w:pStyle w:val="31"/>
        <w:rPr>
          <w:rFonts w:hint="eastAsia" w:ascii="宋体" w:hAnsi="宋体" w:cs="宋体"/>
          <w:color w:val="auto"/>
          <w:szCs w:val="21"/>
          <w:highlight w:val="none"/>
          <w:lang w:eastAsia="zh-CN"/>
        </w:rPr>
      </w:pPr>
    </w:p>
    <w:p w14:paraId="364122E6">
      <w:pPr>
        <w:pStyle w:val="31"/>
        <w:rPr>
          <w:rFonts w:hint="eastAsia" w:ascii="宋体" w:hAnsi="宋体" w:cs="宋体"/>
          <w:color w:val="auto"/>
          <w:szCs w:val="21"/>
          <w:highlight w:val="none"/>
          <w:lang w:eastAsia="zh-CN"/>
        </w:rPr>
      </w:pPr>
    </w:p>
    <w:p w14:paraId="76040AD8">
      <w:pPr>
        <w:pStyle w:val="31"/>
        <w:rPr>
          <w:rFonts w:hint="eastAsia" w:ascii="宋体" w:hAnsi="宋体" w:cs="宋体"/>
          <w:color w:val="auto"/>
          <w:szCs w:val="21"/>
          <w:highlight w:val="none"/>
          <w:lang w:eastAsia="zh-CN"/>
        </w:rPr>
      </w:pPr>
    </w:p>
    <w:p w14:paraId="7AE15D50">
      <w:pPr>
        <w:pStyle w:val="31"/>
        <w:rPr>
          <w:rFonts w:hint="eastAsia" w:ascii="宋体" w:hAnsi="宋体" w:cs="宋体"/>
          <w:color w:val="auto"/>
          <w:szCs w:val="21"/>
          <w:highlight w:val="none"/>
          <w:lang w:eastAsia="zh-CN"/>
        </w:rPr>
      </w:pPr>
    </w:p>
    <w:p w14:paraId="1CA1D3CB">
      <w:pPr>
        <w:pStyle w:val="31"/>
        <w:rPr>
          <w:rFonts w:hint="eastAsia" w:ascii="宋体" w:hAnsi="宋体" w:cs="宋体"/>
          <w:color w:val="auto"/>
          <w:szCs w:val="21"/>
          <w:highlight w:val="none"/>
          <w:lang w:eastAsia="zh-CN"/>
        </w:rPr>
      </w:pPr>
    </w:p>
    <w:p w14:paraId="7E5146C2">
      <w:pPr>
        <w:pStyle w:val="31"/>
        <w:rPr>
          <w:rFonts w:hint="eastAsia" w:ascii="宋体" w:hAnsi="宋体" w:cs="宋体"/>
          <w:color w:val="auto"/>
          <w:szCs w:val="21"/>
          <w:highlight w:val="none"/>
          <w:lang w:eastAsia="zh-CN"/>
        </w:rPr>
      </w:pPr>
    </w:p>
    <w:p w14:paraId="67151AE8">
      <w:pPr>
        <w:pStyle w:val="31"/>
        <w:rPr>
          <w:rFonts w:hint="eastAsia" w:ascii="宋体" w:hAnsi="宋体" w:cs="宋体"/>
          <w:color w:val="auto"/>
          <w:szCs w:val="21"/>
          <w:highlight w:val="none"/>
          <w:lang w:eastAsia="zh-CN"/>
        </w:rPr>
      </w:pPr>
    </w:p>
    <w:p w14:paraId="28853D55">
      <w:pPr>
        <w:pStyle w:val="31"/>
        <w:rPr>
          <w:rFonts w:hint="eastAsia" w:ascii="宋体" w:hAnsi="宋体" w:cs="宋体"/>
          <w:color w:val="auto"/>
          <w:szCs w:val="21"/>
          <w:highlight w:val="none"/>
          <w:lang w:eastAsia="zh-CN"/>
        </w:rPr>
      </w:pPr>
    </w:p>
    <w:p w14:paraId="541AEB24">
      <w:pPr>
        <w:pStyle w:val="31"/>
        <w:rPr>
          <w:rFonts w:hint="eastAsia" w:ascii="宋体" w:hAnsi="宋体" w:cs="宋体"/>
          <w:color w:val="auto"/>
          <w:szCs w:val="21"/>
          <w:highlight w:val="none"/>
          <w:lang w:eastAsia="zh-CN"/>
        </w:rPr>
      </w:pPr>
    </w:p>
    <w:p w14:paraId="698AF0A7">
      <w:pPr>
        <w:pStyle w:val="31"/>
        <w:rPr>
          <w:rFonts w:hint="eastAsia" w:ascii="宋体" w:hAnsi="宋体" w:cs="宋体"/>
          <w:color w:val="auto"/>
          <w:szCs w:val="21"/>
          <w:highlight w:val="none"/>
          <w:lang w:eastAsia="zh-CN"/>
        </w:rPr>
      </w:pPr>
    </w:p>
    <w:p w14:paraId="0B7BBC38">
      <w:pPr>
        <w:pStyle w:val="31"/>
        <w:rPr>
          <w:rFonts w:hint="eastAsia" w:ascii="宋体" w:hAnsi="宋体" w:cs="宋体"/>
          <w:color w:val="auto"/>
          <w:szCs w:val="21"/>
          <w:highlight w:val="none"/>
          <w:lang w:eastAsia="zh-CN"/>
        </w:rPr>
      </w:pPr>
    </w:p>
    <w:p w14:paraId="63C9EA2D">
      <w:pPr>
        <w:pStyle w:val="31"/>
        <w:rPr>
          <w:rFonts w:hint="eastAsia" w:ascii="宋体" w:hAnsi="宋体" w:cs="宋体"/>
          <w:color w:val="auto"/>
          <w:szCs w:val="21"/>
          <w:highlight w:val="none"/>
          <w:lang w:eastAsia="zh-CN"/>
        </w:rPr>
      </w:pPr>
    </w:p>
    <w:p w14:paraId="77241BEC">
      <w:pPr>
        <w:pStyle w:val="31"/>
        <w:rPr>
          <w:rFonts w:hint="eastAsia" w:ascii="宋体" w:hAnsi="宋体" w:cs="宋体"/>
          <w:color w:val="auto"/>
          <w:szCs w:val="21"/>
          <w:highlight w:val="none"/>
          <w:lang w:eastAsia="zh-CN"/>
        </w:rPr>
      </w:pPr>
    </w:p>
    <w:p w14:paraId="7C1D12D0">
      <w:pPr>
        <w:pStyle w:val="31"/>
        <w:rPr>
          <w:rFonts w:hint="eastAsia" w:ascii="宋体" w:hAnsi="宋体" w:cs="宋体"/>
          <w:color w:val="auto"/>
          <w:szCs w:val="21"/>
          <w:highlight w:val="none"/>
          <w:lang w:eastAsia="zh-CN"/>
        </w:rPr>
      </w:pPr>
    </w:p>
    <w:p w14:paraId="02AD0270">
      <w:pPr>
        <w:pStyle w:val="31"/>
        <w:rPr>
          <w:rFonts w:hint="eastAsia" w:ascii="宋体" w:hAnsi="宋体" w:cs="宋体"/>
          <w:color w:val="auto"/>
          <w:szCs w:val="21"/>
          <w:highlight w:val="none"/>
          <w:lang w:eastAsia="zh-CN"/>
        </w:rPr>
      </w:pPr>
    </w:p>
    <w:p w14:paraId="641CE190">
      <w:pPr>
        <w:pStyle w:val="31"/>
        <w:rPr>
          <w:rFonts w:hint="eastAsia" w:ascii="宋体" w:hAnsi="宋体" w:cs="宋体"/>
          <w:color w:val="auto"/>
          <w:szCs w:val="21"/>
          <w:highlight w:val="none"/>
          <w:lang w:eastAsia="zh-CN"/>
        </w:rPr>
      </w:pPr>
    </w:p>
    <w:p w14:paraId="793EE279">
      <w:pPr>
        <w:pStyle w:val="31"/>
        <w:rPr>
          <w:rFonts w:hint="eastAsia" w:ascii="宋体" w:hAnsi="宋体" w:cs="宋体"/>
          <w:color w:val="auto"/>
          <w:szCs w:val="21"/>
          <w:highlight w:val="none"/>
          <w:lang w:eastAsia="zh-CN"/>
        </w:rPr>
      </w:pPr>
    </w:p>
    <w:p w14:paraId="2CB0205F">
      <w:pPr>
        <w:pStyle w:val="31"/>
        <w:rPr>
          <w:rFonts w:hint="eastAsia" w:ascii="宋体" w:hAnsi="宋体" w:cs="宋体"/>
          <w:color w:val="auto"/>
          <w:szCs w:val="21"/>
          <w:highlight w:val="none"/>
          <w:lang w:eastAsia="zh-CN"/>
        </w:rPr>
      </w:pPr>
    </w:p>
    <w:p w14:paraId="37075E0B">
      <w:pPr>
        <w:pStyle w:val="31"/>
        <w:rPr>
          <w:rFonts w:hint="eastAsia" w:ascii="宋体" w:hAnsi="宋体" w:cs="宋体"/>
          <w:color w:val="auto"/>
          <w:szCs w:val="21"/>
          <w:highlight w:val="none"/>
          <w:lang w:eastAsia="zh-CN"/>
        </w:rPr>
      </w:pPr>
    </w:p>
    <w:p w14:paraId="0F2522EE">
      <w:pPr>
        <w:pStyle w:val="31"/>
        <w:rPr>
          <w:rFonts w:hint="eastAsia" w:ascii="宋体" w:hAnsi="宋体" w:cs="宋体"/>
          <w:color w:val="auto"/>
          <w:szCs w:val="21"/>
          <w:highlight w:val="none"/>
          <w:lang w:eastAsia="zh-CN"/>
        </w:rPr>
      </w:pPr>
    </w:p>
    <w:p w14:paraId="144AA88B">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color w:val="auto"/>
          <w:sz w:val="32"/>
          <w:szCs w:val="32"/>
          <w:highlight w:val="none"/>
          <w:lang w:val="en-US" w:eastAsia="zh-CN"/>
        </w:rPr>
      </w:pPr>
    </w:p>
    <w:p w14:paraId="52A48CE7">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color w:val="auto"/>
          <w:sz w:val="32"/>
          <w:szCs w:val="32"/>
          <w:highlight w:val="none"/>
          <w:lang w:val="en-US" w:eastAsia="zh-CN"/>
        </w:rPr>
      </w:pPr>
    </w:p>
    <w:p w14:paraId="0A30102D">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color w:val="auto"/>
          <w:sz w:val="32"/>
          <w:szCs w:val="32"/>
          <w:highlight w:val="none"/>
          <w:lang w:val="en-US" w:eastAsia="zh-CN"/>
        </w:rPr>
      </w:pPr>
    </w:p>
    <w:p w14:paraId="72A0FDDB">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color w:val="auto"/>
          <w:sz w:val="32"/>
          <w:szCs w:val="32"/>
          <w:highlight w:val="none"/>
          <w:lang w:val="en-US" w:eastAsia="zh-CN"/>
        </w:rPr>
      </w:pPr>
    </w:p>
    <w:p w14:paraId="65521803">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color w:val="auto"/>
          <w:sz w:val="32"/>
          <w:szCs w:val="32"/>
          <w:highlight w:val="none"/>
          <w:lang w:val="en-US" w:eastAsia="zh-CN"/>
        </w:rPr>
      </w:pPr>
    </w:p>
    <w:p w14:paraId="795A735A">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color w:val="auto"/>
          <w:sz w:val="32"/>
          <w:szCs w:val="32"/>
          <w:highlight w:val="none"/>
          <w:lang w:val="en-US" w:eastAsia="zh-CN"/>
        </w:rPr>
      </w:pPr>
    </w:p>
    <w:p w14:paraId="1DDF88E4">
      <w:pPr>
        <w:pStyle w:val="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color w:val="auto"/>
          <w:sz w:val="32"/>
          <w:szCs w:val="32"/>
          <w:highlight w:val="none"/>
          <w:lang w:val="en-US" w:eastAsia="zh-CN"/>
        </w:rPr>
      </w:pPr>
    </w:p>
    <w:p w14:paraId="45067B2F">
      <w:pPr>
        <w:pStyle w:val="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3、供应商廉洁守约承诺书</w:t>
      </w:r>
    </w:p>
    <w:p w14:paraId="245EA61B">
      <w:pPr>
        <w:pStyle w:val="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color w:val="auto"/>
          <w:sz w:val="24"/>
          <w:szCs w:val="24"/>
          <w:highlight w:val="none"/>
          <w:lang w:val="en-US" w:eastAsia="zh-CN"/>
        </w:rPr>
        <w:t>。若未单独提供，可能影响对响应文件的评价，但不作为一票否决的条款。（注：本承诺书内容不得擅自删改）</w:t>
      </w:r>
    </w:p>
    <w:p w14:paraId="22244701">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auto"/>
          <w:position w:val="-60"/>
          <w:sz w:val="56"/>
          <w:szCs w:val="56"/>
          <w:highlight w:val="none"/>
        </w:rPr>
      </w:pPr>
      <w:r>
        <w:rPr>
          <w:rFonts w:hint="eastAsia" w:ascii="仿宋_GB2312" w:hAnsi="Calibri Light" w:eastAsia="仿宋_GB2312" w:cs="仿宋_GB2312"/>
          <w:b/>
          <w:bCs/>
          <w:color w:val="auto"/>
          <w:position w:val="-60"/>
          <w:sz w:val="52"/>
          <w:szCs w:val="52"/>
          <w:highlight w:val="none"/>
        </w:rPr>
        <w:t>中山大学孙逸仙纪念医院</w:t>
      </w:r>
    </w:p>
    <w:p w14:paraId="7BF6A5F3">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廉洁守约承诺书</w:t>
      </w:r>
    </w:p>
    <w:p w14:paraId="19795778">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项目名称：中山大学孙逸仙纪念医院南海精准免疫转化创新中心空调系统维修保养服务采购项目</w:t>
      </w:r>
    </w:p>
    <w:p w14:paraId="3C5984D5">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90F008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等财物，公司及工作人员安排、组织或者支付费用的宴请或者旅游、健身、娱乐等活动安排，下同）、回扣、提成、</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及以其它不正当利益等手段进行促销；不以任何名义、形式给予医院工作人员及其特殊关系人“红包”、回扣、提成、</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 xml:space="preserve">以及其他不正当利益，或邀请医院工作人员及其特殊关系人参加涉及商业利益的活动等。 </w:t>
      </w:r>
    </w:p>
    <w:p w14:paraId="303D8B7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前款所称“特殊关系人”，是指医院工作人员的近亲属、特殊利害关系人等 。</w:t>
      </w:r>
    </w:p>
    <w:p w14:paraId="39EAF04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二、我司及销售人员不在医院诊疗时间、诊疗区域进入各医疗科室进行</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推介活动，不干扰医务人员的医疗活动；未经医院批准，不在院内召开任何形式的</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宣传、推广活动；不在院内张贴、派发涉及</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的宣传资料和赠品。</w:t>
      </w:r>
    </w:p>
    <w:p w14:paraId="5C61377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三、我司承诺需要在医院进行</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宣传、推广工作时，一定向医院相关职能部门提出书面申请。经审批后，由医院有组织、有计划地予以安排。</w:t>
      </w:r>
    </w:p>
    <w:p w14:paraId="5F9A11B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四、我司承诺遵守国家有关招标采购法律法规规章，在参加医院招标采购活动时，保证诚信投标、不串标、不陪标，严格按照有关规定及合同执行。</w:t>
      </w:r>
    </w:p>
    <w:p w14:paraId="17F893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五、我司承诺</w:t>
      </w:r>
    </w:p>
    <w:p w14:paraId="7426EC7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。（药品、医疗设备、医用耗材及其他货物的生产和经营企业勾选此项）</w:t>
      </w:r>
    </w:p>
    <w:p w14:paraId="66BB8EF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9741C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或其他响应文件签订书面合同。</w:t>
      </w:r>
    </w:p>
    <w:p w14:paraId="5BA1151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C3082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双方订立买卖合同、技术服务合同、建筑工程施工合同等合同以后，本承诺书同时作为双方合同的构成部分。</w:t>
      </w:r>
    </w:p>
    <w:p w14:paraId="05AB6C3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本承诺书一式两份，一份由医院相关职能部门保存，一份由经营单位保存。</w:t>
      </w:r>
    </w:p>
    <w:p w14:paraId="68C05A24">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BECCACA">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p>
    <w:p w14:paraId="68845708">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（盖章）</w:t>
      </w:r>
    </w:p>
    <w:p w14:paraId="6BDD961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FF0000"/>
          <w:sz w:val="24"/>
          <w:szCs w:val="24"/>
          <w:highlight w:val="none"/>
        </w:rPr>
        <w:t>单位负责人</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法定代表人</w:t>
      </w:r>
      <w:r>
        <w:rPr>
          <w:rFonts w:hint="eastAsia" w:ascii="仿宋" w:hAnsi="仿宋" w:eastAsia="仿宋" w:cs="仿宋"/>
          <w:color w:val="FF0000"/>
          <w:sz w:val="24"/>
          <w:szCs w:val="24"/>
          <w:highlight w:val="none"/>
          <w:lang w:eastAsia="zh-CN"/>
        </w:rPr>
        <w:t>）</w:t>
      </w:r>
      <w:r>
        <w:rPr>
          <w:rFonts w:hint="eastAsia" w:ascii="仿宋" w:hAnsi="仿宋" w:eastAsia="仿宋" w:cs="仿宋"/>
          <w:color w:val="auto"/>
          <w:sz w:val="24"/>
          <w:szCs w:val="24"/>
          <w:highlight w:val="none"/>
        </w:rPr>
        <w:t>：</w:t>
      </w:r>
    </w:p>
    <w:p w14:paraId="08A4DC4D">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（签名）</w:t>
      </w:r>
    </w:p>
    <w:p w14:paraId="275D7647">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color w:val="auto"/>
          <w:sz w:val="20"/>
          <w:szCs w:val="22"/>
          <w:highlight w:val="none"/>
        </w:rPr>
      </w:pPr>
      <w:r>
        <w:rPr>
          <w:rFonts w:hint="eastAsia" w:ascii="仿宋" w:hAnsi="仿宋" w:eastAsia="仿宋" w:cs="仿宋"/>
          <w:color w:val="auto"/>
          <w:sz w:val="24"/>
          <w:szCs w:val="24"/>
          <w:highlight w:val="none"/>
        </w:rPr>
        <w:t xml:space="preserve">              日期：           年    月    日</w:t>
      </w:r>
    </w:p>
    <w:p w14:paraId="54ADA8B1">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color w:val="auto"/>
          <w:sz w:val="32"/>
          <w:szCs w:val="32"/>
          <w:highlight w:val="none"/>
          <w:lang w:val="en-US" w:eastAsia="zh-CN"/>
        </w:rPr>
      </w:pPr>
    </w:p>
    <w:p w14:paraId="539AF0C2">
      <w:pPr>
        <w:pStyle w:val="32"/>
        <w:rPr>
          <w:color w:val="auto"/>
          <w:highlight w:val="none"/>
        </w:rPr>
      </w:pPr>
    </w:p>
    <w:p w14:paraId="346F90E1">
      <w:pPr>
        <w:pStyle w:val="32"/>
        <w:rPr>
          <w:color w:val="auto"/>
          <w:highlight w:val="none"/>
        </w:rPr>
      </w:pPr>
    </w:p>
    <w:p w14:paraId="65C63B87">
      <w:pPr>
        <w:pStyle w:val="32"/>
        <w:rPr>
          <w:color w:val="auto"/>
          <w:highlight w:val="none"/>
        </w:rPr>
      </w:pPr>
    </w:p>
    <w:p w14:paraId="764E816F">
      <w:pPr>
        <w:pStyle w:val="32"/>
        <w:rPr>
          <w:color w:val="auto"/>
          <w:highlight w:val="none"/>
        </w:rPr>
      </w:pPr>
    </w:p>
    <w:p w14:paraId="098FDBB1">
      <w:pPr>
        <w:pStyle w:val="32"/>
        <w:rPr>
          <w:color w:val="auto"/>
          <w:highlight w:val="none"/>
        </w:rPr>
      </w:pPr>
    </w:p>
    <w:p w14:paraId="4FEEF928">
      <w:pPr>
        <w:pStyle w:val="32"/>
        <w:rPr>
          <w:color w:val="auto"/>
          <w:highlight w:val="none"/>
        </w:rPr>
      </w:pPr>
    </w:p>
    <w:p w14:paraId="5A687840">
      <w:pPr>
        <w:pStyle w:val="32"/>
        <w:rPr>
          <w:color w:val="auto"/>
          <w:highlight w:val="none"/>
        </w:rPr>
      </w:pPr>
    </w:p>
    <w:p w14:paraId="789B4C6C">
      <w:pPr>
        <w:pStyle w:val="32"/>
        <w:rPr>
          <w:color w:val="auto"/>
          <w:highlight w:val="none"/>
        </w:rPr>
      </w:pPr>
    </w:p>
    <w:p w14:paraId="37BC8819">
      <w:pPr>
        <w:pStyle w:val="32"/>
        <w:rPr>
          <w:color w:val="auto"/>
          <w:highlight w:val="none"/>
        </w:rPr>
      </w:pPr>
    </w:p>
    <w:p w14:paraId="382C727E">
      <w:pPr>
        <w:pStyle w:val="32"/>
        <w:rPr>
          <w:color w:val="auto"/>
          <w:highlight w:val="none"/>
        </w:rPr>
      </w:pPr>
    </w:p>
    <w:p w14:paraId="1BC38A5F">
      <w:pPr>
        <w:pStyle w:val="32"/>
        <w:rPr>
          <w:color w:val="auto"/>
          <w:highlight w:val="none"/>
        </w:rPr>
      </w:pPr>
    </w:p>
    <w:p w14:paraId="223E1707">
      <w:pPr>
        <w:pStyle w:val="32"/>
        <w:rPr>
          <w:color w:val="auto"/>
          <w:highlight w:val="none"/>
        </w:rPr>
      </w:pPr>
    </w:p>
    <w:p w14:paraId="38B48B0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2"/>
          <w:szCs w:val="32"/>
          <w:highlight w:val="none"/>
          <w:lang w:eastAsia="zh-CN"/>
        </w:rPr>
      </w:pPr>
      <w:r>
        <w:rPr>
          <w:rFonts w:hint="eastAsia" w:ascii="黑体" w:hAnsi="黑体" w:eastAsia="黑体" w:cs="黑体"/>
          <w:b/>
          <w:bCs/>
          <w:color w:val="auto"/>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color w:val="auto"/>
                <w:szCs w:val="21"/>
                <w:highlight w:val="none"/>
                <w:lang w:eastAsia="zh-CN"/>
              </w:rPr>
              <w:t>比选文件</w:t>
            </w:r>
            <w:r>
              <w:rPr>
                <w:rFonts w:hint="eastAsia" w:ascii="仿宋" w:hAnsi="仿宋" w:eastAsia="仿宋" w:cs="仿宋"/>
                <w:bCs/>
                <w:color w:val="auto"/>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color w:val="auto"/>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center"/>
          </w:tcPr>
          <w:p w14:paraId="2BE250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响应报价：</w:t>
            </w:r>
          </w:p>
          <w:p w14:paraId="5D3B8D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①响应报价未超过本项目最高限价。</w:t>
            </w:r>
          </w:p>
          <w:p w14:paraId="50F91C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②对本项目的全部内容进行响应报价。</w:t>
            </w:r>
          </w:p>
          <w:p w14:paraId="38D7B4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color w:val="auto"/>
                <w:sz w:val="20"/>
                <w:szCs w:val="20"/>
                <w:highlight w:val="none"/>
                <w:lang w:val="en-US" w:eastAsia="zh-CN"/>
              </w:rPr>
              <w:t>服务</w:t>
            </w:r>
            <w:r>
              <w:rPr>
                <w:rFonts w:hint="eastAsia" w:ascii="仿宋" w:hAnsi="仿宋" w:eastAsia="仿宋" w:cs="仿宋"/>
                <w:color w:val="auto"/>
                <w:sz w:val="20"/>
                <w:szCs w:val="20"/>
                <w:highlight w:val="none"/>
              </w:rPr>
              <w:t>质量的书面说明等相关证明材料的。</w:t>
            </w:r>
          </w:p>
          <w:p w14:paraId="36F367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④响应报价是唯一确定的。</w:t>
            </w:r>
          </w:p>
          <w:p w14:paraId="6EE11A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响应有效期</w:t>
            </w:r>
          </w:p>
        </w:tc>
        <w:tc>
          <w:tcPr>
            <w:tcW w:w="4418" w:type="dxa"/>
            <w:vAlign w:val="center"/>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提供《响应</w:t>
            </w:r>
            <w:r>
              <w:rPr>
                <w:rFonts w:hint="eastAsia" w:ascii="仿宋" w:hAnsi="仿宋" w:eastAsia="仿宋" w:cs="仿宋"/>
                <w:color w:val="auto"/>
                <w:sz w:val="20"/>
                <w:szCs w:val="20"/>
                <w:highlight w:val="none"/>
                <w:lang w:val="en-US" w:eastAsia="zh-CN"/>
              </w:rPr>
              <w:t>承诺</w:t>
            </w:r>
            <w:r>
              <w:rPr>
                <w:rFonts w:hint="eastAsia" w:ascii="仿宋" w:hAnsi="仿宋" w:eastAsia="仿宋" w:cs="仿宋"/>
                <w:color w:val="auto"/>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法定代表人证明书及授权委托书</w:t>
            </w:r>
          </w:p>
        </w:tc>
        <w:tc>
          <w:tcPr>
            <w:tcW w:w="4418" w:type="dxa"/>
            <w:vAlign w:val="center"/>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auto"/>
                <w:sz w:val="20"/>
                <w:szCs w:val="20"/>
                <w:highlight w:val="none"/>
                <w:lang w:eastAsia="zh-CN"/>
              </w:rPr>
            </w:pPr>
            <w:r>
              <w:rPr>
                <w:rFonts w:hint="eastAsia" w:ascii="仿宋" w:hAnsi="仿宋" w:eastAsia="仿宋" w:cs="仿宋"/>
                <w:color w:val="auto"/>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color w:val="auto"/>
                <w:highlight w:val="none"/>
              </w:rPr>
            </w:pPr>
            <w:r>
              <w:rPr>
                <w:rFonts w:hint="eastAsia" w:ascii="仿宋" w:hAnsi="仿宋" w:eastAsia="仿宋" w:cs="仿宋"/>
                <w:color w:val="auto"/>
                <w:highlight w:val="none"/>
              </w:rPr>
              <w:t>□通过</w:t>
            </w:r>
          </w:p>
          <w:p w14:paraId="2E83B99E">
            <w:pPr>
              <w:pStyle w:val="31"/>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响应文件签署、盖章</w:t>
            </w:r>
          </w:p>
        </w:tc>
        <w:tc>
          <w:tcPr>
            <w:tcW w:w="4418" w:type="dxa"/>
            <w:vAlign w:val="center"/>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kern w:val="28"/>
                <w:sz w:val="20"/>
                <w:szCs w:val="20"/>
                <w:highlight w:val="none"/>
                <w:lang w:eastAsia="zh-CN"/>
              </w:rPr>
            </w:pPr>
            <w:r>
              <w:rPr>
                <w:rFonts w:hint="eastAsia" w:ascii="仿宋" w:hAnsi="仿宋" w:eastAsia="仿宋" w:cs="仿宋"/>
                <w:color w:val="auto"/>
                <w:sz w:val="20"/>
                <w:szCs w:val="20"/>
                <w:highlight w:val="none"/>
              </w:rPr>
              <w:t>响应文件按照</w:t>
            </w:r>
            <w:r>
              <w:rPr>
                <w:rFonts w:hint="eastAsia" w:ascii="仿宋" w:hAnsi="仿宋" w:eastAsia="仿宋" w:cs="仿宋"/>
                <w:color w:val="auto"/>
                <w:sz w:val="20"/>
                <w:szCs w:val="20"/>
                <w:highlight w:val="none"/>
                <w:lang w:eastAsia="zh-CN"/>
              </w:rPr>
              <w:t>比选文件</w:t>
            </w:r>
            <w:r>
              <w:rPr>
                <w:rFonts w:hint="eastAsia" w:ascii="仿宋" w:hAnsi="仿宋" w:eastAsia="仿宋" w:cs="仿宋"/>
                <w:color w:val="auto"/>
                <w:sz w:val="20"/>
                <w:szCs w:val="20"/>
                <w:highlight w:val="none"/>
              </w:rPr>
              <w:t>规定要求签署、盖章</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包括封面、骑缝以及含有“签字”“盖章”字眼的每一处</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本公开</w:t>
            </w:r>
            <w:r>
              <w:rPr>
                <w:rFonts w:hint="eastAsia" w:ascii="仿宋" w:hAnsi="仿宋" w:eastAsia="仿宋" w:cs="仿宋"/>
                <w:color w:val="auto"/>
                <w:szCs w:val="21"/>
                <w:highlight w:val="none"/>
                <w:lang w:eastAsia="zh-CN"/>
              </w:rPr>
              <w:t>比选文件</w:t>
            </w:r>
            <w:r>
              <w:rPr>
                <w:rFonts w:hint="eastAsia" w:ascii="仿宋" w:hAnsi="仿宋" w:eastAsia="仿宋" w:cs="仿宋"/>
                <w:color w:val="auto"/>
                <w:szCs w:val="21"/>
                <w:highlight w:val="none"/>
              </w:rPr>
              <w:t>中的“★”号条款要求</w:t>
            </w:r>
          </w:p>
        </w:tc>
        <w:tc>
          <w:tcPr>
            <w:tcW w:w="4418" w:type="dxa"/>
            <w:vAlign w:val="center"/>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auto"/>
                <w:sz w:val="20"/>
                <w:szCs w:val="20"/>
                <w:highlight w:val="none"/>
              </w:rPr>
              <w:t>本公开</w:t>
            </w:r>
            <w:r>
              <w:rPr>
                <w:rFonts w:hint="eastAsia" w:ascii="仿宋" w:hAnsi="仿宋" w:eastAsia="仿宋" w:cs="仿宋"/>
                <w:color w:val="auto"/>
                <w:sz w:val="20"/>
                <w:szCs w:val="20"/>
                <w:highlight w:val="none"/>
                <w:lang w:eastAsia="zh-CN"/>
              </w:rPr>
              <w:t>比选文件</w:t>
            </w:r>
            <w:r>
              <w:rPr>
                <w:rFonts w:hint="eastAsia" w:ascii="仿宋" w:hAnsi="仿宋" w:eastAsia="仿宋" w:cs="仿宋"/>
                <w:color w:val="auto"/>
                <w:sz w:val="20"/>
                <w:szCs w:val="20"/>
                <w:highlight w:val="none"/>
              </w:rPr>
              <w:t>中的“★”号条款要求：响应方案</w:t>
            </w:r>
            <w:r>
              <w:rPr>
                <w:rFonts w:hint="eastAsia" w:ascii="仿宋" w:hAnsi="仿宋" w:eastAsia="仿宋" w:cs="仿宋"/>
                <w:color w:val="auto"/>
                <w:sz w:val="20"/>
                <w:szCs w:val="20"/>
                <w:highlight w:val="none"/>
                <w:lang w:val="en-US" w:eastAsia="zh-CN"/>
              </w:rPr>
              <w:t>一一</w:t>
            </w:r>
            <w:r>
              <w:rPr>
                <w:rFonts w:hint="eastAsia" w:ascii="仿宋" w:hAnsi="仿宋" w:eastAsia="仿宋" w:cs="仿宋"/>
                <w:color w:val="auto"/>
                <w:sz w:val="20"/>
                <w:szCs w:val="20"/>
                <w:highlight w:val="none"/>
              </w:rPr>
              <w:t>满足</w:t>
            </w:r>
            <w:r>
              <w:rPr>
                <w:rFonts w:hint="eastAsia" w:ascii="仿宋" w:hAnsi="仿宋" w:eastAsia="仿宋" w:cs="仿宋"/>
                <w:color w:val="auto"/>
                <w:sz w:val="20"/>
                <w:szCs w:val="20"/>
                <w:highlight w:val="none"/>
                <w:lang w:eastAsia="zh-CN"/>
              </w:rPr>
              <w:t>比选文件</w:t>
            </w:r>
            <w:r>
              <w:rPr>
                <w:rFonts w:hint="eastAsia" w:ascii="仿宋" w:hAnsi="仿宋" w:eastAsia="仿宋" w:cs="仿宋"/>
                <w:color w:val="auto"/>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w:t>
            </w:r>
          </w:p>
        </w:tc>
        <w:tc>
          <w:tcPr>
            <w:tcW w:w="4418" w:type="dxa"/>
            <w:vAlign w:val="center"/>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rPr>
              <w:t>文件未含有采购人不能接受的附加条件</w:t>
            </w:r>
            <w:r>
              <w:rPr>
                <w:rFonts w:hint="eastAsia" w:ascii="仿宋" w:hAnsi="仿宋" w:eastAsia="仿宋" w:cs="仿宋"/>
                <w:color w:val="auto"/>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“3、响应承诺函”</w:t>
            </w:r>
          </w:p>
        </w:tc>
      </w:tr>
    </w:tbl>
    <w:p w14:paraId="31E7B7D5">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color w:val="auto"/>
          <w:sz w:val="21"/>
          <w:szCs w:val="21"/>
          <w:highlight w:val="none"/>
        </w:rPr>
      </w:pPr>
    </w:p>
    <w:p w14:paraId="7856DFE7">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5D69624D">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2、响应人须在“自查结论”栏勾选通过或不通过，在“证明资料”栏填写页码。</w:t>
      </w:r>
    </w:p>
    <w:p w14:paraId="61243A80">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3、本自查表不得擅自删改。</w:t>
      </w:r>
    </w:p>
    <w:p w14:paraId="609F6145">
      <w:pPr>
        <w:pStyle w:val="11"/>
        <w:shd w:val="clear" w:color="auto" w:fill="FFFFFF"/>
        <w:rPr>
          <w:rFonts w:hint="eastAsia" w:ascii="仿宋" w:hAnsi="仿宋" w:eastAsia="仿宋" w:cs="仿宋"/>
          <w:color w:val="auto"/>
          <w:sz w:val="21"/>
          <w:szCs w:val="21"/>
          <w:highlight w:val="none"/>
        </w:rPr>
      </w:pPr>
    </w:p>
    <w:p w14:paraId="6A4F993F">
      <w:pPr>
        <w:pStyle w:val="11"/>
        <w:shd w:val="clear" w:color="auto" w:fill="FFFFFF"/>
        <w:rPr>
          <w:rFonts w:hint="eastAsia" w:ascii="仿宋" w:hAnsi="仿宋" w:eastAsia="仿宋" w:cs="仿宋"/>
          <w:color w:val="auto"/>
          <w:sz w:val="21"/>
          <w:szCs w:val="21"/>
          <w:highlight w:val="none"/>
        </w:rPr>
      </w:pPr>
    </w:p>
    <w:p w14:paraId="5EFC8B8B">
      <w:pPr>
        <w:pStyle w:val="11"/>
        <w:shd w:val="clear" w:color="auto" w:fill="FFFFFF"/>
        <w:rPr>
          <w:rFonts w:hint="eastAsia" w:ascii="仿宋" w:hAnsi="仿宋" w:eastAsia="仿宋" w:cs="仿宋"/>
          <w:color w:val="auto"/>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color w:val="auto"/>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sz w:val="44"/>
          <w:szCs w:val="44"/>
          <w:highlight w:val="none"/>
          <w:lang w:val="en-US"/>
        </w:rPr>
      </w:pP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二</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符合性审查证明资料</w:t>
      </w:r>
    </w:p>
    <w:p w14:paraId="167D5AB8">
      <w:pPr>
        <w:pStyle w:val="12"/>
        <w:tabs>
          <w:tab w:val="left" w:pos="900"/>
        </w:tabs>
        <w:spacing w:line="400" w:lineRule="exact"/>
        <w:ind w:firstLine="0"/>
        <w:jc w:val="center"/>
        <w:rPr>
          <w:rFonts w:hint="eastAsia" w:ascii="仿宋" w:hAnsi="仿宋" w:eastAsia="仿宋" w:cs="仿宋"/>
          <w:b/>
          <w:bCs w:val="0"/>
          <w:color w:val="auto"/>
          <w:sz w:val="32"/>
          <w:szCs w:val="32"/>
          <w:highlight w:val="none"/>
          <w:lang w:val="en-US"/>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val="0"/>
          <w:color w:val="auto"/>
          <w:sz w:val="32"/>
          <w:szCs w:val="32"/>
          <w:highlight w:val="none"/>
          <w:lang w:val="en-US"/>
        </w:rPr>
        <w:t>法定代表人</w:t>
      </w:r>
      <w:r>
        <w:rPr>
          <w:rFonts w:hint="eastAsia" w:ascii="仿宋" w:hAnsi="仿宋" w:eastAsia="仿宋" w:cs="仿宋"/>
          <w:b/>
          <w:bCs w:val="0"/>
          <w:color w:val="auto"/>
          <w:sz w:val="32"/>
          <w:szCs w:val="32"/>
          <w:highlight w:val="none"/>
          <w:lang w:val="en-US" w:eastAsia="zh-CN"/>
        </w:rPr>
        <w:t>（负责人）</w:t>
      </w:r>
      <w:r>
        <w:rPr>
          <w:rFonts w:hint="eastAsia" w:ascii="仿宋" w:hAnsi="仿宋" w:eastAsia="仿宋" w:cs="仿宋"/>
          <w:b/>
          <w:bCs w:val="0"/>
          <w:color w:val="auto"/>
          <w:sz w:val="32"/>
          <w:szCs w:val="32"/>
          <w:highlight w:val="none"/>
          <w:lang w:val="en-US"/>
        </w:rPr>
        <w:t>证明书</w:t>
      </w:r>
    </w:p>
    <w:p w14:paraId="41D43BA2">
      <w:pPr>
        <w:pStyle w:val="12"/>
        <w:tabs>
          <w:tab w:val="left" w:pos="900"/>
        </w:tabs>
        <w:spacing w:line="400" w:lineRule="exact"/>
        <w:ind w:firstLine="0"/>
        <w:jc w:val="center"/>
        <w:rPr>
          <w:rFonts w:hint="eastAsia" w:ascii="仿宋" w:hAnsi="仿宋" w:eastAsia="仿宋" w:cs="仿宋"/>
          <w:bCs/>
          <w:color w:val="auto"/>
          <w:sz w:val="22"/>
          <w:szCs w:val="22"/>
          <w:highlight w:val="none"/>
          <w:lang w:val="en-US"/>
        </w:rPr>
      </w:pPr>
    </w:p>
    <w:p w14:paraId="08C9CF07">
      <w:pPr>
        <w:pStyle w:val="12"/>
        <w:tabs>
          <w:tab w:val="left" w:pos="900"/>
        </w:tabs>
        <w:spacing w:line="400" w:lineRule="exact"/>
        <w:ind w:firstLine="0"/>
        <w:rPr>
          <w:rFonts w:hint="eastAsia" w:ascii="仿宋" w:hAnsi="仿宋" w:eastAsia="仿宋" w:cs="仿宋"/>
          <w:bCs/>
          <w:color w:val="auto"/>
          <w:highlight w:val="none"/>
          <w:lang w:val="en-US"/>
        </w:rPr>
      </w:pPr>
    </w:p>
    <w:p w14:paraId="7D30876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中山大学孙逸仙纪念医院</w:t>
      </w:r>
      <w:r>
        <w:rPr>
          <w:rFonts w:hint="eastAsia" w:ascii="仿宋" w:hAnsi="仿宋" w:eastAsia="仿宋" w:cs="仿宋"/>
          <w:bCs/>
          <w:color w:val="auto"/>
          <w:sz w:val="28"/>
          <w:szCs w:val="28"/>
          <w:highlight w:val="none"/>
          <w:lang w:val="en-US"/>
        </w:rPr>
        <w:t>：</w:t>
      </w:r>
    </w:p>
    <w:p w14:paraId="372ECD10">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 xml:space="preserve"> ________现任我单位________职务，为法定代表人，特此证明。</w:t>
      </w:r>
    </w:p>
    <w:p w14:paraId="1E70AA2C">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u w:val="single"/>
          <w:lang w:val="en-US" w:eastAsia="zh-CN"/>
        </w:rPr>
      </w:pPr>
      <w:r>
        <w:rPr>
          <w:rFonts w:hint="eastAsia" w:ascii="仿宋" w:hAnsi="仿宋" w:eastAsia="仿宋" w:cs="仿宋"/>
          <w:bCs/>
          <w:color w:val="auto"/>
          <w:sz w:val="28"/>
          <w:szCs w:val="28"/>
          <w:highlight w:val="none"/>
          <w:lang w:val="en-US"/>
        </w:rPr>
        <w:t>有效期限：</w:t>
      </w:r>
      <w:r>
        <w:rPr>
          <w:rFonts w:hint="eastAsia" w:ascii="仿宋" w:hAnsi="仿宋" w:eastAsia="仿宋" w:cs="仿宋"/>
          <w:bCs/>
          <w:color w:val="auto"/>
          <w:sz w:val="28"/>
          <w:szCs w:val="28"/>
          <w:highlight w:val="none"/>
          <w:u w:val="single"/>
          <w:lang w:val="en-US" w:eastAsia="zh-CN"/>
        </w:rPr>
        <w:t xml:space="preserve">                       </w:t>
      </w:r>
    </w:p>
    <w:p w14:paraId="03441E4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rPr>
        <w:t xml:space="preserve">附：代表人性别：____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年龄：____</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 xml:space="preserve"> 身份证号码：</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 xml:space="preserve">  </w:t>
      </w:r>
    </w:p>
    <w:p w14:paraId="2AFCA04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 xml:space="preserve">注册号码：______________ 企业类型：_______________________ </w:t>
      </w:r>
    </w:p>
    <w:p w14:paraId="5C3E8B3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经营范围：__________</w:t>
      </w:r>
      <w:r>
        <w:rPr>
          <w:rFonts w:hint="eastAsia" w:ascii="仿宋" w:hAnsi="仿宋" w:eastAsia="仿宋" w:cs="仿宋"/>
          <w:bCs/>
          <w:color w:val="auto"/>
          <w:sz w:val="28"/>
          <w:szCs w:val="28"/>
          <w:highlight w:val="none"/>
          <w:u w:val="none"/>
          <w:lang w:val="en-US"/>
        </w:rPr>
        <w:t>_____________</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lang w:val="en-US"/>
        </w:rPr>
        <w:t xml:space="preserve"> </w:t>
      </w:r>
      <w:r>
        <w:rPr>
          <w:rFonts w:hint="eastAsia" w:ascii="仿宋" w:hAnsi="仿宋" w:eastAsia="仿宋" w:cs="仿宋"/>
          <w:bCs/>
          <w:color w:val="auto"/>
          <w:sz w:val="28"/>
          <w:szCs w:val="28"/>
          <w:highlight w:val="none"/>
          <w:u w:val="single"/>
          <w:lang w:val="en-US" w:eastAsia="zh-CN"/>
        </w:rPr>
        <w:t xml:space="preserve">     </w:t>
      </w:r>
    </w:p>
    <w:p w14:paraId="2A97052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eastAsia="zh-CN"/>
        </w:rPr>
      </w:pPr>
    </w:p>
    <w:p w14:paraId="438F5BA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响应供应商</w:t>
      </w:r>
      <w:r>
        <w:rPr>
          <w:rFonts w:hint="eastAsia" w:ascii="仿宋" w:hAnsi="仿宋" w:eastAsia="仿宋" w:cs="仿宋"/>
          <w:bCs/>
          <w:color w:val="auto"/>
          <w:sz w:val="28"/>
          <w:szCs w:val="28"/>
          <w:highlight w:val="none"/>
          <w:lang w:val="en-US"/>
        </w:rPr>
        <w:t>(公章)：</w:t>
      </w:r>
    </w:p>
    <w:p w14:paraId="430C1F9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地址：</w:t>
      </w:r>
    </w:p>
    <w:p w14:paraId="66B4BA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法定代表</w:t>
      </w:r>
      <w:r>
        <w:rPr>
          <w:rFonts w:hint="eastAsia" w:ascii="仿宋" w:hAnsi="仿宋" w:eastAsia="仿宋" w:cs="仿宋"/>
          <w:bCs/>
          <w:color w:val="auto"/>
          <w:sz w:val="28"/>
          <w:szCs w:val="28"/>
          <w:highlight w:val="none"/>
          <w:lang w:val="en-US" w:eastAsia="zh-CN"/>
        </w:rPr>
        <w:t>/负责</w:t>
      </w:r>
      <w:r>
        <w:rPr>
          <w:rFonts w:hint="eastAsia" w:ascii="仿宋" w:hAnsi="仿宋" w:eastAsia="仿宋" w:cs="仿宋"/>
          <w:bCs/>
          <w:color w:val="auto"/>
          <w:sz w:val="28"/>
          <w:szCs w:val="28"/>
          <w:highlight w:val="none"/>
          <w:lang w:val="en-US"/>
        </w:rPr>
        <w:t>人（签名）：</w:t>
      </w:r>
    </w:p>
    <w:p w14:paraId="6DCA1D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30"/>
          <w:szCs w:val="30"/>
          <w:highlight w:val="none"/>
          <w:lang w:val="en-US"/>
        </w:rPr>
      </w:pPr>
      <w:r>
        <w:rPr>
          <w:rFonts w:hint="eastAsia" w:ascii="仿宋" w:hAnsi="仿宋" w:eastAsia="仿宋" w:cs="仿宋"/>
          <w:bCs/>
          <w:color w:val="auto"/>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auto"/>
          <w:sz w:val="30"/>
          <w:szCs w:val="30"/>
          <w:highlight w:val="none"/>
          <w:lang w:val="en-US"/>
        </w:rPr>
      </w:pPr>
    </w:p>
    <w:p w14:paraId="28409694">
      <w:pPr>
        <w:pStyle w:val="31"/>
        <w:ind w:left="0" w:leftChars="0" w:firstLine="0" w:firstLineChars="0"/>
        <w:rPr>
          <w:rFonts w:hint="eastAsia" w:ascii="仿宋" w:hAnsi="仿宋" w:eastAsia="仿宋" w:cs="仿宋"/>
          <w:color w:val="auto"/>
          <w:highlight w:val="none"/>
          <w:lang w:eastAsia="zh-CN"/>
        </w:rPr>
      </w:pPr>
    </w:p>
    <w:p w14:paraId="73EF0FA5">
      <w:pPr>
        <w:pStyle w:val="12"/>
        <w:tabs>
          <w:tab w:val="left" w:pos="900"/>
        </w:tabs>
        <w:spacing w:line="400" w:lineRule="exact"/>
        <w:ind w:firstLine="0"/>
        <w:jc w:val="center"/>
        <w:rPr>
          <w:rFonts w:hint="eastAsia" w:ascii="仿宋" w:hAnsi="仿宋" w:eastAsia="仿宋" w:cs="仿宋"/>
          <w:b/>
          <w:bCs w:val="0"/>
          <w:color w:val="auto"/>
          <w:sz w:val="36"/>
          <w:szCs w:val="36"/>
          <w:highlight w:val="none"/>
          <w:lang w:val="en-US"/>
        </w:rPr>
      </w:pPr>
    </w:p>
    <w:p w14:paraId="54CFB752">
      <w:pPr>
        <w:pStyle w:val="12"/>
        <w:tabs>
          <w:tab w:val="left" w:pos="900"/>
        </w:tabs>
        <w:spacing w:line="400" w:lineRule="exact"/>
        <w:ind w:firstLine="0"/>
        <w:jc w:val="center"/>
        <w:rPr>
          <w:rFonts w:hint="eastAsia" w:ascii="仿宋" w:hAnsi="仿宋" w:eastAsia="仿宋" w:cs="仿宋"/>
          <w:b/>
          <w:bCs w:val="0"/>
          <w:color w:val="auto"/>
          <w:sz w:val="36"/>
          <w:szCs w:val="36"/>
          <w:highlight w:val="none"/>
          <w:lang w:val="en-US"/>
        </w:rPr>
      </w:pPr>
    </w:p>
    <w:p w14:paraId="188E1549">
      <w:pPr>
        <w:pStyle w:val="12"/>
        <w:tabs>
          <w:tab w:val="left" w:pos="900"/>
        </w:tabs>
        <w:spacing w:line="400" w:lineRule="exact"/>
        <w:ind w:firstLine="0"/>
        <w:jc w:val="center"/>
        <w:rPr>
          <w:rFonts w:hint="eastAsia" w:ascii="仿宋" w:hAnsi="仿宋" w:eastAsia="仿宋" w:cs="仿宋"/>
          <w:b/>
          <w:bCs w:val="0"/>
          <w:color w:val="auto"/>
          <w:sz w:val="36"/>
          <w:szCs w:val="36"/>
          <w:highlight w:val="none"/>
          <w:lang w:val="en-US"/>
        </w:rPr>
      </w:pPr>
    </w:p>
    <w:p w14:paraId="3D6059D5">
      <w:pPr>
        <w:pStyle w:val="12"/>
        <w:tabs>
          <w:tab w:val="left" w:pos="900"/>
        </w:tabs>
        <w:spacing w:line="400" w:lineRule="exact"/>
        <w:ind w:firstLine="0"/>
        <w:jc w:val="center"/>
        <w:rPr>
          <w:rFonts w:hint="eastAsia" w:ascii="仿宋" w:hAnsi="仿宋" w:eastAsia="仿宋" w:cs="仿宋"/>
          <w:b/>
          <w:bCs w:val="0"/>
          <w:color w:val="auto"/>
          <w:sz w:val="36"/>
          <w:szCs w:val="36"/>
          <w:highlight w:val="none"/>
          <w:lang w:val="en-US"/>
        </w:rPr>
      </w:pPr>
    </w:p>
    <w:p w14:paraId="7FD1912C">
      <w:pPr>
        <w:pStyle w:val="12"/>
        <w:tabs>
          <w:tab w:val="left" w:pos="900"/>
        </w:tabs>
        <w:spacing w:line="400" w:lineRule="exact"/>
        <w:ind w:firstLine="0"/>
        <w:jc w:val="center"/>
        <w:rPr>
          <w:rFonts w:hint="eastAsia" w:ascii="仿宋" w:hAnsi="仿宋" w:eastAsia="仿宋" w:cs="仿宋"/>
          <w:b/>
          <w:bCs w:val="0"/>
          <w:color w:val="auto"/>
          <w:sz w:val="36"/>
          <w:szCs w:val="36"/>
          <w:highlight w:val="none"/>
          <w:lang w:val="en-US"/>
        </w:rPr>
      </w:pPr>
    </w:p>
    <w:p w14:paraId="43C7356A">
      <w:pPr>
        <w:pStyle w:val="12"/>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76E008BB">
      <w:pPr>
        <w:pStyle w:val="12"/>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rPr>
      </w:pP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lang w:val="en-US"/>
        </w:rPr>
        <w:t>法定代表人（负责人）授权委托书</w:t>
      </w:r>
    </w:p>
    <w:p w14:paraId="0EC23FF9">
      <w:pPr>
        <w:pStyle w:val="12"/>
        <w:numPr>
          <w:ilvl w:val="0"/>
          <w:numId w:val="0"/>
        </w:numPr>
        <w:tabs>
          <w:tab w:val="left" w:pos="900"/>
        </w:tabs>
        <w:spacing w:line="400" w:lineRule="exact"/>
        <w:ind w:leftChars="200"/>
        <w:jc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如适用)</w:t>
      </w:r>
    </w:p>
    <w:p w14:paraId="3EA0CD28">
      <w:pPr>
        <w:pStyle w:val="12"/>
        <w:tabs>
          <w:tab w:val="left" w:pos="900"/>
        </w:tabs>
        <w:spacing w:line="400" w:lineRule="exact"/>
        <w:ind w:firstLine="0"/>
        <w:rPr>
          <w:rFonts w:hint="eastAsia" w:ascii="仿宋" w:hAnsi="仿宋" w:eastAsia="仿宋" w:cs="仿宋"/>
          <w:bCs/>
          <w:color w:val="auto"/>
          <w:sz w:val="24"/>
          <w:szCs w:val="24"/>
          <w:highlight w:val="none"/>
          <w:lang w:val="en-US"/>
        </w:rPr>
      </w:pPr>
    </w:p>
    <w:p w14:paraId="79A0F45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中山大学孙逸仙纪念医院</w:t>
      </w:r>
      <w:r>
        <w:rPr>
          <w:rFonts w:hint="eastAsia" w:ascii="仿宋" w:hAnsi="仿宋" w:eastAsia="仿宋" w:cs="仿宋"/>
          <w:bCs/>
          <w:color w:val="auto"/>
          <w:sz w:val="28"/>
          <w:szCs w:val="28"/>
          <w:highlight w:val="none"/>
          <w:lang w:val="en-US"/>
        </w:rPr>
        <w:t>：</w:t>
      </w:r>
    </w:p>
    <w:p w14:paraId="39A7EFBC">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rPr>
        <w:t>本授权书声明：</w:t>
      </w:r>
      <w:r>
        <w:rPr>
          <w:rFonts w:hint="eastAsia" w:ascii="仿宋" w:hAnsi="仿宋" w:eastAsia="仿宋" w:cs="仿宋"/>
          <w:bCs/>
          <w:color w:val="auto"/>
          <w:sz w:val="28"/>
          <w:szCs w:val="28"/>
          <w:highlight w:val="none"/>
          <w:u w:val="single"/>
          <w:lang w:val="en-US" w:eastAsia="zh-CN"/>
        </w:rPr>
        <w:t>（</w:t>
      </w:r>
      <w:r>
        <w:rPr>
          <w:rFonts w:hint="eastAsia" w:ascii="仿宋" w:hAnsi="仿宋" w:eastAsia="仿宋" w:cs="仿宋"/>
          <w:bCs/>
          <w:color w:val="auto"/>
          <w:sz w:val="28"/>
          <w:szCs w:val="28"/>
          <w:highlight w:val="none"/>
          <w:u w:val="single"/>
          <w:lang w:val="en-US"/>
        </w:rPr>
        <w:t>法定代表人</w:t>
      </w:r>
      <w:r>
        <w:rPr>
          <w:rFonts w:hint="eastAsia" w:ascii="仿宋" w:hAnsi="仿宋" w:eastAsia="仿宋" w:cs="仿宋"/>
          <w:bCs/>
          <w:color w:val="auto"/>
          <w:sz w:val="28"/>
          <w:szCs w:val="28"/>
          <w:highlight w:val="none"/>
          <w:u w:val="single"/>
          <w:lang w:val="en-US" w:eastAsia="zh-CN"/>
        </w:rPr>
        <w:t>姓名）</w:t>
      </w:r>
      <w:r>
        <w:rPr>
          <w:rFonts w:hint="eastAsia" w:ascii="仿宋" w:hAnsi="仿宋" w:eastAsia="仿宋" w:cs="仿宋"/>
          <w:bCs/>
          <w:color w:val="auto"/>
          <w:sz w:val="28"/>
          <w:szCs w:val="28"/>
          <w:highlight w:val="none"/>
          <w:lang w:val="en-US"/>
        </w:rPr>
        <w:t>代表</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lang w:val="en-US"/>
        </w:rPr>
        <w:t>公司</w:t>
      </w:r>
      <w:r>
        <w:rPr>
          <w:rFonts w:hint="eastAsia" w:ascii="仿宋" w:hAnsi="仿宋" w:eastAsia="仿宋" w:cs="仿宋"/>
          <w:bCs/>
          <w:color w:val="auto"/>
          <w:sz w:val="28"/>
          <w:szCs w:val="28"/>
          <w:highlight w:val="none"/>
          <w:u w:val="single"/>
          <w:lang w:val="en-US" w:eastAsia="zh-CN"/>
        </w:rPr>
        <w:t>全称）</w:t>
      </w:r>
      <w:r>
        <w:rPr>
          <w:rFonts w:hint="eastAsia" w:ascii="仿宋" w:hAnsi="仿宋" w:eastAsia="仿宋" w:cs="仿宋"/>
          <w:bCs/>
          <w:color w:val="auto"/>
          <w:sz w:val="28"/>
          <w:szCs w:val="28"/>
          <w:highlight w:val="none"/>
          <w:u w:val="single"/>
          <w:lang w:val="en-US"/>
        </w:rPr>
        <w:t xml:space="preserve"> </w:t>
      </w:r>
      <w:r>
        <w:rPr>
          <w:rFonts w:hint="eastAsia" w:ascii="仿宋" w:hAnsi="仿宋" w:eastAsia="仿宋" w:cs="仿宋"/>
          <w:bCs/>
          <w:color w:val="auto"/>
          <w:sz w:val="28"/>
          <w:szCs w:val="28"/>
          <w:highlight w:val="none"/>
          <w:lang w:val="en-US"/>
        </w:rPr>
        <w:t>授权</w:t>
      </w:r>
      <w:r>
        <w:rPr>
          <w:rFonts w:hint="eastAsia" w:ascii="仿宋" w:hAnsi="仿宋" w:eastAsia="仿宋" w:cs="仿宋"/>
          <w:bCs/>
          <w:color w:val="auto"/>
          <w:sz w:val="28"/>
          <w:szCs w:val="28"/>
          <w:highlight w:val="none"/>
          <w:u w:val="single"/>
          <w:lang w:val="en-US" w:eastAsia="zh-CN"/>
        </w:rPr>
        <w:t>（姓名、</w:t>
      </w:r>
      <w:r>
        <w:rPr>
          <w:rFonts w:hint="eastAsia" w:ascii="仿宋" w:hAnsi="仿宋" w:eastAsia="仿宋" w:cs="仿宋"/>
          <w:bCs/>
          <w:color w:val="auto"/>
          <w:sz w:val="28"/>
          <w:szCs w:val="28"/>
          <w:highlight w:val="none"/>
          <w:u w:val="single"/>
          <w:lang w:val="en-US"/>
        </w:rPr>
        <w:t>职务</w:t>
      </w:r>
      <w:r>
        <w:rPr>
          <w:rFonts w:hint="eastAsia" w:ascii="仿宋" w:hAnsi="仿宋" w:eastAsia="仿宋" w:cs="仿宋"/>
          <w:bCs/>
          <w:color w:val="auto"/>
          <w:sz w:val="28"/>
          <w:szCs w:val="28"/>
          <w:highlight w:val="none"/>
          <w:u w:val="single"/>
          <w:lang w:val="en-US" w:eastAsia="zh-CN"/>
        </w:rPr>
        <w:t>）</w:t>
      </w:r>
      <w:r>
        <w:rPr>
          <w:rFonts w:hint="eastAsia" w:ascii="仿宋" w:hAnsi="仿宋" w:eastAsia="仿宋" w:cs="仿宋"/>
          <w:bCs/>
          <w:color w:val="auto"/>
          <w:sz w:val="28"/>
          <w:szCs w:val="28"/>
          <w:highlight w:val="none"/>
          <w:lang w:val="en-US"/>
        </w:rPr>
        <w:t>为我</w:t>
      </w:r>
      <w:r>
        <w:rPr>
          <w:rFonts w:hint="eastAsia" w:ascii="仿宋" w:hAnsi="仿宋" w:eastAsia="仿宋" w:cs="仿宋"/>
          <w:bCs/>
          <w:color w:val="auto"/>
          <w:sz w:val="28"/>
          <w:szCs w:val="28"/>
          <w:highlight w:val="none"/>
          <w:lang w:val="en-US" w:eastAsia="zh-CN"/>
        </w:rPr>
        <w:t>司</w:t>
      </w:r>
      <w:r>
        <w:rPr>
          <w:rFonts w:hint="eastAsia" w:ascii="仿宋" w:hAnsi="仿宋" w:eastAsia="仿宋" w:cs="仿宋"/>
          <w:bCs/>
          <w:color w:val="auto"/>
          <w:sz w:val="28"/>
          <w:szCs w:val="28"/>
          <w:highlight w:val="none"/>
          <w:lang w:val="en-US"/>
        </w:rPr>
        <w:t>的合法代理人，就</w:t>
      </w:r>
      <w:r>
        <w:rPr>
          <w:rFonts w:hint="eastAsia" w:ascii="仿宋" w:hAnsi="仿宋" w:eastAsia="仿宋" w:cs="仿宋"/>
          <w:bCs/>
          <w:color w:val="auto"/>
          <w:sz w:val="28"/>
          <w:szCs w:val="28"/>
          <w:highlight w:val="none"/>
          <w:u w:val="single"/>
          <w:lang w:val="en-US"/>
        </w:rPr>
        <w:t>中山大学孙逸仙纪念医院***项目</w:t>
      </w:r>
      <w:r>
        <w:rPr>
          <w:rFonts w:hint="eastAsia" w:ascii="仿宋" w:hAnsi="仿宋" w:eastAsia="仿宋" w:cs="仿宋"/>
          <w:bCs/>
          <w:color w:val="auto"/>
          <w:sz w:val="28"/>
          <w:szCs w:val="28"/>
          <w:highlight w:val="none"/>
          <w:u w:val="none"/>
          <w:lang w:val="en-US" w:eastAsia="zh-CN"/>
        </w:rPr>
        <w:t>采购</w:t>
      </w:r>
      <w:r>
        <w:rPr>
          <w:rFonts w:hint="eastAsia" w:ascii="仿宋" w:hAnsi="仿宋" w:eastAsia="仿宋" w:cs="仿宋"/>
          <w:bCs/>
          <w:color w:val="auto"/>
          <w:sz w:val="28"/>
          <w:szCs w:val="28"/>
          <w:highlight w:val="none"/>
          <w:u w:val="none"/>
          <w:lang w:val="en-US"/>
        </w:rPr>
        <w:t>活动</w:t>
      </w:r>
      <w:r>
        <w:rPr>
          <w:rFonts w:hint="eastAsia" w:ascii="仿宋" w:hAnsi="仿宋" w:eastAsia="仿宋" w:cs="仿宋"/>
          <w:bCs/>
          <w:color w:val="auto"/>
          <w:sz w:val="28"/>
          <w:szCs w:val="28"/>
          <w:highlight w:val="none"/>
          <w:lang w:val="en-US"/>
        </w:rPr>
        <w:t>，全权代表</w:t>
      </w:r>
      <w:r>
        <w:rPr>
          <w:rFonts w:hint="eastAsia" w:ascii="仿宋" w:hAnsi="仿宋" w:eastAsia="仿宋" w:cs="仿宋"/>
          <w:bCs/>
          <w:color w:val="auto"/>
          <w:sz w:val="28"/>
          <w:szCs w:val="28"/>
          <w:highlight w:val="none"/>
          <w:lang w:val="en-US" w:eastAsia="zh-CN"/>
        </w:rPr>
        <w:t>我</w:t>
      </w:r>
      <w:r>
        <w:rPr>
          <w:rFonts w:hint="eastAsia" w:ascii="仿宋" w:hAnsi="仿宋" w:eastAsia="仿宋" w:cs="仿宋"/>
          <w:bCs/>
          <w:color w:val="auto"/>
          <w:sz w:val="28"/>
          <w:szCs w:val="28"/>
          <w:highlight w:val="none"/>
          <w:lang w:val="en-US"/>
        </w:rPr>
        <w:t>司参与</w:t>
      </w:r>
      <w:r>
        <w:rPr>
          <w:rFonts w:hint="eastAsia" w:ascii="仿宋" w:hAnsi="仿宋" w:eastAsia="仿宋" w:cs="仿宋"/>
          <w:bCs/>
          <w:color w:val="auto"/>
          <w:sz w:val="28"/>
          <w:szCs w:val="28"/>
          <w:highlight w:val="none"/>
          <w:lang w:val="en-US" w:eastAsia="zh-CN"/>
        </w:rPr>
        <w:t>本项目报名响应和合同执行，以我方的名义处理一切与之有关的事宜。</w:t>
      </w:r>
    </w:p>
    <w:p w14:paraId="65C651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本授权书</w:t>
      </w:r>
      <w:r>
        <w:rPr>
          <w:rFonts w:hint="eastAsia" w:ascii="仿宋" w:hAnsi="仿宋" w:eastAsia="仿宋" w:cs="仿宋"/>
          <w:bCs/>
          <w:color w:val="auto"/>
          <w:sz w:val="28"/>
          <w:szCs w:val="28"/>
          <w:highlight w:val="none"/>
          <w:lang w:val="en-US" w:eastAsia="zh-CN"/>
        </w:rPr>
        <w:t>自</w:t>
      </w:r>
      <w:r>
        <w:rPr>
          <w:rFonts w:hint="eastAsia" w:ascii="仿宋" w:hAnsi="仿宋" w:eastAsia="仿宋" w:cs="仿宋"/>
          <w:bCs/>
          <w:color w:val="auto"/>
          <w:sz w:val="28"/>
          <w:szCs w:val="28"/>
          <w:highlight w:val="none"/>
          <w:lang w:val="en-US"/>
        </w:rPr>
        <w:t>签字</w:t>
      </w:r>
      <w:r>
        <w:rPr>
          <w:rFonts w:hint="eastAsia" w:ascii="仿宋" w:hAnsi="仿宋" w:eastAsia="仿宋" w:cs="仿宋"/>
          <w:bCs/>
          <w:color w:val="auto"/>
          <w:sz w:val="28"/>
          <w:szCs w:val="28"/>
          <w:highlight w:val="none"/>
          <w:lang w:val="en-US" w:eastAsia="zh-CN"/>
        </w:rPr>
        <w:t>之日起</w:t>
      </w:r>
      <w:r>
        <w:rPr>
          <w:rFonts w:hint="eastAsia" w:ascii="仿宋" w:hAnsi="仿宋" w:eastAsia="仿宋" w:cs="仿宋"/>
          <w:bCs/>
          <w:color w:val="auto"/>
          <w:sz w:val="28"/>
          <w:szCs w:val="28"/>
          <w:highlight w:val="none"/>
          <w:lang w:val="en-US"/>
        </w:rPr>
        <w:t>生效，特此声明。</w:t>
      </w:r>
    </w:p>
    <w:p w14:paraId="020E7A2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rPr>
      </w:pPr>
    </w:p>
    <w:p w14:paraId="2F89BDEC">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响应供应商</w:t>
      </w:r>
      <w:r>
        <w:rPr>
          <w:rFonts w:hint="eastAsia" w:ascii="仿宋" w:hAnsi="仿宋" w:eastAsia="仿宋" w:cs="仿宋"/>
          <w:bCs/>
          <w:color w:val="auto"/>
          <w:sz w:val="28"/>
          <w:szCs w:val="28"/>
          <w:highlight w:val="none"/>
          <w:lang w:val="en-US"/>
        </w:rPr>
        <w:t>(公章)：</w:t>
      </w:r>
    </w:p>
    <w:p w14:paraId="15349BD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地址：</w:t>
      </w:r>
    </w:p>
    <w:p w14:paraId="52A6F1C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法定代表</w:t>
      </w:r>
      <w:r>
        <w:rPr>
          <w:rFonts w:hint="eastAsia" w:ascii="仿宋" w:hAnsi="仿宋" w:eastAsia="仿宋" w:cs="仿宋"/>
          <w:bCs/>
          <w:color w:val="auto"/>
          <w:sz w:val="28"/>
          <w:szCs w:val="28"/>
          <w:highlight w:val="none"/>
          <w:lang w:val="en-US" w:eastAsia="zh-CN"/>
        </w:rPr>
        <w:t>/负责</w:t>
      </w:r>
      <w:r>
        <w:rPr>
          <w:rFonts w:hint="eastAsia" w:ascii="仿宋" w:hAnsi="仿宋" w:eastAsia="仿宋" w:cs="仿宋"/>
          <w:bCs/>
          <w:color w:val="auto"/>
          <w:sz w:val="28"/>
          <w:szCs w:val="28"/>
          <w:highlight w:val="none"/>
          <w:lang w:val="en-US"/>
        </w:rPr>
        <w:t>人（签名）：</w:t>
      </w:r>
    </w:p>
    <w:p w14:paraId="11265076">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授权</w:t>
      </w:r>
      <w:r>
        <w:rPr>
          <w:rFonts w:hint="eastAsia" w:ascii="仿宋" w:hAnsi="仿宋" w:eastAsia="仿宋" w:cs="仿宋"/>
          <w:bCs/>
          <w:color w:val="auto"/>
          <w:sz w:val="28"/>
          <w:szCs w:val="28"/>
          <w:highlight w:val="none"/>
          <w:lang w:val="en-US"/>
        </w:rPr>
        <w:t>代理人（签名）：</w:t>
      </w:r>
    </w:p>
    <w:p w14:paraId="5EE0C25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日期：</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年</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月</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日</w:t>
      </w:r>
    </w:p>
    <w:p w14:paraId="085DA2B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auto"/>
          <w:sz w:val="30"/>
          <w:szCs w:val="30"/>
          <w:highlight w:val="none"/>
          <w:lang w:val="en-US"/>
        </w:rPr>
      </w:pPr>
    </w:p>
    <w:p w14:paraId="7780ED8F">
      <w:pPr>
        <w:tabs>
          <w:tab w:val="left" w:pos="4842"/>
        </w:tabs>
        <w:spacing w:line="240" w:lineRule="auto"/>
        <w:ind w:left="631" w:right="0" w:firstLine="0"/>
        <w:rPr>
          <w:color w:val="auto"/>
          <w:sz w:val="20"/>
          <w:highlight w:val="none"/>
        </w:rPr>
      </w:pPr>
      <w:r>
        <w:rPr>
          <w:rFonts w:hint="eastAsia" w:ascii="仿宋" w:hAnsi="仿宋" w:eastAsia="仿宋" w:cs="仿宋"/>
          <w:color w:val="auto"/>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color w:val="auto"/>
          <w:position w:val="0"/>
          <w:sz w:val="20"/>
          <w:highlight w:val="none"/>
        </w:rPr>
        <w:tab/>
      </w:r>
      <w:r>
        <w:rPr>
          <w:rFonts w:hint="eastAsia" w:ascii="仿宋" w:hAnsi="仿宋" w:eastAsia="仿宋" w:cs="仿宋"/>
          <w:color w:val="auto"/>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31"/>
        <w:ind w:left="0" w:leftChars="0" w:firstLine="0" w:firstLineChars="0"/>
        <w:rPr>
          <w:rFonts w:hint="eastAsia" w:ascii="宋体" w:hAnsi="宋体" w:eastAsia="宋体" w:cs="仿宋_GB2312"/>
          <w:bCs/>
          <w:color w:val="auto"/>
          <w:sz w:val="30"/>
          <w:szCs w:val="30"/>
          <w:highlight w:val="none"/>
          <w:lang w:val="en-US"/>
        </w:rPr>
      </w:pPr>
    </w:p>
    <w:p w14:paraId="1F4CFC21">
      <w:pPr>
        <w:pStyle w:val="31"/>
        <w:ind w:left="0" w:leftChars="0" w:firstLine="0" w:firstLineChars="0"/>
        <w:rPr>
          <w:rFonts w:hint="eastAsia" w:ascii="宋体" w:hAnsi="宋体" w:eastAsia="宋体" w:cs="宋体"/>
          <w:b/>
          <w:bCs/>
          <w:color w:val="auto"/>
          <w:sz w:val="28"/>
          <w:szCs w:val="36"/>
          <w:highlight w:val="none"/>
          <w:lang w:eastAsia="zh-CN"/>
        </w:rPr>
      </w:pPr>
    </w:p>
    <w:p w14:paraId="7DD43EC7">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color w:val="auto"/>
          <w:sz w:val="28"/>
          <w:szCs w:val="28"/>
          <w:highlight w:val="none"/>
          <w:lang w:val="en-US" w:eastAsia="zh-CN"/>
        </w:rPr>
      </w:pPr>
    </w:p>
    <w:p w14:paraId="3C3498B1">
      <w:pPr>
        <w:pStyle w:val="31"/>
        <w:ind w:left="0" w:leftChars="0" w:firstLine="0" w:firstLineChars="0"/>
        <w:rPr>
          <w:rFonts w:hint="eastAsia" w:ascii="宋体" w:hAnsi="宋体" w:eastAsia="宋体" w:cs="仿宋_GB2312"/>
          <w:bCs/>
          <w:color w:val="auto"/>
          <w:sz w:val="30"/>
          <w:szCs w:val="30"/>
          <w:highlight w:val="none"/>
          <w:lang w:val="en-US"/>
        </w:rPr>
      </w:pPr>
    </w:p>
    <w:p w14:paraId="66CF7EE5">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2581AF51">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186208CD">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65A3A0B">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7DA5290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39B4EC0B">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三、服务内容及技术要求-需求一：四、★测序需求；</w:t>
      </w:r>
    </w:p>
    <w:p w14:paraId="782CBF93">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三、服务内容及技术要求-需求一：五、★数据质控和分析要求；</w:t>
      </w:r>
    </w:p>
    <w:p w14:paraId="3C10DE87">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三、服务内容及技术要求-需求一：七、其他要求： 1、★配置要求；</w:t>
      </w:r>
    </w:p>
    <w:p w14:paraId="0E0E9DA6">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三、服务内容及技术要求-需求二：四、★测序需求；</w:t>
      </w:r>
    </w:p>
    <w:p w14:paraId="105935FD">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三、服务内容及技术要求-需求二：五、★数据质控验收要求；</w:t>
      </w:r>
    </w:p>
    <w:p w14:paraId="5416088F">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三、服务内容及技术要求-需求二：七、其他要求： 1、★配置要求；</w:t>
      </w:r>
    </w:p>
    <w:p w14:paraId="722B02DE">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三、服务内容及技术要求-需求三：四、★数据验收标准；</w:t>
      </w:r>
    </w:p>
    <w:p w14:paraId="554FB4B6">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三、服务内容及技术要求-需求四：二、技术平台规范： 1、★配置要求；</w:t>
      </w:r>
    </w:p>
    <w:p w14:paraId="1DA4994E">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三、服务内容及技术要求-需求四：四、★数据验收标准；</w:t>
      </w:r>
    </w:p>
    <w:p w14:paraId="328122E4">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三、服务内容及技术要求-备注1、备注2；</w:t>
      </w:r>
    </w:p>
    <w:p w14:paraId="1C4F947B">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八、商务要求-4、★支付方式</w:t>
      </w:r>
    </w:p>
    <w:p w14:paraId="4A436FC6">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九、★保密要求</w:t>
      </w:r>
    </w:p>
    <w:p w14:paraId="69AB4183">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十、★ 双方责任及协作事项</w:t>
      </w:r>
    </w:p>
    <w:p w14:paraId="5A3213DE">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上述第 1 至第 13点所列“★”号条款仅为行文简便而作缩写处理，我方承诺严格依照比选文件原文，对所有带“★”号条款予以全面、准确响应，不遗漏任何细节；</w:t>
      </w:r>
    </w:p>
    <w:p w14:paraId="6119ED58">
      <w:pPr>
        <w:pStyle w:val="22"/>
        <w:keepNext w:val="0"/>
        <w:keepLines w:val="0"/>
        <w:pageBreakBefore w:val="0"/>
        <w:widowControl w:val="0"/>
        <w:numPr>
          <w:ilvl w:val="0"/>
          <w:numId w:val="112"/>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除以上已列出的带‘★’号条款外，其他所有带‘★’号的条款我方同样能够响应。</w:t>
      </w:r>
    </w:p>
    <w:p w14:paraId="093EA11D">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5118F2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781132C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6C8FD0E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0C05EE1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0F8C79B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1235C75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45CC806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7C0EA87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38E221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0CF65F8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5D96A64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2601124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6A72135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26873AD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41A059F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36BF7BB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40B7E55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2782E9F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75269D4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15C93E4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5FF189F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0BB49D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0863B73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4AFC8E6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14:paraId="6F7330C0">
      <w:pPr>
        <w:pStyle w:val="2"/>
        <w:rPr>
          <w:rFonts w:hint="eastAsia"/>
          <w:highlight w:val="none"/>
          <w:lang w:val="en-US" w:eastAsia="zh-CN"/>
        </w:rPr>
      </w:pPr>
    </w:p>
    <w:p w14:paraId="56CB3145">
      <w:pPr>
        <w:rPr>
          <w:rFonts w:hint="eastAsia"/>
          <w:highlight w:val="none"/>
          <w:lang w:val="en-US" w:eastAsia="zh-CN"/>
        </w:rPr>
      </w:pPr>
    </w:p>
    <w:p w14:paraId="71285F97">
      <w:pPr>
        <w:pStyle w:val="2"/>
        <w:rPr>
          <w:rFonts w:hint="eastAsia"/>
          <w:highlight w:val="none"/>
          <w:lang w:val="en-US" w:eastAsia="zh-CN"/>
        </w:rPr>
      </w:pPr>
    </w:p>
    <w:p w14:paraId="658CD96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color w:val="auto"/>
          <w:sz w:val="36"/>
          <w:szCs w:val="36"/>
          <w:highlight w:val="none"/>
          <w:lang w:val="en-US" w:eastAsia="zh-CN"/>
        </w:rPr>
      </w:pPr>
      <w:r>
        <w:rPr>
          <w:rFonts w:hint="eastAsia" w:ascii="黑体" w:hAnsi="黑体" w:eastAsia="黑体" w:cs="黑体"/>
          <w:b/>
          <w:bCs/>
          <w:color w:val="auto"/>
          <w:sz w:val="40"/>
          <w:szCs w:val="40"/>
          <w:highlight w:val="none"/>
          <w:lang w:val="en-US" w:eastAsia="zh-CN"/>
        </w:rPr>
        <w:t>三、商务评审</w:t>
      </w:r>
    </w:p>
    <w:p w14:paraId="381EE49B">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0"/>
          <w:szCs w:val="22"/>
          <w:highlight w:val="none"/>
        </w:rPr>
      </w:pPr>
      <w:r>
        <w:rPr>
          <w:rFonts w:hint="eastAsia" w:ascii="仿宋" w:hAnsi="仿宋" w:eastAsia="仿宋" w:cs="仿宋"/>
          <w:b/>
          <w:bCs/>
          <w:color w:val="auto"/>
          <w:sz w:val="32"/>
          <w:szCs w:val="32"/>
          <w:highlight w:val="none"/>
          <w:lang w:val="en-US" w:eastAsia="zh-CN"/>
        </w:rPr>
        <w:t>（一）商务评审</w:t>
      </w:r>
      <w:r>
        <w:rPr>
          <w:rFonts w:hint="eastAsia" w:ascii="仿宋" w:hAnsi="仿宋" w:eastAsia="仿宋" w:cs="仿宋"/>
          <w:b/>
          <w:bCs/>
          <w:color w:val="auto"/>
          <w:sz w:val="32"/>
          <w:szCs w:val="32"/>
          <w:highlight w:val="none"/>
        </w:rPr>
        <w:t>自查表</w:t>
      </w:r>
    </w:p>
    <w:p w14:paraId="3C3887C8">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提供相应的</w:t>
      </w:r>
      <w:r>
        <w:rPr>
          <w:rFonts w:hint="eastAsia" w:ascii="仿宋" w:hAnsi="仿宋" w:eastAsia="仿宋" w:cs="仿宋"/>
          <w:b/>
          <w:bCs/>
          <w:color w:val="auto"/>
          <w:sz w:val="21"/>
          <w:szCs w:val="21"/>
          <w:highlight w:val="none"/>
          <w:lang w:eastAsia="zh-CN"/>
        </w:rPr>
        <w:t>证明资料及填写页码</w:t>
      </w:r>
      <w:r>
        <w:rPr>
          <w:rFonts w:hint="eastAsia" w:ascii="仿宋" w:hAnsi="仿宋" w:eastAsia="仿宋" w:cs="仿宋"/>
          <w:b/>
          <w:bCs/>
          <w:color w:val="auto"/>
          <w:sz w:val="21"/>
          <w:szCs w:val="21"/>
          <w:highlight w:val="none"/>
        </w:rPr>
        <w:t>，如未提供，</w:t>
      </w:r>
      <w:r>
        <w:rPr>
          <w:rFonts w:hint="eastAsia" w:ascii="仿宋" w:hAnsi="仿宋" w:eastAsia="仿宋" w:cs="仿宋"/>
          <w:b/>
          <w:bCs/>
          <w:color w:val="auto"/>
          <w:sz w:val="21"/>
          <w:szCs w:val="21"/>
          <w:highlight w:val="none"/>
          <w:lang w:val="en-US" w:eastAsia="zh-CN"/>
        </w:rPr>
        <w:t>评审委员会</w:t>
      </w:r>
      <w:r>
        <w:rPr>
          <w:rFonts w:hint="eastAsia" w:ascii="仿宋" w:hAnsi="仿宋" w:eastAsia="仿宋" w:cs="仿宋"/>
          <w:b/>
          <w:bCs/>
          <w:color w:val="auto"/>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1679"/>
        <w:gridCol w:w="2098"/>
        <w:gridCol w:w="1423"/>
      </w:tblGrid>
      <w:tr w14:paraId="52483F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3CF4180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0107688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08182DD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color w:val="auto"/>
                <w:sz w:val="21"/>
                <w:szCs w:val="21"/>
                <w:highlight w:val="none"/>
                <w:lang w:val="en-US" w:eastAsia="zh-CN"/>
              </w:rPr>
              <w:t>提供情况</w:t>
            </w:r>
          </w:p>
        </w:tc>
        <w:tc>
          <w:tcPr>
            <w:tcW w:w="2098" w:type="dxa"/>
            <w:vAlign w:val="center"/>
          </w:tcPr>
          <w:p w14:paraId="4DC52366">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1D80F15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610966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0730D39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vAlign w:val="center"/>
          </w:tcPr>
          <w:p w14:paraId="01BE1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具有有效的质量管理体系认证证书，得3分。</w:t>
            </w:r>
          </w:p>
        </w:tc>
        <w:tc>
          <w:tcPr>
            <w:tcW w:w="2089" w:type="dxa"/>
            <w:vMerge w:val="restart"/>
            <w:vAlign w:val="center"/>
          </w:tcPr>
          <w:p w14:paraId="11F6D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14:paraId="59A7D76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无</w:t>
            </w:r>
          </w:p>
        </w:tc>
        <w:tc>
          <w:tcPr>
            <w:tcW w:w="2098" w:type="dxa"/>
            <w:vAlign w:val="center"/>
          </w:tcPr>
          <w:p w14:paraId="36BDCF6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60CAB1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1620B0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47B37B6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1009F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具有有效的职业健康安全管理体系认证证书，得3分。</w:t>
            </w:r>
          </w:p>
        </w:tc>
        <w:tc>
          <w:tcPr>
            <w:tcW w:w="2089" w:type="dxa"/>
            <w:vMerge w:val="continue"/>
            <w:vAlign w:val="center"/>
          </w:tcPr>
          <w:p w14:paraId="7EEC7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5F9CBDD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无</w:t>
            </w:r>
          </w:p>
        </w:tc>
        <w:tc>
          <w:tcPr>
            <w:tcW w:w="2098" w:type="dxa"/>
            <w:vAlign w:val="center"/>
          </w:tcPr>
          <w:p w14:paraId="5AAB791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5DD376B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A27CB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6122D26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36D74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具有有效的环境管理体系认证证书，得3分。</w:t>
            </w:r>
          </w:p>
        </w:tc>
        <w:tc>
          <w:tcPr>
            <w:tcW w:w="2089" w:type="dxa"/>
            <w:vMerge w:val="continue"/>
            <w:vAlign w:val="center"/>
          </w:tcPr>
          <w:p w14:paraId="2F1D4F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58BE6F1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无</w:t>
            </w:r>
          </w:p>
        </w:tc>
        <w:tc>
          <w:tcPr>
            <w:tcW w:w="2098" w:type="dxa"/>
            <w:vAlign w:val="center"/>
          </w:tcPr>
          <w:p w14:paraId="23916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2E3ECE2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040E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04A2A81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vAlign w:val="center"/>
          </w:tcPr>
          <w:p w14:paraId="53B98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提供2022年1月1日以来（以合同签订时间为准）同类检测分析技术服务项目业绩进行评分：每提供一项业绩得2分，最高得10分。</w:t>
            </w:r>
          </w:p>
        </w:tc>
        <w:tc>
          <w:tcPr>
            <w:tcW w:w="2089" w:type="dxa"/>
            <w:vAlign w:val="center"/>
          </w:tcPr>
          <w:p w14:paraId="12306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注：须提供合同复印件（含签订合同双方的单位名称、合同项目内容、签订合同双方的落款盖章的关键页），并加盖公章。所提供资料未能体现符合业绩要求的不得分。</w:t>
            </w:r>
          </w:p>
        </w:tc>
        <w:tc>
          <w:tcPr>
            <w:tcW w:w="1679" w:type="dxa"/>
            <w:vAlign w:val="center"/>
          </w:tcPr>
          <w:p w14:paraId="2D527C2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无</w:t>
            </w:r>
          </w:p>
        </w:tc>
        <w:tc>
          <w:tcPr>
            <w:tcW w:w="2098" w:type="dxa"/>
            <w:vAlign w:val="center"/>
          </w:tcPr>
          <w:p w14:paraId="02CED2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5FEFA7A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2290B8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7726FF5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vAlign w:val="center"/>
          </w:tcPr>
          <w:p w14:paraId="322EB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089" w:type="dxa"/>
            <w:vAlign w:val="center"/>
          </w:tcPr>
          <w:p w14:paraId="6DDCE8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32BE99B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无</w:t>
            </w:r>
          </w:p>
        </w:tc>
        <w:tc>
          <w:tcPr>
            <w:tcW w:w="2098" w:type="dxa"/>
            <w:vAlign w:val="center"/>
          </w:tcPr>
          <w:p w14:paraId="246E008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D3A634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0D5E44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784A35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4526F58">
      <w:pPr>
        <w:widowControl w:val="0"/>
        <w:numPr>
          <w:ilvl w:val="0"/>
          <w:numId w:val="0"/>
        </w:numPr>
        <w:ind w:left="-617" w:leftChars="-294" w:right="-395" w:rightChars="-188" w:firstLine="417" w:firstLineChars="19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1、请在表格下方附上相关证明资料，提供所需证书（或证明文件）复印件且加盖公章方可得分，不提供不得分。</w:t>
      </w:r>
    </w:p>
    <w:p w14:paraId="3A833006">
      <w:pPr>
        <w:widowControl w:val="0"/>
        <w:numPr>
          <w:ilvl w:val="0"/>
          <w:numId w:val="0"/>
        </w:numPr>
        <w:ind w:left="-617" w:leftChars="-294" w:right="-395" w:rightChars="-188" w:firstLine="417" w:firstLineChars="19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2、本表中所要求提交的与评分项目相关的各类证明文件或资料，需清晰反映相关的数据及印章等，如模糊不清无法辨别的，视为未按要求提交，该项评分不得分。</w:t>
      </w:r>
    </w:p>
    <w:p w14:paraId="7B9FBBBE">
      <w:pPr>
        <w:widowControl w:val="0"/>
        <w:numPr>
          <w:ilvl w:val="0"/>
          <w:numId w:val="0"/>
        </w:numPr>
        <w:ind w:left="-617" w:leftChars="-294" w:right="-395" w:rightChars="-188" w:firstLine="417" w:firstLineChars="19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3、本表要求提供的证书等证明文件，如存在有效期的，须在有效期内，否则不予得分。</w:t>
      </w:r>
    </w:p>
    <w:p w14:paraId="3B5395DA">
      <w:pPr>
        <w:widowControl w:val="0"/>
        <w:numPr>
          <w:ilvl w:val="0"/>
          <w:numId w:val="0"/>
        </w:numPr>
        <w:ind w:left="-617" w:leftChars="-294" w:right="-395" w:rightChars="-188" w:firstLine="417" w:firstLineChars="19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4、承诺以上响应情况属实，如有虚假响应，同意本项目一票否决，并列入采购人失信供应商名单。</w:t>
      </w:r>
    </w:p>
    <w:p w14:paraId="12D603A6">
      <w:pPr>
        <w:widowControl w:val="0"/>
        <w:numPr>
          <w:ilvl w:val="0"/>
          <w:numId w:val="0"/>
        </w:numPr>
        <w:ind w:left="-617" w:leftChars="-294" w:right="-395" w:rightChars="-188" w:firstLine="417" w:firstLineChars="199"/>
        <w:jc w:val="both"/>
        <w:rPr>
          <w:rFonts w:hint="eastAsia" w:ascii="仿宋" w:hAnsi="仿宋" w:eastAsia="仿宋" w:cs="仿宋"/>
          <w:color w:val="auto"/>
          <w:kern w:val="2"/>
          <w:sz w:val="20"/>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5、本自查表不得擅自删改。</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31AA8C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highlight w:val="none"/>
          <w:lang w:eastAsia="zh-CN"/>
        </w:rPr>
      </w:pPr>
    </w:p>
    <w:p w14:paraId="67AA69FF">
      <w:pPr>
        <w:pStyle w:val="2"/>
        <w:rPr>
          <w:rFonts w:hint="eastAsia" w:ascii="仿宋" w:hAnsi="仿宋" w:eastAsia="仿宋" w:cs="仿宋"/>
          <w:b/>
          <w:bCs/>
          <w:color w:val="auto"/>
          <w:sz w:val="36"/>
          <w:szCs w:val="36"/>
          <w:highlight w:val="none"/>
          <w:lang w:eastAsia="zh-CN"/>
        </w:rPr>
      </w:pPr>
    </w:p>
    <w:p w14:paraId="3B74ED1D">
      <w:pPr>
        <w:rPr>
          <w:rFonts w:hint="eastAsia"/>
          <w:color w:val="auto"/>
          <w:highlight w:val="none"/>
          <w:lang w:eastAsia="zh-CN"/>
        </w:rPr>
      </w:pPr>
    </w:p>
    <w:p w14:paraId="46BD87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二）商务评审证明资料</w:t>
      </w:r>
      <w:r>
        <w:rPr>
          <w:rFonts w:hint="eastAsia" w:ascii="仿宋" w:hAnsi="仿宋" w:eastAsia="仿宋" w:cs="仿宋"/>
          <w:b/>
          <w:bCs w:val="0"/>
          <w:color w:val="auto"/>
          <w:sz w:val="22"/>
          <w:szCs w:val="22"/>
          <w:highlight w:val="none"/>
          <w:lang w:val="en-US" w:eastAsia="zh-CN"/>
        </w:rPr>
        <w:t>（如有）</w:t>
      </w:r>
    </w:p>
    <w:p w14:paraId="30AE1123">
      <w:pPr>
        <w:shd w:val="clear" w:color="auto" w:fill="FFFFFF"/>
        <w:tabs>
          <w:tab w:val="left" w:pos="180"/>
        </w:tabs>
        <w:ind w:left="-240"/>
        <w:jc w:val="center"/>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val="en-GB"/>
              </w:rPr>
              <w:t>单位性质、发展历程、经营规模及服务理念、主营产品、技术力量</w:t>
            </w:r>
            <w:r>
              <w:rPr>
                <w:rFonts w:hint="eastAsia" w:ascii="仿宋" w:hAnsi="仿宋" w:eastAsia="仿宋" w:cs="仿宋"/>
                <w:color w:val="auto"/>
                <w:sz w:val="18"/>
                <w:szCs w:val="18"/>
                <w:highlight w:val="none"/>
                <w:lang w:val="en-GB" w:eastAsia="zh-CN"/>
              </w:rPr>
              <w:t>、经营场所、主要或关键货物介绍、生产场所及工艺流程等</w:t>
            </w:r>
            <w:r>
              <w:rPr>
                <w:rFonts w:hint="eastAsia" w:ascii="仿宋" w:hAnsi="仿宋" w:eastAsia="仿宋" w:cs="仿宋"/>
                <w:color w:val="auto"/>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M</w:t>
            </w:r>
            <w:r>
              <w:rPr>
                <w:rFonts w:hint="eastAsia" w:ascii="仿宋" w:hAnsi="仿宋" w:eastAsia="仿宋" w:cs="仿宋"/>
                <w:color w:val="auto"/>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M</w:t>
            </w:r>
            <w:r>
              <w:rPr>
                <w:rFonts w:hint="eastAsia" w:ascii="仿宋" w:hAnsi="仿宋" w:eastAsia="仿宋" w:cs="仿宋"/>
                <w:color w:val="auto"/>
                <w:szCs w:val="21"/>
                <w:highlight w:val="none"/>
                <w:vertAlign w:val="superscript"/>
              </w:rPr>
              <w:t>2</w:t>
            </w:r>
          </w:p>
        </w:tc>
      </w:tr>
    </w:tbl>
    <w:p w14:paraId="3F24F7EB">
      <w:pPr>
        <w:pStyle w:val="3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color w:val="auto"/>
          <w:spacing w:val="0"/>
          <w:kern w:val="2"/>
          <w:sz w:val="18"/>
          <w:szCs w:val="18"/>
          <w:highlight w:val="none"/>
          <w:lang w:val="en-GB"/>
        </w:rPr>
      </w:pPr>
      <w:r>
        <w:rPr>
          <w:rFonts w:hint="eastAsia" w:ascii="仿宋" w:hAnsi="仿宋" w:eastAsia="仿宋" w:cs="仿宋"/>
          <w:bCs w:val="0"/>
          <w:color w:val="auto"/>
          <w:spacing w:val="0"/>
          <w:kern w:val="2"/>
          <w:sz w:val="18"/>
          <w:szCs w:val="18"/>
          <w:highlight w:val="none"/>
          <w:lang w:val="en-GB"/>
        </w:rPr>
        <w:t>注：1、文字描述：单位性质、发展历程、经营规模及服务理念、主营产品、技术力量等。</w:t>
      </w:r>
    </w:p>
    <w:p w14:paraId="1A22D06E">
      <w:pPr>
        <w:pStyle w:val="3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color w:val="auto"/>
          <w:spacing w:val="0"/>
          <w:kern w:val="2"/>
          <w:sz w:val="18"/>
          <w:szCs w:val="18"/>
          <w:highlight w:val="none"/>
          <w:lang w:val="en-GB"/>
        </w:rPr>
      </w:pPr>
      <w:r>
        <w:rPr>
          <w:rFonts w:hint="eastAsia" w:ascii="仿宋" w:hAnsi="仿宋" w:eastAsia="仿宋" w:cs="仿宋"/>
          <w:bCs w:val="0"/>
          <w:color w:val="auto"/>
          <w:spacing w:val="0"/>
          <w:kern w:val="2"/>
          <w:sz w:val="18"/>
          <w:szCs w:val="18"/>
          <w:highlight w:val="none"/>
          <w:lang w:val="en-GB"/>
        </w:rPr>
        <w:t>2、图片描述：经营场所、主要或关键</w:t>
      </w:r>
      <w:r>
        <w:rPr>
          <w:rFonts w:hint="eastAsia" w:ascii="仿宋" w:hAnsi="仿宋" w:eastAsia="仿宋" w:cs="仿宋"/>
          <w:bCs w:val="0"/>
          <w:color w:val="auto"/>
          <w:spacing w:val="0"/>
          <w:kern w:val="2"/>
          <w:sz w:val="18"/>
          <w:szCs w:val="18"/>
          <w:highlight w:val="none"/>
          <w:lang w:val="en-GB" w:eastAsia="zh-CN"/>
        </w:rPr>
        <w:t>货物</w:t>
      </w:r>
      <w:r>
        <w:rPr>
          <w:rFonts w:hint="eastAsia" w:ascii="仿宋" w:hAnsi="仿宋" w:eastAsia="仿宋" w:cs="仿宋"/>
          <w:bCs w:val="0"/>
          <w:color w:val="auto"/>
          <w:spacing w:val="0"/>
          <w:kern w:val="2"/>
          <w:sz w:val="18"/>
          <w:szCs w:val="18"/>
          <w:highlight w:val="none"/>
          <w:lang w:val="en-GB"/>
        </w:rPr>
        <w:t>介绍、生产场所及工艺流程等。</w:t>
      </w:r>
    </w:p>
    <w:p w14:paraId="10757A56">
      <w:pPr>
        <w:pStyle w:val="3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color w:val="auto"/>
          <w:spacing w:val="0"/>
          <w:kern w:val="2"/>
          <w:sz w:val="18"/>
          <w:szCs w:val="18"/>
          <w:highlight w:val="none"/>
          <w:lang w:val="en-GB"/>
        </w:rPr>
      </w:pPr>
      <w:r>
        <w:rPr>
          <w:rFonts w:hint="eastAsia" w:ascii="仿宋" w:hAnsi="仿宋" w:eastAsia="仿宋" w:cs="仿宋"/>
          <w:bCs w:val="0"/>
          <w:color w:val="auto"/>
          <w:spacing w:val="0"/>
          <w:kern w:val="2"/>
          <w:sz w:val="18"/>
          <w:szCs w:val="18"/>
          <w:highlight w:val="none"/>
          <w:lang w:val="en-GB"/>
        </w:rPr>
        <w:t>3、如响应人此表数据有虚假，一经查实，自行承担相关责任。</w:t>
      </w:r>
    </w:p>
    <w:p w14:paraId="14A29D15">
      <w:pPr>
        <w:pStyle w:val="31"/>
        <w:jc w:val="center"/>
        <w:rPr>
          <w:rFonts w:hint="eastAsia" w:ascii="宋体" w:hAnsi="宋体" w:eastAsia="宋体" w:cs="宋体"/>
          <w:b/>
          <w:bCs w:val="0"/>
          <w:color w:val="auto"/>
          <w:sz w:val="32"/>
          <w:szCs w:val="32"/>
          <w:highlight w:val="none"/>
          <w:lang w:val="en-US" w:eastAsia="zh-CN"/>
        </w:rPr>
      </w:pPr>
    </w:p>
    <w:p w14:paraId="4A9C9B26">
      <w:pPr>
        <w:pStyle w:val="31"/>
        <w:jc w:val="center"/>
        <w:rPr>
          <w:rFonts w:hint="eastAsia" w:ascii="宋体" w:hAnsi="宋体" w:eastAsia="宋体" w:cs="宋体"/>
          <w:b/>
          <w:bCs w:val="0"/>
          <w:color w:val="auto"/>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31"/>
        <w:rPr>
          <w:rFonts w:hint="eastAsia" w:ascii="宋体" w:hAnsi="宋体" w:eastAsia="宋体" w:cs="宋体"/>
          <w:b/>
          <w:bCs w:val="0"/>
          <w:color w:val="auto"/>
          <w:sz w:val="32"/>
          <w:szCs w:val="32"/>
          <w:highlight w:val="none"/>
          <w:lang w:val="en-US" w:eastAsia="zh-CN"/>
        </w:rPr>
      </w:pPr>
    </w:p>
    <w:p w14:paraId="07282C36">
      <w:pPr>
        <w:pStyle w:val="31"/>
        <w:jc w:val="center"/>
        <w:rPr>
          <w:rFonts w:hint="eastAsia" w:ascii="宋体" w:hAnsi="宋体" w:eastAsia="宋体" w:cs="宋体"/>
          <w:b/>
          <w:bCs w:val="0"/>
          <w:color w:val="auto"/>
          <w:sz w:val="32"/>
          <w:szCs w:val="32"/>
          <w:highlight w:val="none"/>
          <w:lang w:val="en-US" w:eastAsia="zh-CN"/>
        </w:rPr>
      </w:pPr>
    </w:p>
    <w:p w14:paraId="16E0BF65">
      <w:pPr>
        <w:pStyle w:val="31"/>
        <w:jc w:val="center"/>
        <w:rPr>
          <w:rFonts w:hint="eastAsia" w:ascii="宋体" w:hAnsi="宋体" w:eastAsia="宋体" w:cs="宋体"/>
          <w:b/>
          <w:bCs w:val="0"/>
          <w:color w:val="auto"/>
          <w:sz w:val="32"/>
          <w:szCs w:val="32"/>
          <w:highlight w:val="none"/>
          <w:lang w:val="en-US" w:eastAsia="zh-CN"/>
        </w:rPr>
      </w:pPr>
    </w:p>
    <w:p w14:paraId="2B460651">
      <w:pPr>
        <w:pStyle w:val="31"/>
        <w:jc w:val="center"/>
        <w:rPr>
          <w:rFonts w:hint="eastAsia" w:ascii="宋体" w:hAnsi="宋体" w:eastAsia="宋体" w:cs="宋体"/>
          <w:b/>
          <w:bCs w:val="0"/>
          <w:color w:val="auto"/>
          <w:sz w:val="32"/>
          <w:szCs w:val="32"/>
          <w:highlight w:val="none"/>
          <w:lang w:val="en-US" w:eastAsia="zh-CN"/>
        </w:rPr>
      </w:pPr>
    </w:p>
    <w:p w14:paraId="06BE47BA">
      <w:pPr>
        <w:pStyle w:val="31"/>
        <w:jc w:val="center"/>
        <w:rPr>
          <w:rFonts w:hint="eastAsia" w:ascii="宋体" w:hAnsi="宋体" w:eastAsia="宋体" w:cs="宋体"/>
          <w:b/>
          <w:bCs w:val="0"/>
          <w:color w:val="auto"/>
          <w:sz w:val="32"/>
          <w:szCs w:val="32"/>
          <w:highlight w:val="none"/>
          <w:lang w:val="en-US" w:eastAsia="zh-CN"/>
        </w:rPr>
      </w:pPr>
    </w:p>
    <w:p w14:paraId="75F47D9A">
      <w:pPr>
        <w:pStyle w:val="31"/>
        <w:jc w:val="center"/>
        <w:rPr>
          <w:rFonts w:hint="eastAsia" w:ascii="宋体" w:hAnsi="宋体" w:eastAsia="宋体" w:cs="宋体"/>
          <w:b/>
          <w:bCs w:val="0"/>
          <w:color w:val="auto"/>
          <w:sz w:val="32"/>
          <w:szCs w:val="32"/>
          <w:highlight w:val="none"/>
          <w:lang w:val="en-US" w:eastAsia="zh-CN"/>
        </w:rPr>
      </w:pPr>
    </w:p>
    <w:p w14:paraId="795A1C0B">
      <w:pPr>
        <w:pStyle w:val="31"/>
        <w:ind w:left="0" w:leftChars="0" w:firstLine="0" w:firstLineChars="0"/>
        <w:jc w:val="both"/>
        <w:rPr>
          <w:rFonts w:hint="eastAsia" w:ascii="宋体" w:hAnsi="宋体" w:eastAsia="宋体" w:cs="宋体"/>
          <w:b/>
          <w:bCs w:val="0"/>
          <w:color w:val="auto"/>
          <w:sz w:val="32"/>
          <w:szCs w:val="32"/>
          <w:highlight w:val="none"/>
          <w:lang w:val="en-US" w:eastAsia="zh-CN"/>
        </w:rPr>
      </w:pPr>
    </w:p>
    <w:p w14:paraId="39766B26">
      <w:pPr>
        <w:pStyle w:val="31"/>
        <w:ind w:left="0" w:leftChars="0" w:firstLine="0" w:firstLineChars="0"/>
        <w:jc w:val="both"/>
        <w:rPr>
          <w:rFonts w:hint="eastAsia" w:ascii="宋体" w:hAnsi="宋体" w:eastAsia="宋体" w:cs="宋体"/>
          <w:b/>
          <w:bCs w:val="0"/>
          <w:color w:val="auto"/>
          <w:sz w:val="32"/>
          <w:szCs w:val="32"/>
          <w:highlight w:val="none"/>
          <w:lang w:val="en-US" w:eastAsia="zh-CN"/>
        </w:rPr>
      </w:pPr>
    </w:p>
    <w:p w14:paraId="0AB5512C">
      <w:pPr>
        <w:shd w:val="clear" w:color="auto" w:fill="FFFFFF"/>
        <w:jc w:val="center"/>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企业股东构成情况表</w:t>
      </w:r>
      <w:r>
        <w:rPr>
          <w:rFonts w:hint="eastAsia" w:ascii="仿宋" w:hAnsi="仿宋" w:eastAsia="仿宋" w:cs="仿宋"/>
          <w:b/>
          <w:bCs w:val="0"/>
          <w:color w:val="auto"/>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auto"/>
                <w:szCs w:val="21"/>
                <w:highlight w:val="none"/>
              </w:rPr>
            </w:pPr>
          </w:p>
        </w:tc>
      </w:tr>
    </w:tbl>
    <w:p w14:paraId="3FD28306">
      <w:pPr>
        <w:shd w:val="clear" w:color="auto" w:fill="FFFFFF"/>
        <w:jc w:val="left"/>
        <w:rPr>
          <w:rFonts w:hint="eastAsia" w:ascii="仿宋" w:hAnsi="仿宋" w:eastAsia="仿宋" w:cs="仿宋"/>
          <w:color w:val="auto"/>
          <w:szCs w:val="21"/>
          <w:highlight w:val="none"/>
        </w:rPr>
      </w:pPr>
    </w:p>
    <w:p w14:paraId="29120A76">
      <w:pPr>
        <w:shd w:val="clear" w:color="auto" w:fill="FFFFFF"/>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5DECC13">
      <w:pPr>
        <w:shd w:val="clear" w:color="auto" w:fill="FFFFFF"/>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2.响应人必须如实填写股东构成情况，具体信息情况</w:t>
      </w:r>
      <w:r>
        <w:rPr>
          <w:rFonts w:hint="eastAsia" w:ascii="仿宋" w:hAnsi="仿宋" w:eastAsia="仿宋" w:cs="仿宋"/>
          <w:color w:val="auto"/>
          <w:sz w:val="21"/>
          <w:szCs w:val="21"/>
          <w:highlight w:val="none"/>
          <w:lang w:val="en-US" w:eastAsia="zh-CN"/>
        </w:rPr>
        <w:t>须</w:t>
      </w:r>
      <w:r>
        <w:rPr>
          <w:rFonts w:hint="eastAsia" w:ascii="仿宋" w:hAnsi="仿宋" w:eastAsia="仿宋" w:cs="仿宋"/>
          <w:color w:val="auto"/>
          <w:sz w:val="21"/>
          <w:szCs w:val="21"/>
          <w:highlight w:val="none"/>
        </w:rPr>
        <w:t>与“国家企业信用信息公示系统”网站查询的信息一致。</w:t>
      </w:r>
    </w:p>
    <w:p w14:paraId="171A520E">
      <w:pPr>
        <w:pStyle w:val="31"/>
        <w:rPr>
          <w:rFonts w:hint="eastAsia" w:ascii="仿宋" w:hAnsi="仿宋" w:eastAsia="仿宋" w:cs="仿宋"/>
          <w:color w:val="auto"/>
          <w:highlight w:val="none"/>
        </w:rPr>
      </w:pPr>
    </w:p>
    <w:p w14:paraId="56B9A8C3">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15B9E171">
      <w:pPr>
        <w:pStyle w:val="31"/>
        <w:jc w:val="center"/>
        <w:rPr>
          <w:rFonts w:hint="eastAsia" w:ascii="宋体" w:hAnsi="宋体" w:eastAsia="宋体" w:cs="宋体"/>
          <w:b/>
          <w:bCs w:val="0"/>
          <w:color w:val="auto"/>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098C9EDC">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51D082A6">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1D562AC9">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3、企业体系认证情况</w:t>
      </w:r>
      <w:r>
        <w:rPr>
          <w:rFonts w:hint="eastAsia" w:ascii="仿宋" w:hAnsi="仿宋" w:eastAsia="仿宋" w:cs="仿宋"/>
          <w:b/>
          <w:bCs w:val="0"/>
          <w:color w:val="auto"/>
          <w:sz w:val="22"/>
          <w:szCs w:val="22"/>
          <w:highlight w:val="none"/>
          <w:lang w:val="en-US" w:eastAsia="zh-CN"/>
        </w:rPr>
        <w:t>（如有）</w:t>
      </w:r>
    </w:p>
    <w:p w14:paraId="50DD889B">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22"/>
          <w:szCs w:val="22"/>
          <w:highlight w:val="none"/>
          <w:lang w:val="en-US" w:eastAsia="zh-CN"/>
        </w:rPr>
        <w:t>（与本项目相关的）</w:t>
      </w:r>
    </w:p>
    <w:tbl>
      <w:tblPr>
        <w:tblStyle w:val="24"/>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32A1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07CA142">
            <w:pPr>
              <w:pStyle w:val="39"/>
              <w:keepNext w:val="0"/>
              <w:keepLines w:val="0"/>
              <w:suppressLineNumbers w:val="0"/>
              <w:spacing w:before="81" w:beforeAutospacing="0" w:after="0" w:afterAutospacing="0"/>
              <w:ind w:left="474" w:right="4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颁发日期</w:t>
            </w:r>
          </w:p>
        </w:tc>
        <w:tc>
          <w:tcPr>
            <w:tcW w:w="2552" w:type="dxa"/>
          </w:tcPr>
          <w:p w14:paraId="0A9EA66C">
            <w:pPr>
              <w:pStyle w:val="39"/>
              <w:keepNext w:val="0"/>
              <w:keepLines w:val="0"/>
              <w:suppressLineNumbers w:val="0"/>
              <w:spacing w:before="81" w:beforeAutospacing="0" w:after="0" w:afterAutospacing="0"/>
              <w:ind w:left="1014" w:right="100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2409" w:type="dxa"/>
          </w:tcPr>
          <w:p w14:paraId="667B36BB">
            <w:pPr>
              <w:pStyle w:val="39"/>
              <w:keepNext w:val="0"/>
              <w:keepLines w:val="0"/>
              <w:suppressLineNumbers w:val="0"/>
              <w:spacing w:before="81" w:beforeAutospacing="0" w:after="0" w:afterAutospacing="0"/>
              <w:ind w:left="724"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颁发机构</w:t>
            </w:r>
          </w:p>
        </w:tc>
        <w:tc>
          <w:tcPr>
            <w:tcW w:w="1365" w:type="dxa"/>
          </w:tcPr>
          <w:p w14:paraId="4D7C94EA">
            <w:pPr>
              <w:pStyle w:val="39"/>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有效期</w:t>
            </w:r>
          </w:p>
        </w:tc>
      </w:tr>
      <w:tr w14:paraId="31CE0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37FE551">
            <w:pPr>
              <w:pStyle w:val="39"/>
              <w:keepNext w:val="0"/>
              <w:keepLines w:val="0"/>
              <w:suppressLineNumbers w:val="0"/>
              <w:spacing w:before="80" w:beforeAutospacing="0" w:after="0" w:afterAutospacing="0"/>
              <w:ind w:left="474" w:right="4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年月日</w:t>
            </w:r>
          </w:p>
        </w:tc>
        <w:tc>
          <w:tcPr>
            <w:tcW w:w="2552" w:type="dxa"/>
          </w:tcPr>
          <w:p w14:paraId="36EBC5FC">
            <w:pPr>
              <w:pStyle w:val="39"/>
              <w:keepNext w:val="0"/>
              <w:keepLines w:val="0"/>
              <w:suppressLineNumbers w:val="0"/>
              <w:spacing w:before="0" w:beforeAutospacing="0" w:after="0" w:afterAutospacing="0"/>
              <w:ind w:left="0" w:right="0"/>
              <w:rPr>
                <w:rFonts w:hint="eastAsia" w:ascii="仿宋" w:hAnsi="仿宋" w:eastAsia="仿宋" w:cs="仿宋"/>
                <w:color w:val="auto"/>
                <w:sz w:val="22"/>
                <w:highlight w:val="none"/>
              </w:rPr>
            </w:pPr>
          </w:p>
        </w:tc>
        <w:tc>
          <w:tcPr>
            <w:tcW w:w="2409" w:type="dxa"/>
          </w:tcPr>
          <w:p w14:paraId="3D864B17">
            <w:pPr>
              <w:pStyle w:val="39"/>
              <w:keepNext w:val="0"/>
              <w:keepLines w:val="0"/>
              <w:suppressLineNumbers w:val="0"/>
              <w:spacing w:before="0" w:beforeAutospacing="0" w:after="0" w:afterAutospacing="0"/>
              <w:ind w:left="0" w:right="0"/>
              <w:rPr>
                <w:rFonts w:hint="eastAsia" w:ascii="仿宋" w:hAnsi="仿宋" w:eastAsia="仿宋" w:cs="仿宋"/>
                <w:color w:val="auto"/>
                <w:sz w:val="22"/>
                <w:highlight w:val="none"/>
              </w:rPr>
            </w:pPr>
          </w:p>
        </w:tc>
        <w:tc>
          <w:tcPr>
            <w:tcW w:w="1365" w:type="dxa"/>
          </w:tcPr>
          <w:p w14:paraId="5526E5F3">
            <w:pPr>
              <w:pStyle w:val="3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color w:val="auto"/>
                <w:sz w:val="22"/>
                <w:highlight w:val="none"/>
              </w:rPr>
            </w:pPr>
          </w:p>
        </w:tc>
      </w:tr>
      <w:tr w14:paraId="1499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6E25263">
            <w:pPr>
              <w:pStyle w:val="39"/>
              <w:keepNext w:val="0"/>
              <w:keepLines w:val="0"/>
              <w:suppressLineNumbers w:val="0"/>
              <w:spacing w:before="80" w:beforeAutospacing="0" w:after="0" w:afterAutospacing="0"/>
              <w:ind w:left="474" w:right="4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年月日</w:t>
            </w:r>
          </w:p>
        </w:tc>
        <w:tc>
          <w:tcPr>
            <w:tcW w:w="2552" w:type="dxa"/>
          </w:tcPr>
          <w:p w14:paraId="1EA2804C">
            <w:pPr>
              <w:pStyle w:val="39"/>
              <w:keepNext w:val="0"/>
              <w:keepLines w:val="0"/>
              <w:suppressLineNumbers w:val="0"/>
              <w:spacing w:before="0" w:beforeAutospacing="0" w:after="0" w:afterAutospacing="0"/>
              <w:ind w:left="0" w:right="0"/>
              <w:rPr>
                <w:rFonts w:hint="eastAsia" w:ascii="仿宋" w:hAnsi="仿宋" w:eastAsia="仿宋" w:cs="仿宋"/>
                <w:color w:val="auto"/>
                <w:sz w:val="22"/>
                <w:highlight w:val="none"/>
              </w:rPr>
            </w:pPr>
          </w:p>
        </w:tc>
        <w:tc>
          <w:tcPr>
            <w:tcW w:w="2409" w:type="dxa"/>
          </w:tcPr>
          <w:p w14:paraId="1DC9552F">
            <w:pPr>
              <w:pStyle w:val="39"/>
              <w:keepNext w:val="0"/>
              <w:keepLines w:val="0"/>
              <w:suppressLineNumbers w:val="0"/>
              <w:spacing w:before="0" w:beforeAutospacing="0" w:after="0" w:afterAutospacing="0"/>
              <w:ind w:left="0" w:right="0"/>
              <w:rPr>
                <w:rFonts w:hint="eastAsia" w:ascii="仿宋" w:hAnsi="仿宋" w:eastAsia="仿宋" w:cs="仿宋"/>
                <w:color w:val="auto"/>
                <w:sz w:val="22"/>
                <w:highlight w:val="none"/>
              </w:rPr>
            </w:pPr>
          </w:p>
        </w:tc>
        <w:tc>
          <w:tcPr>
            <w:tcW w:w="1365" w:type="dxa"/>
          </w:tcPr>
          <w:p w14:paraId="037E97AF">
            <w:pPr>
              <w:pStyle w:val="3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color w:val="auto"/>
                <w:sz w:val="22"/>
                <w:highlight w:val="none"/>
              </w:rPr>
            </w:pPr>
          </w:p>
        </w:tc>
      </w:tr>
      <w:tr w14:paraId="5CFD0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BF60140">
            <w:pPr>
              <w:pStyle w:val="39"/>
              <w:keepNext w:val="0"/>
              <w:keepLines w:val="0"/>
              <w:suppressLineNumbers w:val="0"/>
              <w:spacing w:before="81" w:beforeAutospacing="0" w:after="0" w:afterAutospacing="0"/>
              <w:ind w:left="474" w:right="4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552" w:type="dxa"/>
          </w:tcPr>
          <w:p w14:paraId="27A138A2">
            <w:pPr>
              <w:pStyle w:val="39"/>
              <w:keepNext w:val="0"/>
              <w:keepLines w:val="0"/>
              <w:suppressLineNumbers w:val="0"/>
              <w:spacing w:before="0" w:beforeAutospacing="0" w:after="0" w:afterAutospacing="0"/>
              <w:ind w:left="0" w:right="0"/>
              <w:rPr>
                <w:rFonts w:hint="eastAsia" w:ascii="仿宋" w:hAnsi="仿宋" w:eastAsia="仿宋" w:cs="仿宋"/>
                <w:color w:val="auto"/>
                <w:sz w:val="22"/>
                <w:highlight w:val="none"/>
              </w:rPr>
            </w:pPr>
          </w:p>
        </w:tc>
        <w:tc>
          <w:tcPr>
            <w:tcW w:w="2409" w:type="dxa"/>
          </w:tcPr>
          <w:p w14:paraId="7D7A820E">
            <w:pPr>
              <w:pStyle w:val="39"/>
              <w:keepNext w:val="0"/>
              <w:keepLines w:val="0"/>
              <w:suppressLineNumbers w:val="0"/>
              <w:spacing w:before="0" w:beforeAutospacing="0" w:after="0" w:afterAutospacing="0"/>
              <w:ind w:left="0" w:right="0"/>
              <w:rPr>
                <w:rFonts w:hint="eastAsia" w:ascii="仿宋" w:hAnsi="仿宋" w:eastAsia="仿宋" w:cs="仿宋"/>
                <w:color w:val="auto"/>
                <w:sz w:val="22"/>
                <w:highlight w:val="none"/>
              </w:rPr>
            </w:pPr>
          </w:p>
        </w:tc>
        <w:tc>
          <w:tcPr>
            <w:tcW w:w="1365" w:type="dxa"/>
          </w:tcPr>
          <w:p w14:paraId="54FB4C97">
            <w:pPr>
              <w:pStyle w:val="3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color w:val="auto"/>
                <w:sz w:val="22"/>
                <w:highlight w:val="none"/>
              </w:rPr>
            </w:pPr>
          </w:p>
        </w:tc>
      </w:tr>
    </w:tbl>
    <w:p w14:paraId="6D2092AD">
      <w:pPr>
        <w:pStyle w:val="31"/>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注：1.响应人应如实填写获得的认证情况，不得弄虚作假；</w:t>
      </w:r>
    </w:p>
    <w:p w14:paraId="4D4B14E8">
      <w:pPr>
        <w:pStyle w:val="31"/>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2.如果响应人获得过认证证书，</w:t>
      </w:r>
      <w:r>
        <w:rPr>
          <w:rFonts w:hint="eastAsia" w:ascii="仿宋" w:hAnsi="仿宋" w:eastAsia="仿宋" w:cs="仿宋"/>
          <w:b/>
          <w:bCs w:val="0"/>
          <w:color w:val="auto"/>
          <w:sz w:val="18"/>
          <w:szCs w:val="18"/>
          <w:highlight w:val="none"/>
          <w:lang w:val="en-US" w:eastAsia="zh-CN"/>
        </w:rPr>
        <w:t>请在上表后附认证证书复印件并加盖公章</w:t>
      </w:r>
      <w:r>
        <w:rPr>
          <w:rFonts w:hint="eastAsia" w:ascii="仿宋" w:hAnsi="仿宋" w:eastAsia="仿宋" w:cs="仿宋"/>
          <w:b w:val="0"/>
          <w:bCs/>
          <w:color w:val="auto"/>
          <w:sz w:val="18"/>
          <w:szCs w:val="18"/>
          <w:highlight w:val="none"/>
          <w:lang w:val="en-US" w:eastAsia="zh-CN"/>
        </w:rPr>
        <w:t>；</w:t>
      </w:r>
    </w:p>
    <w:p w14:paraId="6511DDA7">
      <w:pPr>
        <w:pStyle w:val="31"/>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3.如果响应人未获得过任何认证，请在上表正文内容第一行填写“无”。</w:t>
      </w:r>
    </w:p>
    <w:p w14:paraId="78841FEF">
      <w:pPr>
        <w:pStyle w:val="31"/>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4.凡证书认证范围与本项目无关的，一律不得分。</w:t>
      </w:r>
    </w:p>
    <w:p w14:paraId="1BA7C25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14A52C8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A25382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06E719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74FB14C">
      <w:pPr>
        <w:pStyle w:val="31"/>
        <w:jc w:val="center"/>
        <w:rPr>
          <w:rFonts w:hint="eastAsia" w:ascii="宋体" w:hAnsi="宋体" w:cs="宋体"/>
          <w:b/>
          <w:bCs w:val="0"/>
          <w:color w:val="auto"/>
          <w:sz w:val="32"/>
          <w:szCs w:val="32"/>
          <w:highlight w:val="none"/>
          <w:lang w:val="en-US" w:eastAsia="zh-CN"/>
        </w:rPr>
      </w:pPr>
    </w:p>
    <w:p w14:paraId="0E4B8117">
      <w:pPr>
        <w:pStyle w:val="31"/>
        <w:jc w:val="center"/>
        <w:rPr>
          <w:rFonts w:hint="eastAsia" w:ascii="宋体" w:hAnsi="宋体" w:cs="宋体"/>
          <w:b/>
          <w:bCs w:val="0"/>
          <w:color w:val="auto"/>
          <w:sz w:val="32"/>
          <w:szCs w:val="32"/>
          <w:highlight w:val="none"/>
          <w:lang w:val="en-US" w:eastAsia="zh-CN"/>
        </w:rPr>
      </w:pPr>
    </w:p>
    <w:p w14:paraId="18AB0414">
      <w:pPr>
        <w:pStyle w:val="31"/>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4、同类项目业绩</w:t>
      </w:r>
      <w:r>
        <w:rPr>
          <w:rFonts w:hint="eastAsia" w:ascii="仿宋" w:hAnsi="仿宋" w:eastAsia="仿宋" w:cs="仿宋"/>
          <w:b/>
          <w:bCs w:val="0"/>
          <w:color w:val="auto"/>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39"/>
              <w:keepNext w:val="0"/>
              <w:keepLines w:val="0"/>
              <w:suppressLineNumbers w:val="0"/>
              <w:spacing w:before="105" w:beforeAutospacing="0" w:after="0" w:afterAutospacing="0"/>
              <w:ind w:left="203" w:right="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39"/>
              <w:keepNext w:val="0"/>
              <w:keepLines w:val="0"/>
              <w:suppressLineNumbers w:val="0"/>
              <w:spacing w:before="105" w:beforeAutospacing="0" w:after="0" w:afterAutospacing="0"/>
              <w:ind w:left="0" w:right="0"/>
              <w:jc w:val="center"/>
              <w:rPr>
                <w:rFonts w:hint="eastAsia" w:ascii="仿宋" w:hAnsi="仿宋" w:eastAsia="仿宋" w:cs="仿宋"/>
                <w:b/>
                <w:color w:val="auto"/>
                <w:sz w:val="21"/>
                <w:highlight w:val="none"/>
                <w:lang w:val="en-US" w:eastAsia="zh-CN"/>
              </w:rPr>
            </w:pPr>
            <w:r>
              <w:rPr>
                <w:rFonts w:hint="eastAsia" w:ascii="仿宋" w:hAnsi="仿宋" w:eastAsia="仿宋" w:cs="仿宋"/>
                <w:b/>
                <w:color w:val="auto"/>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39"/>
              <w:keepNext w:val="0"/>
              <w:keepLines w:val="0"/>
              <w:suppressLineNumbers w:val="0"/>
              <w:spacing w:before="105" w:beforeAutospacing="0" w:after="0" w:afterAutospacing="0"/>
              <w:ind w:left="0" w:right="0"/>
              <w:jc w:val="center"/>
              <w:rPr>
                <w:rFonts w:hint="eastAsia" w:ascii="仿宋" w:hAnsi="仿宋" w:eastAsia="仿宋" w:cs="仿宋"/>
                <w:b/>
                <w:color w:val="auto"/>
                <w:sz w:val="21"/>
                <w:highlight w:val="none"/>
                <w:lang w:val="en-US" w:eastAsia="zh-CN"/>
              </w:rPr>
            </w:pPr>
            <w:r>
              <w:rPr>
                <w:rFonts w:hint="eastAsia" w:ascii="仿宋" w:hAnsi="仿宋" w:eastAsia="仿宋" w:cs="仿宋"/>
                <w:b/>
                <w:color w:val="auto"/>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39"/>
              <w:keepNext w:val="0"/>
              <w:keepLines w:val="0"/>
              <w:suppressLineNumbers w:val="0"/>
              <w:spacing w:before="105"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39"/>
              <w:keepNext w:val="0"/>
              <w:keepLines w:val="0"/>
              <w:suppressLineNumbers w:val="0"/>
              <w:spacing w:before="105" w:beforeAutospacing="0" w:after="0" w:afterAutospacing="0"/>
              <w:ind w:left="216" w:right="0"/>
              <w:rPr>
                <w:rFonts w:hint="eastAsia" w:ascii="仿宋" w:hAnsi="仿宋" w:eastAsia="仿宋" w:cs="仿宋"/>
                <w:b/>
                <w:color w:val="auto"/>
                <w:sz w:val="21"/>
                <w:highlight w:val="none"/>
                <w:lang w:val="en-US" w:eastAsia="zh-CN"/>
              </w:rPr>
            </w:pPr>
            <w:r>
              <w:rPr>
                <w:rFonts w:hint="eastAsia" w:ascii="仿宋" w:hAnsi="仿宋" w:eastAsia="仿宋" w:cs="仿宋"/>
                <w:b/>
                <w:color w:val="auto"/>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39"/>
              <w:keepNext w:val="0"/>
              <w:keepLines w:val="0"/>
              <w:suppressLineNumbers w:val="0"/>
              <w:spacing w:before="105" w:beforeAutospacing="0" w:after="0" w:afterAutospacing="0"/>
              <w:ind w:left="216" w:right="0"/>
              <w:jc w:val="both"/>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合同总价</w:t>
            </w:r>
          </w:p>
        </w:tc>
        <w:tc>
          <w:tcPr>
            <w:tcW w:w="2052" w:type="dxa"/>
            <w:tcBorders>
              <w:left w:val="single" w:color="000000" w:sz="6" w:space="0"/>
              <w:bottom w:val="single" w:color="000000" w:sz="6" w:space="0"/>
            </w:tcBorders>
          </w:tcPr>
          <w:p w14:paraId="0ABA48D4">
            <w:pPr>
              <w:pStyle w:val="39"/>
              <w:keepNext w:val="0"/>
              <w:keepLines w:val="0"/>
              <w:suppressLineNumbers w:val="0"/>
              <w:spacing w:before="105" w:beforeAutospacing="0" w:after="0" w:afterAutospacing="0"/>
              <w:ind w:left="192"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lang w:val="en-US" w:eastAsia="zh-CN"/>
              </w:rPr>
              <w:t>联系人</w:t>
            </w:r>
            <w:r>
              <w:rPr>
                <w:rFonts w:hint="eastAsia" w:ascii="仿宋" w:hAnsi="仿宋" w:eastAsia="仿宋" w:cs="仿宋"/>
                <w:b/>
                <w:color w:val="auto"/>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0F493200">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6B258F4B">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5FD82ECF">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2A0AB42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2CEA5BED">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right w:val="single" w:color="000000" w:sz="6" w:space="0"/>
            </w:tcBorders>
          </w:tcPr>
          <w:p w14:paraId="3CC9831B">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right w:val="single" w:color="000000" w:sz="6" w:space="0"/>
            </w:tcBorders>
          </w:tcPr>
          <w:p w14:paraId="08DF8B5C">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r>
              <w:rPr>
                <w:rFonts w:hint="eastAsia" w:ascii="仿宋" w:hAnsi="仿宋" w:eastAsia="仿宋" w:cs="仿宋"/>
                <w:color w:val="auto"/>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right w:val="single" w:color="000000" w:sz="6" w:space="0"/>
            </w:tcBorders>
          </w:tcPr>
          <w:p w14:paraId="4439D3AC">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right w:val="single" w:color="000000" w:sz="6" w:space="0"/>
            </w:tcBorders>
          </w:tcPr>
          <w:p w14:paraId="40F1C06B">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tcBorders>
          </w:tcPr>
          <w:p w14:paraId="63B8D508">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bl>
    <w:p w14:paraId="6F36E275">
      <w:pPr>
        <w:pStyle w:val="4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注：1.响应人应如实填写同类项目业绩，不得弄虚作假；</w:t>
      </w:r>
    </w:p>
    <w:p w14:paraId="64A2ED24">
      <w:pPr>
        <w:pStyle w:val="4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color w:val="auto"/>
          <w:spacing w:val="-15"/>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如果响应人没有同类经验业绩的，请在上表正文内容第一行填写“无”。</w:t>
      </w:r>
    </w:p>
    <w:p w14:paraId="42FDA60A">
      <w:pPr>
        <w:pStyle w:val="4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3.请按照商务评审表所列要求提供相应证明材料，否则不得分。</w:t>
      </w:r>
    </w:p>
    <w:p w14:paraId="1A72D586">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33F69C25">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50A285C0">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10706099">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77430D08">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5、履约评价情况</w:t>
      </w:r>
      <w:r>
        <w:rPr>
          <w:rFonts w:hint="eastAsia" w:ascii="仿宋" w:hAnsi="仿宋" w:eastAsia="仿宋" w:cs="仿宋"/>
          <w:b/>
          <w:bCs w:val="0"/>
          <w:color w:val="auto"/>
          <w:sz w:val="22"/>
          <w:szCs w:val="22"/>
          <w:highlight w:val="none"/>
          <w:lang w:val="en-US" w:eastAsia="zh-CN"/>
        </w:rPr>
        <w:t>（如有）</w:t>
      </w:r>
    </w:p>
    <w:p w14:paraId="347EC38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0"/>
          <w:szCs w:val="20"/>
          <w:highlight w:val="none"/>
        </w:rPr>
        <w:t>须提供与上述同类项目业绩吻合的履约评价情况，同一客户或同一项目提供多项满意度评价的，按一项计算。如提供履约评价的采购合同未被评审指标中“同类项目业绩”认可，则该履约评价无效。</w:t>
      </w:r>
    </w:p>
    <w:p w14:paraId="5C3B7359">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p>
    <w:p w14:paraId="0920D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40"/>
          <w:highlight w:val="none"/>
          <w:lang w:val="en-US" w:eastAsia="zh-CN"/>
        </w:rPr>
      </w:pPr>
    </w:p>
    <w:p w14:paraId="5B31C63A">
      <w:pPr>
        <w:pStyle w:val="31"/>
        <w:numPr>
          <w:ilvl w:val="0"/>
          <w:numId w:val="0"/>
        </w:numPr>
        <w:ind w:leftChars="200"/>
        <w:jc w:val="center"/>
        <w:rPr>
          <w:rFonts w:hint="eastAsia" w:ascii="宋体" w:hAnsi="宋体" w:cs="宋体"/>
          <w:b/>
          <w:bCs w:val="0"/>
          <w:color w:val="auto"/>
          <w:sz w:val="32"/>
          <w:szCs w:val="32"/>
          <w:highlight w:val="none"/>
          <w:lang w:val="en-US" w:eastAsia="zh-CN"/>
        </w:rPr>
      </w:pPr>
    </w:p>
    <w:p w14:paraId="5536A69B">
      <w:pPr>
        <w:pStyle w:val="31"/>
        <w:numPr>
          <w:ilvl w:val="0"/>
          <w:numId w:val="0"/>
        </w:numPr>
        <w:ind w:leftChars="200"/>
        <w:jc w:val="center"/>
        <w:rPr>
          <w:rFonts w:hint="eastAsia" w:ascii="宋体" w:hAnsi="宋体" w:cs="宋体"/>
          <w:b/>
          <w:bCs w:val="0"/>
          <w:color w:val="auto"/>
          <w:sz w:val="32"/>
          <w:szCs w:val="32"/>
          <w:highlight w:val="none"/>
          <w:lang w:val="en-US" w:eastAsia="zh-CN"/>
        </w:rPr>
      </w:pPr>
    </w:p>
    <w:p w14:paraId="4F9BBD5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15AA776B">
      <w:pPr>
        <w:pStyle w:val="3"/>
        <w:rPr>
          <w:rFonts w:hint="eastAsia" w:ascii="黑体" w:hAnsi="黑体" w:eastAsia="黑体" w:cs="黑体"/>
          <w:b/>
          <w:bCs/>
          <w:color w:val="auto"/>
          <w:sz w:val="40"/>
          <w:szCs w:val="40"/>
          <w:highlight w:val="none"/>
          <w:lang w:val="en-US" w:eastAsia="zh-CN"/>
        </w:rPr>
      </w:pPr>
    </w:p>
    <w:p w14:paraId="251F1A45">
      <w:pPr>
        <w:rPr>
          <w:rFonts w:hint="eastAsia"/>
          <w:color w:val="auto"/>
          <w:highlight w:val="none"/>
          <w:lang w:val="en-US" w:eastAsia="zh-CN"/>
        </w:rPr>
      </w:pPr>
    </w:p>
    <w:p w14:paraId="29186A02">
      <w:pPr>
        <w:rPr>
          <w:rFonts w:hint="eastAsia" w:ascii="黑体" w:hAnsi="黑体" w:eastAsia="黑体" w:cs="黑体"/>
          <w:b/>
          <w:bCs/>
          <w:color w:val="auto"/>
          <w:sz w:val="40"/>
          <w:szCs w:val="40"/>
          <w:highlight w:val="none"/>
          <w:lang w:val="en-US" w:eastAsia="zh-CN"/>
        </w:rPr>
      </w:pPr>
    </w:p>
    <w:p w14:paraId="4C53DC9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7066BD4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3E822D6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549D8B1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7BCB57F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68BBEEE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5BBFB6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30C0BF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1803221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40"/>
          <w:szCs w:val="40"/>
          <w:highlight w:val="none"/>
          <w:lang w:val="en-US" w:eastAsia="zh-CN"/>
        </w:rPr>
      </w:pPr>
    </w:p>
    <w:p w14:paraId="36626A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2"/>
          <w:szCs w:val="32"/>
          <w:highlight w:val="none"/>
          <w:lang w:eastAsia="zh-CN"/>
        </w:rPr>
      </w:pPr>
      <w:r>
        <w:rPr>
          <w:rFonts w:hint="eastAsia" w:ascii="黑体" w:hAnsi="黑体" w:eastAsia="黑体" w:cs="黑体"/>
          <w:b/>
          <w:bCs/>
          <w:color w:val="auto"/>
          <w:sz w:val="40"/>
          <w:szCs w:val="40"/>
          <w:highlight w:val="none"/>
          <w:lang w:val="en-US" w:eastAsia="zh-CN"/>
        </w:rPr>
        <w:t>四、服务评审</w:t>
      </w:r>
    </w:p>
    <w:p w14:paraId="1D483EF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一）服务评审</w:t>
      </w:r>
      <w:r>
        <w:rPr>
          <w:rFonts w:hint="eastAsia" w:ascii="仿宋" w:hAnsi="仿宋" w:eastAsia="仿宋" w:cs="仿宋"/>
          <w:b/>
          <w:bCs/>
          <w:color w:val="auto"/>
          <w:sz w:val="36"/>
          <w:szCs w:val="36"/>
          <w:highlight w:val="none"/>
        </w:rPr>
        <w:t>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2527"/>
        <w:gridCol w:w="2527"/>
        <w:gridCol w:w="1185"/>
        <w:gridCol w:w="1306"/>
        <w:gridCol w:w="895"/>
      </w:tblGrid>
      <w:tr w14:paraId="55164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0090405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56B4C8E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gridSpan w:val="2"/>
            <w:vAlign w:val="center"/>
          </w:tcPr>
          <w:p w14:paraId="37EC4AD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185" w:type="dxa"/>
            <w:vAlign w:val="center"/>
          </w:tcPr>
          <w:p w14:paraId="3DF6F9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提供情况</w:t>
            </w:r>
          </w:p>
        </w:tc>
        <w:tc>
          <w:tcPr>
            <w:tcW w:w="1306" w:type="dxa"/>
            <w:vAlign w:val="center"/>
          </w:tcPr>
          <w:p w14:paraId="69A877D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895" w:type="dxa"/>
            <w:vAlign w:val="center"/>
          </w:tcPr>
          <w:p w14:paraId="4E44CCD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628AB7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8" w:hRule="atLeast"/>
          <w:jc w:val="center"/>
        </w:trPr>
        <w:tc>
          <w:tcPr>
            <w:tcW w:w="641" w:type="dxa"/>
            <w:vAlign w:val="center"/>
          </w:tcPr>
          <w:p w14:paraId="312A155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063E65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sz w:val="20"/>
                <w:szCs w:val="20"/>
                <w:highlight w:val="none"/>
                <w:vertAlign w:val="baseline"/>
                <w:lang w:val="en-US" w:eastAsia="zh-CN"/>
              </w:rPr>
              <w:t>项目负责人情况</w:t>
            </w:r>
          </w:p>
        </w:tc>
        <w:tc>
          <w:tcPr>
            <w:tcW w:w="2527" w:type="dxa"/>
            <w:vAlign w:val="center"/>
          </w:tcPr>
          <w:p w14:paraId="585274E0">
            <w:pPr>
              <w:pStyle w:val="3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sz w:val="20"/>
                <w:szCs w:val="20"/>
                <w:highlight w:val="none"/>
              </w:rPr>
              <w:t>项目负责人承担过同类检测分析技术服务项目，每提供一项得2分，本项最高得4分。</w:t>
            </w:r>
          </w:p>
        </w:tc>
        <w:tc>
          <w:tcPr>
            <w:tcW w:w="2527" w:type="dxa"/>
            <w:vAlign w:val="center"/>
          </w:tcPr>
          <w:p w14:paraId="136AF65D">
            <w:pPr>
              <w:pStyle w:val="3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注：提供①项目负责人业绩经验合同关键页（合同关键页含签订合同双方的单位名称、合同项目名称、签订合同双方的落款盖章、合同概况、签订日期的关键页，需体现项目负责人名字，如无法体现项目负责人的名字，可提供甲方或用户盖章的资料）和②项目负责人在</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rPr>
              <w:t>截止时间前三个月内任意一个月在</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rPr>
              <w:t>购买社会保险参保人员缴费证明或单位代缴个人所得税税单或有效劳动合同复印件的证明。其他或未提供不得分。</w:t>
            </w:r>
          </w:p>
        </w:tc>
        <w:tc>
          <w:tcPr>
            <w:tcW w:w="1185" w:type="dxa"/>
            <w:vAlign w:val="center"/>
          </w:tcPr>
          <w:p w14:paraId="4958B16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无</w:t>
            </w:r>
          </w:p>
        </w:tc>
        <w:tc>
          <w:tcPr>
            <w:tcW w:w="1306" w:type="dxa"/>
            <w:vAlign w:val="center"/>
          </w:tcPr>
          <w:p w14:paraId="49A2739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50B3893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w:t>
            </w:r>
          </w:p>
        </w:tc>
      </w:tr>
      <w:tr w14:paraId="4176F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BF1719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73794EF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0"/>
                <w:szCs w:val="20"/>
                <w:highlight w:val="none"/>
              </w:rPr>
            </w:pPr>
            <w:r>
              <w:rPr>
                <w:rFonts w:hint="eastAsia" w:ascii="仿宋" w:hAnsi="仿宋" w:eastAsia="仿宋" w:cs="仿宋"/>
                <w:color w:val="auto"/>
                <w:sz w:val="21"/>
                <w:szCs w:val="21"/>
                <w:highlight w:val="none"/>
                <w:vertAlign w:val="baseline"/>
                <w:lang w:val="en-US" w:eastAsia="zh-CN"/>
              </w:rPr>
              <w:t>人员配置方案</w:t>
            </w:r>
          </w:p>
        </w:tc>
        <w:tc>
          <w:tcPr>
            <w:tcW w:w="2527" w:type="dxa"/>
            <w:vAlign w:val="center"/>
          </w:tcPr>
          <w:p w14:paraId="6EB5E9C3">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结合采购需求，根据供应商对本项目拟投入的服务人员配置方案进行评审：</w:t>
            </w:r>
          </w:p>
          <w:p w14:paraId="55CFA6A1">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供应商的人员配置方案详细、合理，资质完善，完全满足项目需求的，得8分；</w:t>
            </w:r>
          </w:p>
          <w:p w14:paraId="018F6E53">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供应商的人员配置方案较为详细、合理，资质较完善，较能满足项目需求的，得4分；</w:t>
            </w:r>
          </w:p>
          <w:p w14:paraId="3F3F6A99">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lang w:val="en-US" w:eastAsia="zh-CN"/>
              </w:rPr>
              <w:t>供应商的人员配置方案不够详细，有一定合理性，不能完全满足采购需求的，得1分。</w:t>
            </w:r>
          </w:p>
        </w:tc>
        <w:tc>
          <w:tcPr>
            <w:tcW w:w="2527" w:type="dxa"/>
            <w:vAlign w:val="center"/>
          </w:tcPr>
          <w:p w14:paraId="67FF6600">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注：同时提供服务人员配置方案、人员名单、资质证明及截至响应时间</w:t>
            </w:r>
            <w:r>
              <w:rPr>
                <w:rFonts w:hint="eastAsia" w:ascii="仿宋" w:hAnsi="仿宋" w:eastAsia="仿宋" w:cs="仿宋"/>
                <w:color w:val="auto"/>
                <w:sz w:val="20"/>
                <w:szCs w:val="20"/>
                <w:highlight w:val="none"/>
              </w:rPr>
              <w:t>截止时间前</w:t>
            </w:r>
            <w:r>
              <w:rPr>
                <w:rFonts w:hint="eastAsia" w:ascii="仿宋" w:hAnsi="仿宋" w:eastAsia="仿宋" w:cs="仿宋"/>
                <w:color w:val="auto"/>
                <w:sz w:val="21"/>
                <w:szCs w:val="21"/>
                <w:highlight w:val="none"/>
                <w:lang w:val="en-US" w:eastAsia="zh-CN"/>
              </w:rPr>
              <w:t>三个月内任意一个月的社保证明，提供不全或未提供不得分。</w:t>
            </w:r>
          </w:p>
        </w:tc>
        <w:tc>
          <w:tcPr>
            <w:tcW w:w="1185" w:type="dxa"/>
            <w:vAlign w:val="center"/>
          </w:tcPr>
          <w:p w14:paraId="3A39F75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072396A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2BFDB06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5C328C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Merge w:val="restart"/>
            <w:vAlign w:val="center"/>
          </w:tcPr>
          <w:p w14:paraId="32A7AD6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Merge w:val="restart"/>
            <w:vAlign w:val="center"/>
          </w:tcPr>
          <w:p w14:paraId="66264652">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服务方案</w:t>
            </w:r>
          </w:p>
        </w:tc>
        <w:tc>
          <w:tcPr>
            <w:tcW w:w="5054" w:type="dxa"/>
            <w:gridSpan w:val="2"/>
            <w:vAlign w:val="center"/>
          </w:tcPr>
          <w:p w14:paraId="585E6BE5">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（1）根据供应商提供的本项目实施方案，方案包括但不限于:①技术路线、②实施计划、③质量保障措施等进行综合评分：</w:t>
            </w:r>
          </w:p>
          <w:p w14:paraId="42F3475B">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每有一项方案内容且表述完整、科学、可行得4分，最高得12分；如内容不合理或有瑕疵的，每一项得2分，其余情况不得分。</w:t>
            </w:r>
          </w:p>
        </w:tc>
        <w:tc>
          <w:tcPr>
            <w:tcW w:w="1185" w:type="dxa"/>
            <w:vAlign w:val="center"/>
          </w:tcPr>
          <w:p w14:paraId="168B38C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66DE0A5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0BB99B8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D403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9" w:hRule="atLeast"/>
          <w:jc w:val="center"/>
        </w:trPr>
        <w:tc>
          <w:tcPr>
            <w:tcW w:w="641" w:type="dxa"/>
            <w:vMerge w:val="continue"/>
            <w:vAlign w:val="center"/>
          </w:tcPr>
          <w:p w14:paraId="40B441D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01DAF393">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0"/>
                <w:szCs w:val="20"/>
                <w:highlight w:val="none"/>
              </w:rPr>
            </w:pPr>
          </w:p>
        </w:tc>
        <w:tc>
          <w:tcPr>
            <w:tcW w:w="5054" w:type="dxa"/>
            <w:gridSpan w:val="2"/>
            <w:vAlign w:val="center"/>
          </w:tcPr>
          <w:p w14:paraId="215033F3">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（2）根据供应商提供的本项目服务方案，方案包括但不限于：①服务内容、②服务标准、③服务流程、④响应机制等进行综合评分：</w:t>
            </w:r>
          </w:p>
          <w:p w14:paraId="7510BB16">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sz w:val="20"/>
                <w:szCs w:val="20"/>
                <w:highlight w:val="none"/>
                <w:lang w:val="en-US" w:eastAsia="zh-CN"/>
              </w:rPr>
              <w:t>每有一项方案内容且表述完整、科学、可行得4分，最高得16分；如内容不合理或有瑕疵的，每一项得2分，其余情况不得分。</w:t>
            </w:r>
          </w:p>
        </w:tc>
        <w:tc>
          <w:tcPr>
            <w:tcW w:w="1185" w:type="dxa"/>
            <w:vAlign w:val="center"/>
          </w:tcPr>
          <w:p w14:paraId="25A8FCC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0E9AA8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654BFA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103B2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9" w:hRule="atLeast"/>
          <w:jc w:val="center"/>
        </w:trPr>
        <w:tc>
          <w:tcPr>
            <w:tcW w:w="641" w:type="dxa"/>
            <w:vMerge w:val="restart"/>
            <w:vAlign w:val="center"/>
          </w:tcPr>
          <w:p w14:paraId="3476746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6C43961E">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0"/>
                <w:szCs w:val="20"/>
                <w:highlight w:val="none"/>
              </w:rPr>
            </w:pPr>
            <w:r>
              <w:rPr>
                <w:rFonts w:hint="eastAsia" w:ascii="仿宋" w:hAnsi="仿宋" w:eastAsia="仿宋" w:cs="仿宋"/>
                <w:color w:val="auto"/>
                <w:sz w:val="21"/>
                <w:szCs w:val="21"/>
                <w:highlight w:val="none"/>
                <w:vertAlign w:val="baseline"/>
                <w:lang w:val="en-US" w:eastAsia="zh-CN"/>
              </w:rPr>
              <w:t>研究方案</w:t>
            </w:r>
          </w:p>
        </w:tc>
        <w:tc>
          <w:tcPr>
            <w:tcW w:w="5054" w:type="dxa"/>
            <w:gridSpan w:val="2"/>
            <w:vAlign w:val="center"/>
          </w:tcPr>
          <w:p w14:paraId="154E4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根据供应商提供的设计方案进行综合评分，包括：</w:t>
            </w:r>
          </w:p>
          <w:p w14:paraId="778EC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lang w:val="en-US" w:eastAsia="zh-CN"/>
              </w:rPr>
              <w:t>（1）方案设计契合度：结合研究课题背景、科研需求，以及围绕疾病临床特征，通过文献调研、相关分子病因机制、公开数据库、系统生物学理论资料为依据，实现方案设计策略契合。方案设计契合度高、符合项目特征得4分；方案设计契合度较高、较符合项目特征得2分；方案设计契合度一般、基本符合项目特征得1分；未提供得0分。</w:t>
            </w:r>
          </w:p>
        </w:tc>
        <w:tc>
          <w:tcPr>
            <w:tcW w:w="1185" w:type="dxa"/>
            <w:vAlign w:val="center"/>
          </w:tcPr>
          <w:p w14:paraId="789DADB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29BC31B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0DF32E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335285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7" w:hRule="atLeast"/>
          <w:jc w:val="center"/>
        </w:trPr>
        <w:tc>
          <w:tcPr>
            <w:tcW w:w="641" w:type="dxa"/>
            <w:vMerge w:val="continue"/>
            <w:vAlign w:val="center"/>
          </w:tcPr>
          <w:p w14:paraId="10D9F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40C2DF3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5054" w:type="dxa"/>
            <w:gridSpan w:val="2"/>
            <w:vAlign w:val="center"/>
          </w:tcPr>
          <w:p w14:paraId="72813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lang w:val="en-US" w:eastAsia="zh-CN"/>
              </w:rPr>
              <w:t>2）方案设计创新性：从临床队列方法学、遗传组学、检测技术、生物信息统计方法方面的设计，凸显研究的特色及创新价值。方案设计创新性强、符合项目特征得4分；方案设计创新性较强、较符合项目特征得2分；方案设计创新性一般、基本符合项目特征得1分；未提供得0分。</w:t>
            </w:r>
          </w:p>
        </w:tc>
        <w:tc>
          <w:tcPr>
            <w:tcW w:w="1185" w:type="dxa"/>
            <w:vAlign w:val="center"/>
          </w:tcPr>
          <w:p w14:paraId="0104E11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47C35BC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3CF951A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7479AD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9" w:hRule="atLeast"/>
          <w:jc w:val="center"/>
        </w:trPr>
        <w:tc>
          <w:tcPr>
            <w:tcW w:w="641" w:type="dxa"/>
            <w:vMerge w:val="continue"/>
            <w:vAlign w:val="center"/>
          </w:tcPr>
          <w:p w14:paraId="53D8779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2350DEE6">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5054" w:type="dxa"/>
            <w:gridSpan w:val="2"/>
            <w:vAlign w:val="center"/>
          </w:tcPr>
          <w:p w14:paraId="2317D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lang w:val="en-US" w:eastAsia="zh-CN"/>
              </w:rPr>
              <w:t>（3）方案设计完整性：需要整合临床流行病学、以遗传组为核心的多组学、生物统计学，构建系统完整的研究体系。方案设计完整性高、符合项目特征得4分；方案设计完整性较高、较符合项目特征得2分；方案设计完整性一般、基本符合项目特征得1分；未提供得0分。</w:t>
            </w:r>
          </w:p>
        </w:tc>
        <w:tc>
          <w:tcPr>
            <w:tcW w:w="1185" w:type="dxa"/>
            <w:vAlign w:val="center"/>
          </w:tcPr>
          <w:p w14:paraId="35B7854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7ED0F14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01E0D13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784FC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9" w:hRule="atLeast"/>
          <w:jc w:val="center"/>
        </w:trPr>
        <w:tc>
          <w:tcPr>
            <w:tcW w:w="641" w:type="dxa"/>
            <w:vMerge w:val="continue"/>
            <w:vAlign w:val="center"/>
          </w:tcPr>
          <w:p w14:paraId="07A0744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03703D1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vertAlign w:val="baseline"/>
                <w:lang w:val="en-US" w:eastAsia="zh-CN"/>
              </w:rPr>
            </w:pPr>
          </w:p>
        </w:tc>
        <w:tc>
          <w:tcPr>
            <w:tcW w:w="5054" w:type="dxa"/>
            <w:gridSpan w:val="2"/>
            <w:vAlign w:val="center"/>
          </w:tcPr>
          <w:p w14:paraId="5D56B6A1">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lang w:val="en-US" w:eastAsia="zh-CN"/>
              </w:rPr>
              <w:t>（4）方案设计延展性：基于中心法则和分子调控理论，方案需具有前瞻性设计，为后续该课题持续与其他组学的拓展研究提供支撑。方案设计延展性强、符合项目特征得4分；方案设计延展性较强、较符合项目特征得2分；方案设计延展性一般、基本符合项目特征得1分；未提供得0分。</w:t>
            </w:r>
          </w:p>
        </w:tc>
        <w:tc>
          <w:tcPr>
            <w:tcW w:w="1185" w:type="dxa"/>
            <w:vAlign w:val="center"/>
          </w:tcPr>
          <w:p w14:paraId="7917E60A">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有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无</w:t>
            </w:r>
          </w:p>
        </w:tc>
        <w:tc>
          <w:tcPr>
            <w:tcW w:w="1306" w:type="dxa"/>
            <w:vAlign w:val="center"/>
          </w:tcPr>
          <w:p w14:paraId="76A8D15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c>
          <w:tcPr>
            <w:tcW w:w="895" w:type="dxa"/>
            <w:vAlign w:val="center"/>
          </w:tcPr>
          <w:p w14:paraId="5853287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1BB771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提供相应的</w:t>
      </w:r>
      <w:r>
        <w:rPr>
          <w:rFonts w:hint="eastAsia" w:ascii="仿宋" w:hAnsi="仿宋" w:eastAsia="仿宋" w:cs="仿宋"/>
          <w:b/>
          <w:bCs/>
          <w:color w:val="auto"/>
          <w:sz w:val="21"/>
          <w:szCs w:val="21"/>
          <w:highlight w:val="none"/>
          <w:lang w:eastAsia="zh-CN"/>
        </w:rPr>
        <w:t>证明资料及填写页码</w:t>
      </w:r>
      <w:r>
        <w:rPr>
          <w:rFonts w:hint="eastAsia" w:ascii="仿宋" w:hAnsi="仿宋" w:eastAsia="仿宋" w:cs="仿宋"/>
          <w:b/>
          <w:bCs/>
          <w:color w:val="auto"/>
          <w:sz w:val="21"/>
          <w:szCs w:val="21"/>
          <w:highlight w:val="none"/>
        </w:rPr>
        <w:t>，如未提供，</w:t>
      </w:r>
      <w:r>
        <w:rPr>
          <w:rFonts w:hint="eastAsia" w:ascii="仿宋" w:hAnsi="仿宋" w:eastAsia="仿宋" w:cs="仿宋"/>
          <w:b/>
          <w:bCs/>
          <w:color w:val="auto"/>
          <w:sz w:val="21"/>
          <w:szCs w:val="21"/>
          <w:highlight w:val="none"/>
          <w:lang w:val="en-US" w:eastAsia="zh-CN"/>
        </w:rPr>
        <w:t>评审委员会</w:t>
      </w:r>
      <w:r>
        <w:rPr>
          <w:rFonts w:hint="eastAsia" w:ascii="仿宋" w:hAnsi="仿宋" w:eastAsia="仿宋" w:cs="仿宋"/>
          <w:b/>
          <w:bCs/>
          <w:color w:val="auto"/>
          <w:sz w:val="21"/>
          <w:szCs w:val="21"/>
          <w:highlight w:val="none"/>
        </w:rPr>
        <w:t>有权认为不具备或不符合，并影响响应人的得分。</w:t>
      </w:r>
    </w:p>
    <w:p w14:paraId="39AA0C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54EDFC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4F38F65">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2C51457C">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14:paraId="31FE9F25">
      <w:pPr>
        <w:pStyle w:val="31"/>
        <w:numPr>
          <w:ilvl w:val="0"/>
          <w:numId w:val="0"/>
        </w:numPr>
        <w:ind w:leftChars="0"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rPr>
        <w:t>、本自查表不得擅自删改。</w:t>
      </w:r>
    </w:p>
    <w:p w14:paraId="3672F950">
      <w:pPr>
        <w:pStyle w:val="31"/>
        <w:ind w:left="0" w:leftChars="0" w:firstLine="0" w:firstLineChars="0"/>
        <w:rPr>
          <w:rFonts w:hint="eastAsia" w:ascii="仿宋" w:hAnsi="仿宋" w:eastAsia="仿宋" w:cs="仿宋"/>
          <w:color w:val="auto"/>
          <w:highlight w:val="none"/>
        </w:rPr>
      </w:pPr>
    </w:p>
    <w:p w14:paraId="3AD8F309">
      <w:pPr>
        <w:pStyle w:val="31"/>
        <w:ind w:left="0" w:leftChars="0" w:firstLine="0" w:firstLineChars="0"/>
        <w:rPr>
          <w:rFonts w:hint="eastAsia" w:ascii="仿宋" w:hAnsi="仿宋" w:eastAsia="仿宋" w:cs="仿宋"/>
          <w:color w:val="auto"/>
          <w:highlight w:val="none"/>
        </w:rPr>
      </w:pPr>
    </w:p>
    <w:p w14:paraId="04B0B7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217175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F7A2D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E0EEA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32"/>
          <w:szCs w:val="28"/>
          <w:highlight w:val="none"/>
          <w:lang w:val="en-US" w:eastAsia="zh-CN"/>
        </w:rPr>
      </w:pP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二）服务评审证明资料</w:t>
      </w:r>
      <w:r>
        <w:rPr>
          <w:rFonts w:hint="eastAsia" w:ascii="仿宋" w:hAnsi="仿宋" w:eastAsia="仿宋" w:cs="仿宋"/>
          <w:b/>
          <w:bCs w:val="0"/>
          <w:color w:val="auto"/>
          <w:sz w:val="22"/>
          <w:szCs w:val="22"/>
          <w:highlight w:val="none"/>
          <w:lang w:val="en-US" w:eastAsia="zh-CN"/>
        </w:rPr>
        <w:t>（如有）</w:t>
      </w:r>
    </w:p>
    <w:p w14:paraId="733BC643">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1、项目负责人情况</w:t>
      </w:r>
      <w:r>
        <w:rPr>
          <w:rFonts w:hint="eastAsia" w:ascii="仿宋" w:hAnsi="仿宋" w:eastAsia="仿宋" w:cs="仿宋"/>
          <w:b/>
          <w:bCs w:val="0"/>
          <w:color w:val="auto"/>
          <w:sz w:val="22"/>
          <w:szCs w:val="22"/>
          <w:highlight w:val="none"/>
          <w:lang w:val="en-US" w:eastAsia="zh-CN"/>
        </w:rPr>
        <w:t>（如有）</w:t>
      </w:r>
    </w:p>
    <w:p w14:paraId="79F92DDA">
      <w:pPr>
        <w:pStyle w:val="2"/>
        <w:spacing w:line="364" w:lineRule="auto"/>
        <w:ind w:right="706" w:rightChars="0"/>
        <w:rPr>
          <w:rFonts w:hint="eastAsia" w:ascii="仿宋" w:hAnsi="仿宋" w:eastAsia="仿宋" w:cs="仿宋"/>
          <w:color w:val="auto"/>
          <w:sz w:val="24"/>
          <w:szCs w:val="36"/>
          <w:highlight w:val="none"/>
          <w:lang w:val="en-US" w:eastAsia="zh-CN"/>
        </w:rPr>
      </w:pPr>
      <w:r>
        <w:rPr>
          <w:rFonts w:hint="eastAsia" w:ascii="仿宋" w:hAnsi="仿宋" w:eastAsia="仿宋" w:cs="仿宋"/>
          <w:color w:val="auto"/>
          <w:highlight w:val="none"/>
        </w:rPr>
        <w:t>采购项目名称：中山大学孙逸仙纪念医院多组学测序揭示放射性脑病损伤机制的研究（空间组、单细胞转录组、蛋白质组和代谢组）检测分析技术服务采购项目</w:t>
      </w:r>
    </w:p>
    <w:tbl>
      <w:tblPr>
        <w:tblStyle w:val="24"/>
        <w:tblW w:w="993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gridCol w:w="1777"/>
      </w:tblGrid>
      <w:tr w14:paraId="4F6CD9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14:paraId="3425386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147" w:type="dxa"/>
            <w:tcBorders>
              <w:tl2br w:val="nil"/>
              <w:tr2bl w:val="nil"/>
            </w:tcBorders>
            <w:vAlign w:val="center"/>
          </w:tcPr>
          <w:p w14:paraId="7626D848">
            <w:pPr>
              <w:pStyle w:val="44"/>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color w:val="auto"/>
                <w:spacing w:val="0"/>
                <w:kern w:val="2"/>
                <w:sz w:val="21"/>
                <w:szCs w:val="24"/>
                <w:highlight w:val="none"/>
              </w:rPr>
            </w:pPr>
            <w:r>
              <w:rPr>
                <w:rFonts w:hint="eastAsia" w:ascii="仿宋" w:hAnsi="仿宋" w:eastAsia="仿宋" w:cs="仿宋"/>
                <w:color w:val="auto"/>
                <w:spacing w:val="0"/>
                <w:kern w:val="2"/>
                <w:sz w:val="21"/>
                <w:szCs w:val="24"/>
                <w:highlight w:val="none"/>
              </w:rPr>
              <w:t>姓名</w:t>
            </w:r>
          </w:p>
        </w:tc>
        <w:tc>
          <w:tcPr>
            <w:tcW w:w="970" w:type="dxa"/>
            <w:tcBorders>
              <w:tl2br w:val="nil"/>
              <w:tr2bl w:val="nil"/>
            </w:tcBorders>
            <w:vAlign w:val="center"/>
          </w:tcPr>
          <w:p w14:paraId="6F370C2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2150" w:type="dxa"/>
            <w:tcBorders>
              <w:tl2br w:val="nil"/>
              <w:tr2bl w:val="nil"/>
            </w:tcBorders>
            <w:vAlign w:val="center"/>
          </w:tcPr>
          <w:p w14:paraId="499CF3C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资格证书</w:t>
            </w:r>
          </w:p>
        </w:tc>
        <w:tc>
          <w:tcPr>
            <w:tcW w:w="1128" w:type="dxa"/>
            <w:tcBorders>
              <w:tl2br w:val="nil"/>
              <w:tr2bl w:val="nil"/>
            </w:tcBorders>
            <w:vAlign w:val="center"/>
          </w:tcPr>
          <w:p w14:paraId="6A9A28E1">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经验年限</w:t>
            </w:r>
          </w:p>
        </w:tc>
        <w:tc>
          <w:tcPr>
            <w:tcW w:w="2024" w:type="dxa"/>
            <w:tcBorders>
              <w:tl2br w:val="nil"/>
              <w:tr2bl w:val="nil"/>
            </w:tcBorders>
            <w:vAlign w:val="center"/>
          </w:tcPr>
          <w:p w14:paraId="21BEF417">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本项目拟担任职务</w:t>
            </w:r>
          </w:p>
        </w:tc>
        <w:tc>
          <w:tcPr>
            <w:tcW w:w="1777" w:type="dxa"/>
            <w:tcBorders>
              <w:tl2br w:val="nil"/>
              <w:tr2bl w:val="nil"/>
            </w:tcBorders>
            <w:vAlign w:val="center"/>
          </w:tcPr>
          <w:p w14:paraId="154DCC3D">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r>
      <w:tr w14:paraId="295F9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376B49A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3FFC6F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7907363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74013265">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highlight w:val="none"/>
                <w:lang w:val="en-US" w:eastAsia="zh-CN"/>
              </w:rPr>
            </w:pPr>
          </w:p>
        </w:tc>
        <w:tc>
          <w:tcPr>
            <w:tcW w:w="1128" w:type="dxa"/>
            <w:tcBorders>
              <w:tl2br w:val="nil"/>
              <w:tr2bl w:val="nil"/>
            </w:tcBorders>
            <w:vAlign w:val="center"/>
          </w:tcPr>
          <w:p w14:paraId="43122272">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558C912F">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default" w:ascii="仿宋" w:hAnsi="仿宋" w:eastAsia="仿宋" w:cs="仿宋"/>
                <w:color w:val="auto"/>
                <w:highlight w:val="none"/>
                <w:lang w:val="en-US" w:eastAsia="zh-CN"/>
              </w:rPr>
              <w:t>项目负责人</w:t>
            </w:r>
          </w:p>
        </w:tc>
        <w:tc>
          <w:tcPr>
            <w:tcW w:w="1777" w:type="dxa"/>
            <w:tcBorders>
              <w:tl2br w:val="nil"/>
              <w:tr2bl w:val="nil"/>
            </w:tcBorders>
            <w:vAlign w:val="center"/>
          </w:tcPr>
          <w:p w14:paraId="6204FBF0">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highlight w:val="none"/>
                <w:lang w:val="en-US" w:eastAsia="zh-CN"/>
              </w:rPr>
            </w:pPr>
          </w:p>
        </w:tc>
      </w:tr>
    </w:tbl>
    <w:p w14:paraId="1489CCC6">
      <w:pPr>
        <w:jc w:val="both"/>
        <w:rPr>
          <w:rFonts w:hint="eastAsia" w:ascii="仿宋" w:hAnsi="仿宋" w:eastAsia="仿宋" w:cs="仿宋"/>
          <w:color w:val="auto"/>
          <w:sz w:val="20"/>
          <w:szCs w:val="20"/>
          <w:highlight w:val="none"/>
        </w:rPr>
      </w:pP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39CF0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B151306">
            <w:pPr>
              <w:pStyle w:val="39"/>
              <w:keepNext w:val="0"/>
              <w:keepLines w:val="0"/>
              <w:suppressLineNumbers w:val="0"/>
              <w:spacing w:before="105" w:beforeAutospacing="0" w:after="0" w:afterAutospacing="0"/>
              <w:ind w:left="203" w:right="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序号</w:t>
            </w:r>
          </w:p>
        </w:tc>
        <w:tc>
          <w:tcPr>
            <w:tcW w:w="1491" w:type="dxa"/>
            <w:tcBorders>
              <w:left w:val="single" w:color="000000" w:sz="6" w:space="0"/>
              <w:bottom w:val="single" w:color="000000" w:sz="6" w:space="0"/>
              <w:right w:val="single" w:color="000000" w:sz="6" w:space="0"/>
            </w:tcBorders>
          </w:tcPr>
          <w:p w14:paraId="4DC778F2">
            <w:pPr>
              <w:pStyle w:val="39"/>
              <w:keepNext w:val="0"/>
              <w:keepLines w:val="0"/>
              <w:suppressLineNumbers w:val="0"/>
              <w:spacing w:before="105" w:beforeAutospacing="0" w:after="0" w:afterAutospacing="0"/>
              <w:ind w:left="0" w:right="0"/>
              <w:jc w:val="center"/>
              <w:rPr>
                <w:rFonts w:hint="eastAsia" w:ascii="仿宋" w:hAnsi="仿宋" w:eastAsia="仿宋" w:cs="仿宋"/>
                <w:b/>
                <w:color w:val="auto"/>
                <w:sz w:val="21"/>
                <w:highlight w:val="none"/>
                <w:lang w:val="en-US" w:eastAsia="zh-CN"/>
              </w:rPr>
            </w:pPr>
            <w:r>
              <w:rPr>
                <w:rFonts w:hint="eastAsia" w:ascii="仿宋" w:hAnsi="仿宋" w:eastAsia="仿宋" w:cs="仿宋"/>
                <w:b/>
                <w:color w:val="auto"/>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22F1B33">
            <w:pPr>
              <w:pStyle w:val="39"/>
              <w:keepNext w:val="0"/>
              <w:keepLines w:val="0"/>
              <w:suppressLineNumbers w:val="0"/>
              <w:spacing w:before="105" w:beforeAutospacing="0" w:after="0" w:afterAutospacing="0"/>
              <w:ind w:left="0" w:right="0"/>
              <w:jc w:val="center"/>
              <w:rPr>
                <w:rFonts w:hint="eastAsia" w:ascii="仿宋" w:hAnsi="仿宋" w:eastAsia="仿宋" w:cs="仿宋"/>
                <w:b/>
                <w:color w:val="auto"/>
                <w:sz w:val="21"/>
                <w:highlight w:val="none"/>
                <w:lang w:val="en-US" w:eastAsia="zh-CN"/>
              </w:rPr>
            </w:pPr>
            <w:r>
              <w:rPr>
                <w:rFonts w:hint="eastAsia" w:ascii="仿宋" w:hAnsi="仿宋" w:eastAsia="仿宋" w:cs="仿宋"/>
                <w:b/>
                <w:color w:val="auto"/>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3B68963F">
            <w:pPr>
              <w:pStyle w:val="39"/>
              <w:keepNext w:val="0"/>
              <w:keepLines w:val="0"/>
              <w:suppressLineNumbers w:val="0"/>
              <w:spacing w:before="105" w:beforeAutospacing="0" w:after="0" w:afterAutospacing="0"/>
              <w:ind w:left="0"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合同标的内容</w:t>
            </w:r>
          </w:p>
        </w:tc>
        <w:tc>
          <w:tcPr>
            <w:tcW w:w="1421" w:type="dxa"/>
            <w:tcBorders>
              <w:left w:val="single" w:color="000000" w:sz="6" w:space="0"/>
              <w:bottom w:val="single" w:color="000000" w:sz="6" w:space="0"/>
              <w:right w:val="single" w:color="000000" w:sz="6" w:space="0"/>
            </w:tcBorders>
          </w:tcPr>
          <w:p w14:paraId="27F8BD65">
            <w:pPr>
              <w:pStyle w:val="39"/>
              <w:keepNext w:val="0"/>
              <w:keepLines w:val="0"/>
              <w:suppressLineNumbers w:val="0"/>
              <w:spacing w:before="105" w:beforeAutospacing="0" w:after="0" w:afterAutospacing="0"/>
              <w:ind w:left="216" w:right="0"/>
              <w:rPr>
                <w:rFonts w:hint="eastAsia" w:ascii="仿宋" w:hAnsi="仿宋" w:eastAsia="仿宋" w:cs="仿宋"/>
                <w:b/>
                <w:color w:val="auto"/>
                <w:sz w:val="21"/>
                <w:highlight w:val="none"/>
                <w:lang w:val="en-US" w:eastAsia="zh-CN"/>
              </w:rPr>
            </w:pPr>
            <w:r>
              <w:rPr>
                <w:rFonts w:hint="eastAsia" w:ascii="仿宋" w:hAnsi="仿宋" w:eastAsia="仿宋" w:cs="仿宋"/>
                <w:b/>
                <w:color w:val="auto"/>
                <w:sz w:val="21"/>
                <w:highlight w:val="none"/>
              </w:rPr>
              <w:t>签约日期</w:t>
            </w:r>
          </w:p>
        </w:tc>
        <w:tc>
          <w:tcPr>
            <w:tcW w:w="1260" w:type="dxa"/>
            <w:tcBorders>
              <w:left w:val="single" w:color="000000" w:sz="6" w:space="0"/>
              <w:bottom w:val="single" w:color="000000" w:sz="6" w:space="0"/>
              <w:right w:val="single" w:color="000000" w:sz="6" w:space="0"/>
            </w:tcBorders>
          </w:tcPr>
          <w:p w14:paraId="3736EC0C">
            <w:pPr>
              <w:pStyle w:val="39"/>
              <w:keepNext w:val="0"/>
              <w:keepLines w:val="0"/>
              <w:suppressLineNumbers w:val="0"/>
              <w:spacing w:before="105" w:beforeAutospacing="0" w:after="0" w:afterAutospacing="0"/>
              <w:ind w:left="216" w:right="0"/>
              <w:jc w:val="both"/>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合同总价</w:t>
            </w:r>
          </w:p>
        </w:tc>
        <w:tc>
          <w:tcPr>
            <w:tcW w:w="2052" w:type="dxa"/>
            <w:tcBorders>
              <w:left w:val="single" w:color="000000" w:sz="6" w:space="0"/>
              <w:bottom w:val="single" w:color="000000" w:sz="6" w:space="0"/>
            </w:tcBorders>
          </w:tcPr>
          <w:p w14:paraId="095DD21F">
            <w:pPr>
              <w:pStyle w:val="39"/>
              <w:keepNext w:val="0"/>
              <w:keepLines w:val="0"/>
              <w:suppressLineNumbers w:val="0"/>
              <w:spacing w:before="105" w:beforeAutospacing="0" w:after="0" w:afterAutospacing="0"/>
              <w:ind w:left="192" w:right="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lang w:val="en-US" w:eastAsia="zh-CN"/>
              </w:rPr>
              <w:t>联系人</w:t>
            </w:r>
            <w:r>
              <w:rPr>
                <w:rFonts w:hint="eastAsia" w:ascii="仿宋" w:hAnsi="仿宋" w:eastAsia="仿宋" w:cs="仿宋"/>
                <w:b/>
                <w:color w:val="auto"/>
                <w:sz w:val="21"/>
                <w:highlight w:val="none"/>
              </w:rPr>
              <w:t>及电话</w:t>
            </w:r>
          </w:p>
        </w:tc>
      </w:tr>
      <w:tr w14:paraId="711AED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B34576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F5FE4D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14A968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DF2DFD4">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E6526B9">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EA57B73">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34E331CA">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72921B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4A7AD0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8B95FB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63B2C2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A909740">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A9B0EF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FB1209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00CA343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4E9146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82C54F3">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630211C">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F026F7D">
            <w:pPr>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1C0C0D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A440815">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C336AC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70C38B1C">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428171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65B40B3">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2E250EF">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0AD8D83">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9B85953">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6B9473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64D098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1B5DA8B9">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6619FB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5C2008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EA6C720">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D9E116E">
            <w:pPr>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03ED2D2">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685333B">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9A7ACAE">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bottom w:val="single" w:color="000000" w:sz="6" w:space="0"/>
            </w:tcBorders>
          </w:tcPr>
          <w:p w14:paraId="60FDC443">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r w14:paraId="290C30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703708A">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91" w:type="dxa"/>
            <w:tcBorders>
              <w:top w:val="single" w:color="000000" w:sz="6" w:space="0"/>
              <w:left w:val="single" w:color="000000" w:sz="6" w:space="0"/>
              <w:right w:val="single" w:color="000000" w:sz="6" w:space="0"/>
            </w:tcBorders>
          </w:tcPr>
          <w:p w14:paraId="7B327F46">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331" w:type="dxa"/>
            <w:tcBorders>
              <w:top w:val="single" w:color="000000" w:sz="6" w:space="0"/>
              <w:left w:val="single" w:color="000000" w:sz="6" w:space="0"/>
              <w:right w:val="single" w:color="000000" w:sz="6" w:space="0"/>
            </w:tcBorders>
          </w:tcPr>
          <w:p w14:paraId="6B7536D9">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r>
              <w:rPr>
                <w:rFonts w:hint="eastAsia" w:ascii="仿宋" w:hAnsi="仿宋" w:eastAsia="仿宋" w:cs="仿宋"/>
                <w:color w:val="auto"/>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16736165">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421" w:type="dxa"/>
            <w:tcBorders>
              <w:top w:val="single" w:color="000000" w:sz="6" w:space="0"/>
              <w:left w:val="single" w:color="000000" w:sz="6" w:space="0"/>
              <w:right w:val="single" w:color="000000" w:sz="6" w:space="0"/>
            </w:tcBorders>
          </w:tcPr>
          <w:p w14:paraId="6626F606">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1260" w:type="dxa"/>
            <w:tcBorders>
              <w:top w:val="single" w:color="000000" w:sz="6" w:space="0"/>
              <w:left w:val="single" w:color="000000" w:sz="6" w:space="0"/>
              <w:right w:val="single" w:color="000000" w:sz="6" w:space="0"/>
            </w:tcBorders>
          </w:tcPr>
          <w:p w14:paraId="38926468">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c>
          <w:tcPr>
            <w:tcW w:w="2052" w:type="dxa"/>
            <w:tcBorders>
              <w:top w:val="single" w:color="000000" w:sz="6" w:space="0"/>
              <w:left w:val="single" w:color="000000" w:sz="6" w:space="0"/>
            </w:tcBorders>
          </w:tcPr>
          <w:p w14:paraId="56F99D61">
            <w:pPr>
              <w:pStyle w:val="39"/>
              <w:keepNext w:val="0"/>
              <w:keepLines w:val="0"/>
              <w:suppressLineNumbers w:val="0"/>
              <w:spacing w:before="0" w:beforeAutospacing="0" w:after="0" w:afterAutospacing="0"/>
              <w:ind w:left="0" w:right="0"/>
              <w:rPr>
                <w:rFonts w:hint="eastAsia" w:ascii="仿宋" w:hAnsi="仿宋" w:eastAsia="仿宋" w:cs="仿宋"/>
                <w:color w:val="auto"/>
                <w:sz w:val="20"/>
                <w:highlight w:val="none"/>
              </w:rPr>
            </w:pPr>
          </w:p>
        </w:tc>
      </w:tr>
    </w:tbl>
    <w:p w14:paraId="628094E3">
      <w:pPr>
        <w:pStyle w:val="2"/>
        <w:rPr>
          <w:rFonts w:hint="eastAsia" w:ascii="仿宋" w:hAnsi="仿宋" w:eastAsia="仿宋" w:cs="仿宋"/>
          <w:color w:val="auto"/>
          <w:sz w:val="20"/>
          <w:szCs w:val="20"/>
          <w:highlight w:val="none"/>
        </w:rPr>
      </w:pPr>
    </w:p>
    <w:p w14:paraId="3B32EEB5">
      <w:pPr>
        <w:pStyle w:val="31"/>
        <w:ind w:left="0" w:leftChars="0" w:firstLine="0" w:firstLineChars="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注：1.响应人应如实填写拟</w:t>
      </w:r>
      <w:r>
        <w:rPr>
          <w:rFonts w:hint="eastAsia" w:ascii="仿宋" w:hAnsi="仿宋" w:eastAsia="仿宋" w:cs="仿宋"/>
          <w:color w:val="auto"/>
          <w:szCs w:val="21"/>
          <w:highlight w:val="none"/>
          <w:lang w:val="en-US" w:eastAsia="zh-CN"/>
        </w:rPr>
        <w:t>配备项目负责人情况资质</w:t>
      </w:r>
      <w:r>
        <w:rPr>
          <w:rFonts w:hint="eastAsia" w:ascii="仿宋" w:hAnsi="仿宋" w:eastAsia="仿宋" w:cs="仿宋"/>
          <w:color w:val="auto"/>
          <w:szCs w:val="21"/>
          <w:highlight w:val="none"/>
          <w:lang w:val="en-GB"/>
        </w:rPr>
        <w:t>情况，不得弄虚作假；</w:t>
      </w:r>
    </w:p>
    <w:p w14:paraId="3F90BB73">
      <w:pPr>
        <w:numPr>
          <w:ilvl w:val="0"/>
          <w:numId w:val="0"/>
        </w:numPr>
        <w:ind w:firstLine="420" w:firstLineChars="200"/>
        <w:jc w:val="both"/>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en-GB"/>
        </w:rPr>
        <w:t>请在表格下方附上所列人员的相关证明资料</w:t>
      </w:r>
      <w:r>
        <w:rPr>
          <w:rFonts w:hint="eastAsia" w:ascii="仿宋" w:hAnsi="仿宋" w:eastAsia="仿宋" w:cs="仿宋"/>
          <w:color w:val="auto"/>
          <w:szCs w:val="21"/>
          <w:highlight w:val="none"/>
          <w:lang w:val="en-GB" w:eastAsia="zh-CN"/>
        </w:rPr>
        <w:t>：须同时提供证书复印件和自202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en-GB" w:eastAsia="zh-CN"/>
        </w:rPr>
        <w:t>年</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en-GB" w:eastAsia="zh-CN"/>
        </w:rPr>
        <w:t>月以来任意一个月在供应商缴纳社保的证明材料复印件，证明资料缺一不可，加盖供应商公章。</w:t>
      </w:r>
    </w:p>
    <w:p w14:paraId="782B511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p>
    <w:p w14:paraId="5F32E8BA">
      <w:pPr>
        <w:pStyle w:val="2"/>
        <w:rPr>
          <w:rFonts w:hint="eastAsia" w:ascii="仿宋" w:hAnsi="仿宋" w:eastAsia="仿宋" w:cs="仿宋"/>
          <w:color w:val="auto"/>
          <w:sz w:val="24"/>
          <w:szCs w:val="24"/>
          <w:highlight w:val="none"/>
        </w:rPr>
      </w:pPr>
    </w:p>
    <w:p w14:paraId="0CCDFC6D">
      <w:pPr>
        <w:rPr>
          <w:rFonts w:hint="eastAsia" w:ascii="仿宋" w:hAnsi="仿宋" w:eastAsia="仿宋" w:cs="仿宋"/>
          <w:color w:val="auto"/>
          <w:sz w:val="24"/>
          <w:szCs w:val="24"/>
          <w:highlight w:val="none"/>
        </w:rPr>
      </w:pPr>
    </w:p>
    <w:p w14:paraId="5E5D1D32">
      <w:pPr>
        <w:pStyle w:val="2"/>
        <w:rPr>
          <w:rFonts w:hint="eastAsia" w:ascii="仿宋" w:hAnsi="仿宋" w:eastAsia="仿宋" w:cs="仿宋"/>
          <w:color w:val="auto"/>
          <w:sz w:val="24"/>
          <w:szCs w:val="24"/>
          <w:highlight w:val="none"/>
        </w:rPr>
      </w:pPr>
    </w:p>
    <w:p w14:paraId="4B0EF3C5">
      <w:pPr>
        <w:rPr>
          <w:rFonts w:hint="eastAsia" w:ascii="仿宋" w:hAnsi="仿宋" w:eastAsia="仿宋" w:cs="仿宋"/>
          <w:color w:val="auto"/>
          <w:sz w:val="24"/>
          <w:szCs w:val="24"/>
          <w:highlight w:val="none"/>
        </w:rPr>
      </w:pPr>
    </w:p>
    <w:p w14:paraId="74038811">
      <w:pPr>
        <w:pStyle w:val="2"/>
        <w:rPr>
          <w:rFonts w:hint="eastAsia" w:ascii="仿宋" w:hAnsi="仿宋" w:eastAsia="仿宋" w:cs="仿宋"/>
          <w:color w:val="auto"/>
          <w:sz w:val="24"/>
          <w:szCs w:val="24"/>
          <w:highlight w:val="none"/>
        </w:rPr>
      </w:pPr>
    </w:p>
    <w:p w14:paraId="6A419804">
      <w:pPr>
        <w:rPr>
          <w:rFonts w:hint="eastAsia" w:ascii="仿宋" w:hAnsi="仿宋" w:eastAsia="仿宋" w:cs="仿宋"/>
          <w:color w:val="auto"/>
          <w:sz w:val="24"/>
          <w:szCs w:val="24"/>
          <w:highlight w:val="none"/>
        </w:rPr>
      </w:pPr>
    </w:p>
    <w:p w14:paraId="149ECDE3">
      <w:pPr>
        <w:pStyle w:val="2"/>
        <w:rPr>
          <w:rFonts w:hint="eastAsia" w:ascii="仿宋" w:hAnsi="仿宋" w:eastAsia="仿宋" w:cs="仿宋"/>
          <w:color w:val="auto"/>
          <w:sz w:val="24"/>
          <w:szCs w:val="24"/>
          <w:highlight w:val="none"/>
        </w:rPr>
      </w:pPr>
    </w:p>
    <w:p w14:paraId="561267D0">
      <w:pPr>
        <w:rPr>
          <w:rFonts w:hint="eastAsia" w:ascii="仿宋" w:hAnsi="仿宋" w:eastAsia="仿宋" w:cs="仿宋"/>
          <w:color w:val="auto"/>
          <w:sz w:val="24"/>
          <w:szCs w:val="24"/>
          <w:highlight w:val="none"/>
        </w:rPr>
      </w:pPr>
    </w:p>
    <w:p w14:paraId="0A3075B7">
      <w:pPr>
        <w:pStyle w:val="2"/>
        <w:rPr>
          <w:rFonts w:hint="eastAsia" w:ascii="仿宋" w:hAnsi="仿宋" w:eastAsia="仿宋" w:cs="仿宋"/>
          <w:color w:val="auto"/>
          <w:sz w:val="24"/>
          <w:szCs w:val="24"/>
          <w:highlight w:val="none"/>
        </w:rPr>
      </w:pPr>
    </w:p>
    <w:p w14:paraId="5ABDCB4E">
      <w:pPr>
        <w:rPr>
          <w:rFonts w:hint="eastAsia" w:ascii="仿宋" w:hAnsi="仿宋" w:eastAsia="仿宋" w:cs="仿宋"/>
          <w:color w:val="auto"/>
          <w:sz w:val="24"/>
          <w:szCs w:val="24"/>
          <w:highlight w:val="none"/>
        </w:rPr>
      </w:pPr>
    </w:p>
    <w:p w14:paraId="0CD56AD0">
      <w:pPr>
        <w:pStyle w:val="2"/>
        <w:rPr>
          <w:rFonts w:hint="eastAsia" w:ascii="仿宋" w:hAnsi="仿宋" w:eastAsia="仿宋" w:cs="仿宋"/>
          <w:color w:val="auto"/>
          <w:sz w:val="24"/>
          <w:szCs w:val="24"/>
          <w:highlight w:val="none"/>
        </w:rPr>
      </w:pPr>
    </w:p>
    <w:p w14:paraId="57DDD4E4">
      <w:pPr>
        <w:rPr>
          <w:rFonts w:hint="eastAsia" w:ascii="仿宋" w:hAnsi="仿宋" w:eastAsia="仿宋" w:cs="仿宋"/>
          <w:color w:val="auto"/>
          <w:sz w:val="24"/>
          <w:szCs w:val="24"/>
          <w:highlight w:val="none"/>
        </w:rPr>
      </w:pPr>
    </w:p>
    <w:p w14:paraId="1F545E18">
      <w:pPr>
        <w:pStyle w:val="2"/>
        <w:rPr>
          <w:rFonts w:hint="eastAsia" w:ascii="仿宋" w:hAnsi="仿宋" w:eastAsia="仿宋" w:cs="仿宋"/>
          <w:color w:val="auto"/>
          <w:sz w:val="24"/>
          <w:szCs w:val="24"/>
          <w:highlight w:val="none"/>
        </w:rPr>
      </w:pPr>
    </w:p>
    <w:p w14:paraId="0CE6968F">
      <w:pPr>
        <w:rPr>
          <w:rFonts w:hint="eastAsia" w:ascii="仿宋" w:hAnsi="仿宋" w:eastAsia="仿宋" w:cs="仿宋"/>
          <w:color w:val="auto"/>
          <w:sz w:val="24"/>
          <w:szCs w:val="24"/>
          <w:highlight w:val="none"/>
        </w:rPr>
      </w:pPr>
    </w:p>
    <w:p w14:paraId="52B44A06">
      <w:pPr>
        <w:pStyle w:val="2"/>
        <w:rPr>
          <w:rFonts w:hint="eastAsia" w:ascii="仿宋" w:hAnsi="仿宋" w:eastAsia="仿宋" w:cs="仿宋"/>
          <w:color w:val="auto"/>
          <w:sz w:val="24"/>
          <w:szCs w:val="24"/>
          <w:highlight w:val="none"/>
        </w:rPr>
      </w:pPr>
    </w:p>
    <w:p w14:paraId="55AAEEED">
      <w:pPr>
        <w:rPr>
          <w:rFonts w:hint="eastAsia"/>
          <w:color w:val="auto"/>
          <w:highlight w:val="none"/>
        </w:rPr>
      </w:pPr>
    </w:p>
    <w:p w14:paraId="5DAD3E22">
      <w:pPr>
        <w:pStyle w:val="31"/>
        <w:numPr>
          <w:ilvl w:val="0"/>
          <w:numId w:val="0"/>
        </w:numPr>
        <w:ind w:leftChars="200"/>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2、人员配置方案情况</w:t>
      </w:r>
      <w:r>
        <w:rPr>
          <w:rFonts w:hint="eastAsia" w:ascii="仿宋" w:hAnsi="仿宋" w:eastAsia="仿宋" w:cs="仿宋"/>
          <w:b/>
          <w:bCs w:val="0"/>
          <w:color w:val="auto"/>
          <w:sz w:val="22"/>
          <w:szCs w:val="22"/>
          <w:highlight w:val="none"/>
          <w:lang w:val="en-US" w:eastAsia="zh-CN"/>
        </w:rPr>
        <w:t>（如有）</w:t>
      </w:r>
    </w:p>
    <w:tbl>
      <w:tblPr>
        <w:tblStyle w:val="24"/>
        <w:tblW w:w="993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gridCol w:w="1777"/>
      </w:tblGrid>
      <w:tr w14:paraId="76B5F0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14:paraId="1E0BA4A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147" w:type="dxa"/>
            <w:tcBorders>
              <w:tl2br w:val="nil"/>
              <w:tr2bl w:val="nil"/>
            </w:tcBorders>
            <w:vAlign w:val="center"/>
          </w:tcPr>
          <w:p w14:paraId="7BCD6351">
            <w:pPr>
              <w:pStyle w:val="44"/>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color w:val="auto"/>
                <w:spacing w:val="0"/>
                <w:kern w:val="2"/>
                <w:sz w:val="21"/>
                <w:szCs w:val="24"/>
                <w:highlight w:val="none"/>
              </w:rPr>
            </w:pPr>
            <w:r>
              <w:rPr>
                <w:rFonts w:hint="eastAsia" w:ascii="仿宋" w:hAnsi="仿宋" w:eastAsia="仿宋" w:cs="仿宋"/>
                <w:color w:val="auto"/>
                <w:spacing w:val="0"/>
                <w:kern w:val="2"/>
                <w:sz w:val="21"/>
                <w:szCs w:val="24"/>
                <w:highlight w:val="none"/>
              </w:rPr>
              <w:t>姓名</w:t>
            </w:r>
          </w:p>
        </w:tc>
        <w:tc>
          <w:tcPr>
            <w:tcW w:w="970" w:type="dxa"/>
            <w:tcBorders>
              <w:tl2br w:val="nil"/>
              <w:tr2bl w:val="nil"/>
            </w:tcBorders>
            <w:vAlign w:val="center"/>
          </w:tcPr>
          <w:p w14:paraId="1DFB3D9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2150" w:type="dxa"/>
            <w:tcBorders>
              <w:tl2br w:val="nil"/>
              <w:tr2bl w:val="nil"/>
            </w:tcBorders>
            <w:vAlign w:val="center"/>
          </w:tcPr>
          <w:p w14:paraId="2D116BA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资格证书</w:t>
            </w:r>
          </w:p>
        </w:tc>
        <w:tc>
          <w:tcPr>
            <w:tcW w:w="1128" w:type="dxa"/>
            <w:tcBorders>
              <w:tl2br w:val="nil"/>
              <w:tr2bl w:val="nil"/>
            </w:tcBorders>
            <w:vAlign w:val="center"/>
          </w:tcPr>
          <w:p w14:paraId="133CFEB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经验年限</w:t>
            </w:r>
          </w:p>
        </w:tc>
        <w:tc>
          <w:tcPr>
            <w:tcW w:w="2024" w:type="dxa"/>
            <w:tcBorders>
              <w:tl2br w:val="nil"/>
              <w:tr2bl w:val="nil"/>
            </w:tcBorders>
            <w:vAlign w:val="center"/>
          </w:tcPr>
          <w:p w14:paraId="1CE75BCE">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本项目拟担任职务</w:t>
            </w:r>
          </w:p>
        </w:tc>
        <w:tc>
          <w:tcPr>
            <w:tcW w:w="1777" w:type="dxa"/>
            <w:tcBorders>
              <w:tl2br w:val="nil"/>
              <w:tr2bl w:val="nil"/>
            </w:tcBorders>
            <w:vAlign w:val="center"/>
          </w:tcPr>
          <w:p w14:paraId="6E690A1A">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r>
      <w:tr w14:paraId="3CBB8E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6F13D2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0243DA6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76AEA19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10179CBA">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highlight w:val="none"/>
                <w:lang w:val="en-US" w:eastAsia="zh-CN"/>
              </w:rPr>
            </w:pPr>
          </w:p>
        </w:tc>
        <w:tc>
          <w:tcPr>
            <w:tcW w:w="1128" w:type="dxa"/>
            <w:tcBorders>
              <w:tl2br w:val="nil"/>
              <w:tr2bl w:val="nil"/>
            </w:tcBorders>
            <w:vAlign w:val="center"/>
          </w:tcPr>
          <w:p w14:paraId="65351B35">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5CA8E908">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实验技术员</w:t>
            </w:r>
          </w:p>
        </w:tc>
        <w:tc>
          <w:tcPr>
            <w:tcW w:w="1777" w:type="dxa"/>
            <w:tcBorders>
              <w:tl2br w:val="nil"/>
              <w:tr2bl w:val="nil"/>
            </w:tcBorders>
            <w:vAlign w:val="center"/>
          </w:tcPr>
          <w:p w14:paraId="48C2F573">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highlight w:val="none"/>
                <w:lang w:val="en-US" w:eastAsia="zh-CN"/>
              </w:rPr>
            </w:pPr>
          </w:p>
        </w:tc>
      </w:tr>
      <w:tr w14:paraId="7E733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0C3DE0E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6CD7DB4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0EC65C1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740BE0E8">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highlight w:val="none"/>
              </w:rPr>
            </w:pPr>
          </w:p>
        </w:tc>
        <w:tc>
          <w:tcPr>
            <w:tcW w:w="1128" w:type="dxa"/>
            <w:tcBorders>
              <w:tl2br w:val="nil"/>
              <w:tr2bl w:val="nil"/>
            </w:tcBorders>
            <w:vAlign w:val="center"/>
          </w:tcPr>
          <w:p w14:paraId="34FD7EC1">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291681AB">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生信分析工程师</w:t>
            </w:r>
          </w:p>
        </w:tc>
        <w:tc>
          <w:tcPr>
            <w:tcW w:w="1777" w:type="dxa"/>
            <w:tcBorders>
              <w:tl2br w:val="nil"/>
              <w:tr2bl w:val="nil"/>
            </w:tcBorders>
            <w:vAlign w:val="center"/>
          </w:tcPr>
          <w:p w14:paraId="4F20C5D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p>
        </w:tc>
      </w:tr>
      <w:tr w14:paraId="32C690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06719C8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447CDC3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04CF79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5B00F07A">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highlight w:val="none"/>
              </w:rPr>
            </w:pPr>
          </w:p>
        </w:tc>
        <w:tc>
          <w:tcPr>
            <w:tcW w:w="1128" w:type="dxa"/>
            <w:tcBorders>
              <w:tl2br w:val="nil"/>
              <w:tr2bl w:val="nil"/>
            </w:tcBorders>
            <w:vAlign w:val="center"/>
          </w:tcPr>
          <w:p w14:paraId="4D622B09">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479BABCA">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技术支持人员</w:t>
            </w:r>
          </w:p>
        </w:tc>
        <w:tc>
          <w:tcPr>
            <w:tcW w:w="1777" w:type="dxa"/>
            <w:tcBorders>
              <w:tl2br w:val="nil"/>
              <w:tr2bl w:val="nil"/>
            </w:tcBorders>
            <w:vAlign w:val="center"/>
          </w:tcPr>
          <w:p w14:paraId="3D21B29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p>
        </w:tc>
      </w:tr>
      <w:tr w14:paraId="032970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7BD1B2A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63E6295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1DE3C20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5F10FBD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28" w:type="dxa"/>
            <w:tcBorders>
              <w:tl2br w:val="nil"/>
              <w:tr2bl w:val="nil"/>
            </w:tcBorders>
            <w:vAlign w:val="center"/>
          </w:tcPr>
          <w:p w14:paraId="4D884A1D">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59195A7A">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p>
        </w:tc>
        <w:tc>
          <w:tcPr>
            <w:tcW w:w="1777" w:type="dxa"/>
            <w:tcBorders>
              <w:tl2br w:val="nil"/>
              <w:tr2bl w:val="nil"/>
            </w:tcBorders>
            <w:vAlign w:val="center"/>
          </w:tcPr>
          <w:p w14:paraId="58462B9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p>
        </w:tc>
      </w:tr>
      <w:tr w14:paraId="0AD9C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69FAF87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0E28F66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28A7AD6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6F0B21A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28" w:type="dxa"/>
            <w:tcBorders>
              <w:tl2br w:val="nil"/>
              <w:tr2bl w:val="nil"/>
            </w:tcBorders>
            <w:vAlign w:val="center"/>
          </w:tcPr>
          <w:p w14:paraId="4B626F7F">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5EFC5A08">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4"/>
                <w:highlight w:val="none"/>
                <w:lang w:val="en-US" w:eastAsia="zh-CN" w:bidi="ar-SA"/>
              </w:rPr>
            </w:pPr>
          </w:p>
        </w:tc>
        <w:tc>
          <w:tcPr>
            <w:tcW w:w="1777" w:type="dxa"/>
            <w:tcBorders>
              <w:tl2br w:val="nil"/>
              <w:tr2bl w:val="nil"/>
            </w:tcBorders>
            <w:vAlign w:val="center"/>
          </w:tcPr>
          <w:p w14:paraId="7A7906B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p>
        </w:tc>
      </w:tr>
      <w:tr w14:paraId="241BC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7E74E3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6B5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3D1BD39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1B3D310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28" w:type="dxa"/>
            <w:tcBorders>
              <w:tl2br w:val="nil"/>
              <w:tr2bl w:val="nil"/>
            </w:tcBorders>
            <w:vAlign w:val="center"/>
          </w:tcPr>
          <w:p w14:paraId="599CEF4C">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4F8DCF48">
            <w:pPr>
              <w:keepNext w:val="0"/>
              <w:keepLines w:val="0"/>
              <w:suppressLineNumbers w:val="0"/>
              <w:spacing w:before="0" w:beforeAutospacing="0" w:after="0" w:afterAutospacing="0" w:line="360" w:lineRule="auto"/>
              <w:ind w:left="0" w:right="0" w:rightChars="0"/>
              <w:jc w:val="center"/>
              <w:rPr>
                <w:rFonts w:hint="eastAsia" w:ascii="仿宋" w:hAnsi="仿宋" w:eastAsia="仿宋" w:cs="仿宋"/>
                <w:color w:val="auto"/>
                <w:kern w:val="2"/>
                <w:sz w:val="21"/>
                <w:szCs w:val="24"/>
                <w:highlight w:val="none"/>
                <w:lang w:val="en-US" w:eastAsia="zh-CN" w:bidi="ar-SA"/>
              </w:rPr>
            </w:pPr>
          </w:p>
        </w:tc>
        <w:tc>
          <w:tcPr>
            <w:tcW w:w="1777" w:type="dxa"/>
            <w:tcBorders>
              <w:tl2br w:val="nil"/>
              <w:tr2bl w:val="nil"/>
            </w:tcBorders>
            <w:vAlign w:val="center"/>
          </w:tcPr>
          <w:p w14:paraId="13995B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仿宋" w:hAnsi="仿宋" w:eastAsia="仿宋" w:cs="仿宋"/>
                <w:color w:val="auto"/>
                <w:highlight w:val="none"/>
              </w:rPr>
            </w:pPr>
          </w:p>
        </w:tc>
      </w:tr>
      <w:tr w14:paraId="5305E1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7712E65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47" w:type="dxa"/>
            <w:tcBorders>
              <w:tl2br w:val="nil"/>
              <w:tr2bl w:val="nil"/>
            </w:tcBorders>
            <w:vAlign w:val="center"/>
          </w:tcPr>
          <w:p w14:paraId="2178804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970" w:type="dxa"/>
            <w:tcBorders>
              <w:tl2br w:val="nil"/>
              <w:tr2bl w:val="nil"/>
            </w:tcBorders>
            <w:vAlign w:val="center"/>
          </w:tcPr>
          <w:p w14:paraId="74D2A66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2150" w:type="dxa"/>
            <w:tcBorders>
              <w:tl2br w:val="nil"/>
              <w:tr2bl w:val="nil"/>
            </w:tcBorders>
            <w:vAlign w:val="center"/>
          </w:tcPr>
          <w:p w14:paraId="4850CAE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c>
          <w:tcPr>
            <w:tcW w:w="1128" w:type="dxa"/>
            <w:tcBorders>
              <w:tl2br w:val="nil"/>
              <w:tr2bl w:val="nil"/>
            </w:tcBorders>
            <w:vAlign w:val="center"/>
          </w:tcPr>
          <w:p w14:paraId="4D573AD1">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color w:val="auto"/>
                <w:kern w:val="2"/>
                <w:sz w:val="21"/>
                <w:szCs w:val="24"/>
                <w:highlight w:val="none"/>
                <w:lang w:val="en-US" w:eastAsia="zh-CN" w:bidi="ar-SA"/>
              </w:rPr>
            </w:pPr>
          </w:p>
        </w:tc>
        <w:tc>
          <w:tcPr>
            <w:tcW w:w="2024" w:type="dxa"/>
            <w:tcBorders>
              <w:tl2br w:val="nil"/>
              <w:tr2bl w:val="nil"/>
            </w:tcBorders>
            <w:vAlign w:val="center"/>
          </w:tcPr>
          <w:p w14:paraId="6911A855">
            <w:pPr>
              <w:keepNext w:val="0"/>
              <w:keepLines w:val="0"/>
              <w:suppressLineNumbers w:val="0"/>
              <w:spacing w:before="0" w:beforeAutospacing="0" w:after="0" w:afterAutospacing="0" w:line="360" w:lineRule="auto"/>
              <w:ind w:left="0" w:right="0"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eastAsia="zh-CN"/>
              </w:rPr>
              <w:t>……</w:t>
            </w:r>
          </w:p>
        </w:tc>
        <w:tc>
          <w:tcPr>
            <w:tcW w:w="1777" w:type="dxa"/>
            <w:tcBorders>
              <w:tl2br w:val="nil"/>
              <w:tr2bl w:val="nil"/>
            </w:tcBorders>
            <w:vAlign w:val="center"/>
          </w:tcPr>
          <w:p w14:paraId="5F45BD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color w:val="auto"/>
                <w:highlight w:val="none"/>
              </w:rPr>
            </w:pPr>
          </w:p>
        </w:tc>
      </w:tr>
    </w:tbl>
    <w:p w14:paraId="7BE1CA90">
      <w:pPr>
        <w:jc w:val="both"/>
        <w:rPr>
          <w:rFonts w:hint="eastAsia" w:ascii="仿宋" w:hAnsi="仿宋" w:eastAsia="仿宋" w:cs="仿宋"/>
          <w:color w:val="auto"/>
          <w:sz w:val="20"/>
          <w:szCs w:val="20"/>
          <w:highlight w:val="none"/>
        </w:rPr>
      </w:pPr>
    </w:p>
    <w:p w14:paraId="22E12944">
      <w:pPr>
        <w:pStyle w:val="31"/>
        <w:ind w:left="0" w:leftChars="0" w:firstLine="0" w:firstLineChars="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注：1.响应人应如实填写拟</w:t>
      </w:r>
      <w:r>
        <w:rPr>
          <w:rFonts w:hint="eastAsia" w:ascii="仿宋" w:hAnsi="仿宋" w:eastAsia="仿宋" w:cs="仿宋"/>
          <w:color w:val="auto"/>
          <w:szCs w:val="21"/>
          <w:highlight w:val="none"/>
          <w:lang w:val="en-US" w:eastAsia="zh-CN"/>
        </w:rPr>
        <w:t>配备项目负责人情况资质</w:t>
      </w:r>
      <w:r>
        <w:rPr>
          <w:rFonts w:hint="eastAsia" w:ascii="仿宋" w:hAnsi="仿宋" w:eastAsia="仿宋" w:cs="仿宋"/>
          <w:color w:val="auto"/>
          <w:szCs w:val="21"/>
          <w:highlight w:val="none"/>
          <w:lang w:val="en-GB"/>
        </w:rPr>
        <w:t>情况，不得弄虚作假；</w:t>
      </w:r>
    </w:p>
    <w:p w14:paraId="2E2B96DE">
      <w:pPr>
        <w:numPr>
          <w:ilvl w:val="0"/>
          <w:numId w:val="0"/>
        </w:numPr>
        <w:ind w:firstLine="420" w:firstLineChars="200"/>
        <w:jc w:val="both"/>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en-GB"/>
        </w:rPr>
        <w:t>请在表格下方附上所列人员的相关证明资料</w:t>
      </w:r>
      <w:r>
        <w:rPr>
          <w:rFonts w:hint="eastAsia" w:ascii="仿宋" w:hAnsi="仿宋" w:eastAsia="仿宋" w:cs="仿宋"/>
          <w:color w:val="auto"/>
          <w:szCs w:val="21"/>
          <w:highlight w:val="none"/>
          <w:lang w:val="en-GB" w:eastAsia="zh-CN"/>
        </w:rPr>
        <w:t>：须同时提供证书复印件和自202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en-GB" w:eastAsia="zh-CN"/>
        </w:rPr>
        <w:t>年</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en-GB" w:eastAsia="zh-CN"/>
        </w:rPr>
        <w:t>月以来任意一个月在供应商缴纳社保的证明材料复印件，证明资料缺一不可，加盖供应商公章。</w:t>
      </w:r>
    </w:p>
    <w:p w14:paraId="77DEA3D0">
      <w:pPr>
        <w:pStyle w:val="2"/>
        <w:numPr>
          <w:ilvl w:val="0"/>
          <w:numId w:val="0"/>
        </w:numPr>
        <w:ind w:firstLine="482" w:firstLineChars="200"/>
        <w:rPr>
          <w:rFonts w:hint="eastAsia" w:ascii="仿宋" w:hAnsi="仿宋" w:eastAsia="仿宋" w:cs="仿宋"/>
          <w:b/>
          <w:bCs/>
          <w:color w:val="auto"/>
          <w:kern w:val="2"/>
          <w:sz w:val="24"/>
          <w:szCs w:val="24"/>
          <w:highlight w:val="none"/>
          <w:lang w:val="en-GB" w:eastAsia="zh-CN" w:bidi="ar-SA"/>
        </w:rPr>
      </w:pPr>
      <w:r>
        <w:rPr>
          <w:rFonts w:hint="eastAsia" w:ascii="仿宋" w:hAnsi="仿宋" w:eastAsia="仿宋" w:cs="仿宋"/>
          <w:b/>
          <w:bCs/>
          <w:color w:val="auto"/>
          <w:kern w:val="2"/>
          <w:sz w:val="24"/>
          <w:szCs w:val="24"/>
          <w:highlight w:val="none"/>
          <w:lang w:val="en-US" w:eastAsia="zh-CN" w:bidi="ar-SA"/>
        </w:rPr>
        <w:t>3.除以上表格外，响应供应商还需提供具体的配置方案（方案包括但不限于:服务团队组建规划、服务团队配置方案、团队管理与协作机制、团队协作与沟通机制、人员变动与应急预案等）。</w:t>
      </w:r>
    </w:p>
    <w:p w14:paraId="6D88C156">
      <w:pPr>
        <w:pStyle w:val="34"/>
        <w:rPr>
          <w:rFonts w:hint="eastAsia" w:ascii="仿宋" w:hAnsi="仿宋" w:eastAsia="仿宋" w:cs="仿宋"/>
          <w:b/>
          <w:bCs w:val="0"/>
          <w:color w:val="auto"/>
          <w:sz w:val="28"/>
          <w:szCs w:val="28"/>
          <w:highlight w:val="none"/>
          <w:lang w:eastAsia="zh-CN"/>
        </w:rPr>
      </w:pPr>
    </w:p>
    <w:p w14:paraId="2A048C7D">
      <w:pPr>
        <w:pStyle w:val="34"/>
        <w:rPr>
          <w:rFonts w:hint="eastAsia" w:ascii="仿宋" w:hAnsi="仿宋" w:eastAsia="仿宋" w:cs="仿宋"/>
          <w:b/>
          <w:bCs w:val="0"/>
          <w:color w:val="auto"/>
          <w:sz w:val="28"/>
          <w:szCs w:val="28"/>
          <w:highlight w:val="none"/>
          <w:lang w:eastAsia="zh-CN"/>
        </w:rPr>
      </w:pPr>
    </w:p>
    <w:p w14:paraId="1821E870">
      <w:pPr>
        <w:pStyle w:val="34"/>
        <w:rPr>
          <w:rFonts w:hint="eastAsia" w:ascii="仿宋" w:hAnsi="仿宋" w:eastAsia="仿宋" w:cs="仿宋"/>
          <w:b/>
          <w:bCs w:val="0"/>
          <w:color w:val="auto"/>
          <w:sz w:val="28"/>
          <w:szCs w:val="28"/>
          <w:highlight w:val="none"/>
          <w:lang w:eastAsia="zh-CN"/>
        </w:rPr>
      </w:pPr>
    </w:p>
    <w:p w14:paraId="35CBBA8A">
      <w:pPr>
        <w:pStyle w:val="34"/>
        <w:rPr>
          <w:rFonts w:hint="eastAsia" w:ascii="仿宋" w:hAnsi="仿宋" w:eastAsia="仿宋" w:cs="仿宋"/>
          <w:b/>
          <w:bCs w:val="0"/>
          <w:color w:val="auto"/>
          <w:sz w:val="28"/>
          <w:szCs w:val="28"/>
          <w:highlight w:val="none"/>
          <w:lang w:eastAsia="zh-CN"/>
        </w:rPr>
      </w:pPr>
    </w:p>
    <w:p w14:paraId="2FB6C6B3">
      <w:pPr>
        <w:pStyle w:val="34"/>
        <w:rPr>
          <w:rFonts w:hint="eastAsia" w:ascii="仿宋" w:hAnsi="仿宋" w:eastAsia="仿宋" w:cs="仿宋"/>
          <w:b/>
          <w:bCs w:val="0"/>
          <w:color w:val="auto"/>
          <w:sz w:val="28"/>
          <w:szCs w:val="28"/>
          <w:highlight w:val="none"/>
          <w:lang w:eastAsia="zh-CN"/>
        </w:rPr>
      </w:pPr>
    </w:p>
    <w:p w14:paraId="32D66523">
      <w:pPr>
        <w:pStyle w:val="34"/>
        <w:rPr>
          <w:rFonts w:hint="eastAsia" w:ascii="仿宋" w:hAnsi="仿宋" w:eastAsia="仿宋" w:cs="仿宋"/>
          <w:b/>
          <w:bCs w:val="0"/>
          <w:color w:val="auto"/>
          <w:sz w:val="28"/>
          <w:szCs w:val="28"/>
          <w:highlight w:val="none"/>
          <w:lang w:eastAsia="zh-CN"/>
        </w:rPr>
      </w:pPr>
    </w:p>
    <w:p w14:paraId="10633D22">
      <w:pPr>
        <w:pStyle w:val="34"/>
        <w:rPr>
          <w:rFonts w:hint="eastAsia" w:ascii="仿宋" w:hAnsi="仿宋" w:eastAsia="仿宋" w:cs="仿宋"/>
          <w:b/>
          <w:bCs w:val="0"/>
          <w:color w:val="auto"/>
          <w:sz w:val="28"/>
          <w:szCs w:val="28"/>
          <w:highlight w:val="none"/>
          <w:lang w:eastAsia="zh-CN"/>
        </w:rPr>
      </w:pPr>
    </w:p>
    <w:p w14:paraId="2A06523A">
      <w:pPr>
        <w:pStyle w:val="34"/>
        <w:rPr>
          <w:rFonts w:hint="eastAsia" w:ascii="仿宋" w:hAnsi="仿宋" w:eastAsia="仿宋" w:cs="仿宋"/>
          <w:b/>
          <w:bCs w:val="0"/>
          <w:color w:val="auto"/>
          <w:sz w:val="28"/>
          <w:szCs w:val="28"/>
          <w:highlight w:val="none"/>
          <w:lang w:eastAsia="zh-CN"/>
        </w:rPr>
      </w:pPr>
    </w:p>
    <w:p w14:paraId="7988F637">
      <w:pPr>
        <w:pStyle w:val="34"/>
        <w:rPr>
          <w:rFonts w:hint="eastAsia" w:ascii="仿宋" w:hAnsi="仿宋" w:eastAsia="仿宋" w:cs="仿宋"/>
          <w:b/>
          <w:bCs w:val="0"/>
          <w:color w:val="auto"/>
          <w:sz w:val="28"/>
          <w:szCs w:val="28"/>
          <w:highlight w:val="none"/>
          <w:lang w:eastAsia="zh-CN"/>
        </w:rPr>
      </w:pPr>
    </w:p>
    <w:p w14:paraId="3D9F4506">
      <w:pPr>
        <w:pStyle w:val="34"/>
        <w:rPr>
          <w:rFonts w:hint="eastAsia" w:ascii="仿宋" w:hAnsi="仿宋" w:eastAsia="仿宋" w:cs="仿宋"/>
          <w:b/>
          <w:bCs w:val="0"/>
          <w:color w:val="auto"/>
          <w:sz w:val="28"/>
          <w:szCs w:val="28"/>
          <w:highlight w:val="none"/>
          <w:lang w:eastAsia="zh-CN"/>
        </w:rPr>
      </w:pPr>
    </w:p>
    <w:p w14:paraId="65015C0B">
      <w:pPr>
        <w:pStyle w:val="34"/>
        <w:rPr>
          <w:rFonts w:hint="eastAsia" w:ascii="仿宋" w:hAnsi="仿宋" w:eastAsia="仿宋" w:cs="仿宋"/>
          <w:b/>
          <w:bCs w:val="0"/>
          <w:color w:val="auto"/>
          <w:sz w:val="28"/>
          <w:szCs w:val="28"/>
          <w:highlight w:val="none"/>
          <w:lang w:eastAsia="zh-CN"/>
        </w:rPr>
      </w:pPr>
    </w:p>
    <w:p w14:paraId="1E98D0DC">
      <w:pPr>
        <w:pStyle w:val="45"/>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b/>
          <w:bCs w:val="0"/>
          <w:color w:val="auto"/>
          <w:sz w:val="32"/>
          <w:szCs w:val="32"/>
          <w:highlight w:val="none"/>
          <w:lang w:val="en-US" w:eastAsia="zh-CN"/>
        </w:rPr>
        <w:t>3、服务方案</w:t>
      </w:r>
      <w:r>
        <w:rPr>
          <w:rFonts w:hint="eastAsia" w:ascii="仿宋" w:hAnsi="仿宋" w:eastAsia="仿宋" w:cs="仿宋"/>
          <w:b/>
          <w:bCs w:val="0"/>
          <w:color w:val="auto"/>
          <w:sz w:val="22"/>
          <w:szCs w:val="22"/>
          <w:highlight w:val="none"/>
          <w:lang w:val="en-US" w:eastAsia="zh-CN"/>
        </w:rPr>
        <w:t>（如有）</w:t>
      </w:r>
    </w:p>
    <w:p w14:paraId="0C315652">
      <w:pPr>
        <w:pStyle w:val="31"/>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14:paraId="3A22FE96">
      <w:pPr>
        <w:pStyle w:val="35"/>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（1）拟为本项目提供的项目实施方案，方案包括但不限于:</w:t>
      </w:r>
    </w:p>
    <w:p w14:paraId="62A8D23B">
      <w:pPr>
        <w:pStyle w:val="35"/>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①技术路线、②实施计划、③质量保障措施等。</w:t>
      </w:r>
    </w:p>
    <w:p w14:paraId="0D005665">
      <w:pPr>
        <w:pStyle w:val="34"/>
        <w:rPr>
          <w:rFonts w:hint="eastAsia" w:ascii="仿宋" w:hAnsi="仿宋" w:eastAsia="仿宋" w:cs="仿宋"/>
          <w:b w:val="0"/>
          <w:bCs/>
          <w:color w:val="auto"/>
          <w:sz w:val="24"/>
          <w:szCs w:val="24"/>
          <w:highlight w:val="none"/>
          <w:lang w:val="en-US" w:eastAsia="zh-CN"/>
        </w:rPr>
      </w:pPr>
    </w:p>
    <w:p w14:paraId="3DFA010E">
      <w:pPr>
        <w:pStyle w:val="34"/>
        <w:rPr>
          <w:rFonts w:hint="eastAsia" w:ascii="仿宋" w:hAnsi="仿宋" w:eastAsia="仿宋" w:cs="仿宋"/>
          <w:b w:val="0"/>
          <w:bCs/>
          <w:color w:val="auto"/>
          <w:sz w:val="24"/>
          <w:szCs w:val="24"/>
          <w:highlight w:val="none"/>
          <w:lang w:val="en-US" w:eastAsia="zh-CN"/>
        </w:rPr>
      </w:pPr>
    </w:p>
    <w:p w14:paraId="7CF1F28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pacing w:val="0"/>
          <w:w w:val="100"/>
          <w:position w:val="0"/>
          <w:sz w:val="21"/>
          <w:szCs w:val="21"/>
          <w:highlight w:val="none"/>
          <w:lang w:val="en-US" w:eastAsia="zh-CN"/>
        </w:rPr>
      </w:pPr>
    </w:p>
    <w:p w14:paraId="17E2A5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77E894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B9D9BC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486072">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pacing w:val="0"/>
          <w:w w:val="100"/>
          <w:position w:val="0"/>
          <w:sz w:val="21"/>
          <w:szCs w:val="21"/>
          <w:highlight w:val="none"/>
          <w:lang w:val="en-US" w:eastAsia="zh-CN"/>
        </w:rPr>
      </w:pPr>
    </w:p>
    <w:p w14:paraId="21CF7887">
      <w:pPr>
        <w:pStyle w:val="2"/>
        <w:rPr>
          <w:rFonts w:hint="eastAsia"/>
          <w:color w:val="auto"/>
          <w:highlight w:val="none"/>
          <w:lang w:val="en-US" w:eastAsia="zh-CN"/>
        </w:rPr>
      </w:pPr>
    </w:p>
    <w:p w14:paraId="3C884A27">
      <w:pPr>
        <w:pStyle w:val="35"/>
        <w:keepNext w:val="0"/>
        <w:keepLines w:val="0"/>
        <w:pageBreakBefore w:val="0"/>
        <w:widowControl/>
        <w:numPr>
          <w:ilvl w:val="0"/>
          <w:numId w:val="113"/>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拟为本项目提供的服务方案，方案包括但不限于:</w:t>
      </w:r>
    </w:p>
    <w:p w14:paraId="6EA64B0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①服务内容、②服务标准、③服务流程、④响应机制等。</w:t>
      </w:r>
    </w:p>
    <w:p w14:paraId="4049EF3F">
      <w:pPr>
        <w:pStyle w:val="2"/>
        <w:rPr>
          <w:rFonts w:hint="eastAsia"/>
          <w:color w:val="auto"/>
          <w:highlight w:val="none"/>
          <w:lang w:val="en-US" w:eastAsia="zh-CN"/>
        </w:rPr>
      </w:pPr>
    </w:p>
    <w:p w14:paraId="3B6BEC7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pacing w:val="0"/>
          <w:w w:val="100"/>
          <w:position w:val="0"/>
          <w:sz w:val="21"/>
          <w:szCs w:val="21"/>
          <w:highlight w:val="none"/>
          <w:lang w:val="en-US" w:eastAsia="zh-CN"/>
        </w:rPr>
      </w:pPr>
    </w:p>
    <w:p w14:paraId="54AA697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A457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A12A6E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695DC49">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p>
    <w:p w14:paraId="6A6517AF">
      <w:pPr>
        <w:pStyle w:val="2"/>
        <w:rPr>
          <w:rFonts w:hint="eastAsia" w:ascii="仿宋" w:hAnsi="仿宋" w:eastAsia="仿宋" w:cs="仿宋"/>
          <w:color w:val="auto"/>
          <w:sz w:val="24"/>
          <w:highlight w:val="none"/>
        </w:rPr>
      </w:pPr>
    </w:p>
    <w:p w14:paraId="3C7011D8">
      <w:pPr>
        <w:rPr>
          <w:rFonts w:hint="eastAsia"/>
          <w:color w:val="auto"/>
          <w:highlight w:val="none"/>
        </w:rPr>
      </w:pPr>
    </w:p>
    <w:p w14:paraId="47E9EFF5">
      <w:pPr>
        <w:pStyle w:val="45"/>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b/>
          <w:bCs w:val="0"/>
          <w:color w:val="auto"/>
          <w:sz w:val="32"/>
          <w:szCs w:val="32"/>
          <w:highlight w:val="none"/>
          <w:lang w:val="en-US" w:eastAsia="zh-CN"/>
        </w:rPr>
        <w:t>4、研究方案</w:t>
      </w:r>
      <w:r>
        <w:rPr>
          <w:rFonts w:hint="eastAsia" w:ascii="仿宋" w:hAnsi="仿宋" w:eastAsia="仿宋" w:cs="仿宋"/>
          <w:b/>
          <w:bCs w:val="0"/>
          <w:color w:val="auto"/>
          <w:sz w:val="22"/>
          <w:szCs w:val="22"/>
          <w:highlight w:val="none"/>
          <w:lang w:val="en-US" w:eastAsia="zh-CN"/>
        </w:rPr>
        <w:t>（如有）</w:t>
      </w:r>
    </w:p>
    <w:p w14:paraId="08623D8F">
      <w:pPr>
        <w:pStyle w:val="31"/>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14:paraId="2941B957">
      <w:pPr>
        <w:pStyle w:val="35"/>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（1）拟为本项目提供的项目研究方案。</w:t>
      </w:r>
    </w:p>
    <w:p w14:paraId="2F63A037">
      <w:pPr>
        <w:pStyle w:val="34"/>
        <w:rPr>
          <w:rFonts w:hint="eastAsia" w:ascii="仿宋" w:hAnsi="仿宋" w:eastAsia="仿宋" w:cs="仿宋"/>
          <w:b w:val="0"/>
          <w:bCs/>
          <w:color w:val="auto"/>
          <w:sz w:val="24"/>
          <w:szCs w:val="24"/>
          <w:highlight w:val="none"/>
          <w:lang w:val="en-US" w:eastAsia="zh-CN"/>
        </w:rPr>
      </w:pPr>
    </w:p>
    <w:p w14:paraId="0479C045">
      <w:pPr>
        <w:pStyle w:val="34"/>
        <w:rPr>
          <w:rFonts w:hint="eastAsia" w:ascii="仿宋" w:hAnsi="仿宋" w:eastAsia="仿宋" w:cs="仿宋"/>
          <w:b w:val="0"/>
          <w:bCs/>
          <w:color w:val="auto"/>
          <w:sz w:val="24"/>
          <w:szCs w:val="24"/>
          <w:highlight w:val="none"/>
          <w:lang w:val="en-US" w:eastAsia="zh-CN"/>
        </w:rPr>
      </w:pPr>
    </w:p>
    <w:p w14:paraId="5A4DE3A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pacing w:val="0"/>
          <w:w w:val="100"/>
          <w:position w:val="0"/>
          <w:sz w:val="21"/>
          <w:szCs w:val="21"/>
          <w:highlight w:val="none"/>
          <w:lang w:val="en-US" w:eastAsia="zh-CN"/>
        </w:rPr>
      </w:pPr>
    </w:p>
    <w:p w14:paraId="2BA8848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DF4B8C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B9043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AC9B54C">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p>
    <w:p w14:paraId="7A6BE5EA">
      <w:pPr>
        <w:pStyle w:val="32"/>
        <w:rPr>
          <w:rFonts w:hint="default" w:ascii="宋体" w:hAnsi="宋体" w:cs="宋体"/>
          <w:color w:val="auto"/>
          <w:sz w:val="24"/>
          <w:highlight w:val="none"/>
          <w:lang w:val="en-US" w:eastAsia="zh-CN"/>
        </w:rPr>
      </w:pPr>
    </w:p>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10B2C4-1B8E-4100-B183-F9132179BA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6E3F1396-3318-4FE8-8427-D43F7520792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5C616CB-D61A-4F99-945F-79F9AA2D6533}"/>
  </w:font>
  <w:font w:name="方正仿宋简体">
    <w:panose1 w:val="02000000000000000000"/>
    <w:charset w:val="86"/>
    <w:family w:val="auto"/>
    <w:pitch w:val="default"/>
    <w:sig w:usb0="A00002BF" w:usb1="184F6CFA" w:usb2="00000012" w:usb3="00000000" w:csb0="00040001" w:csb1="00000000"/>
    <w:embedRegular r:id="rId4" w:fontKey="{29950042-43B7-4F56-82D5-DF27CADECE11}"/>
  </w:font>
  <w:font w:name="仿宋">
    <w:panose1 w:val="02010609060101010101"/>
    <w:charset w:val="86"/>
    <w:family w:val="auto"/>
    <w:pitch w:val="default"/>
    <w:sig w:usb0="800002BF" w:usb1="38CF7CFA" w:usb2="00000016" w:usb3="00000000" w:csb0="00040001" w:csb1="00000000"/>
    <w:embedRegular r:id="rId5" w:fontKey="{A8355954-1B74-4D15-8394-F6A293CBD06A}"/>
  </w:font>
  <w:font w:name="Tahoma">
    <w:panose1 w:val="020B0604030504040204"/>
    <w:charset w:val="00"/>
    <w:family w:val="auto"/>
    <w:pitch w:val="default"/>
    <w:sig w:usb0="E1002EFF" w:usb1="C000605B" w:usb2="00000029" w:usb3="00000000" w:csb0="200101FF" w:csb1="20280000"/>
    <w:embedRegular r:id="rId6" w:fontKey="{3F39BD24-426D-4EFA-8333-818489EA223F}"/>
  </w:font>
  <w:font w:name="华文中宋">
    <w:panose1 w:val="02010600040101010101"/>
    <w:charset w:val="86"/>
    <w:family w:val="auto"/>
    <w:pitch w:val="default"/>
    <w:sig w:usb0="00000287" w:usb1="080F0000" w:usb2="00000000" w:usb3="00000000" w:csb0="0004009F" w:csb1="DFD70000"/>
    <w:embedRegular r:id="rId7" w:fontKey="{70D84CE5-ACEE-4A45-96BF-78E66CF79C07}"/>
  </w:font>
  <w:font w:name="华文仿宋">
    <w:panose1 w:val="02010600040101010101"/>
    <w:charset w:val="86"/>
    <w:family w:val="auto"/>
    <w:pitch w:val="default"/>
    <w:sig w:usb0="00000287" w:usb1="080F0000" w:usb2="00000000" w:usb3="00000000" w:csb0="0004009F" w:csb1="DFD70000"/>
    <w:embedRegular r:id="rId8" w:fontKey="{8DDD1993-D678-430B-8208-005B2CD0FD2F}"/>
  </w:font>
  <w:font w:name="Calibri Light">
    <w:panose1 w:val="020F0302020204030204"/>
    <w:charset w:val="00"/>
    <w:family w:val="swiss"/>
    <w:pitch w:val="default"/>
    <w:sig w:usb0="E0002AFF" w:usb1="C000247B" w:usb2="00000009" w:usb3="00000000" w:csb0="200001FF" w:csb1="00000000"/>
    <w:embedRegular r:id="rId9" w:fontKey="{66A3D673-5468-4F34-B679-5B0C1F3FAA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7AE0">
    <w:pPr>
      <w:spacing w:line="212" w:lineRule="auto"/>
      <w:rPr>
        <w:rFonts w:ascii="Tahoma" w:hAnsi="Tahoma" w:eastAsia="Tahoma" w:cs="Tahom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51CBE">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651CBE">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73</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5"/>
      <w:rPr>
        <w:rFonts w:hint="eastAsia"/>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8978C">
                          <w:pPr>
                            <w:pStyle w:val="15"/>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E8978C">
                    <w:pPr>
                      <w:pStyle w:val="15"/>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2274D667">
    <w:pPr>
      <w:pStyle w:val="15"/>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05D79"/>
    <w:multiLevelType w:val="singleLevel"/>
    <w:tmpl w:val="80D05D79"/>
    <w:lvl w:ilvl="0" w:tentative="0">
      <w:start w:val="2"/>
      <w:numFmt w:val="decimal"/>
      <w:suff w:val="nothing"/>
      <w:lvlText w:val="（%1）"/>
      <w:lvlJc w:val="left"/>
    </w:lvl>
  </w:abstractNum>
  <w:abstractNum w:abstractNumId="1">
    <w:nsid w:val="8399E978"/>
    <w:multiLevelType w:val="singleLevel"/>
    <w:tmpl w:val="8399E978"/>
    <w:lvl w:ilvl="0" w:tentative="0">
      <w:start w:val="1"/>
      <w:numFmt w:val="decimal"/>
      <w:suff w:val="nothing"/>
      <w:lvlText w:val="%1、"/>
      <w:lvlJc w:val="left"/>
    </w:lvl>
  </w:abstractNum>
  <w:abstractNum w:abstractNumId="2">
    <w:nsid w:val="839E4294"/>
    <w:multiLevelType w:val="singleLevel"/>
    <w:tmpl w:val="839E4294"/>
    <w:lvl w:ilvl="0" w:tentative="0">
      <w:start w:val="1"/>
      <w:numFmt w:val="decimal"/>
      <w:suff w:val="nothing"/>
      <w:lvlText w:val="%1、"/>
      <w:lvlJc w:val="left"/>
    </w:lvl>
  </w:abstractNum>
  <w:abstractNum w:abstractNumId="3">
    <w:nsid w:val="851BF899"/>
    <w:multiLevelType w:val="singleLevel"/>
    <w:tmpl w:val="851BF899"/>
    <w:lvl w:ilvl="0" w:tentative="0">
      <w:start w:val="1"/>
      <w:numFmt w:val="chineseCounting"/>
      <w:suff w:val="nothing"/>
      <w:lvlText w:val="（%1）"/>
      <w:lvlJc w:val="left"/>
      <w:pPr>
        <w:ind w:left="0" w:firstLine="420"/>
      </w:pPr>
      <w:rPr>
        <w:rFonts w:hint="eastAsia"/>
      </w:rPr>
    </w:lvl>
  </w:abstractNum>
  <w:abstractNum w:abstractNumId="4">
    <w:nsid w:val="8CEE907A"/>
    <w:multiLevelType w:val="singleLevel"/>
    <w:tmpl w:val="8CEE907A"/>
    <w:lvl w:ilvl="0" w:tentative="0">
      <w:start w:val="1"/>
      <w:numFmt w:val="decimal"/>
      <w:suff w:val="nothing"/>
      <w:lvlText w:val="（%1）"/>
      <w:lvlJc w:val="left"/>
    </w:lvl>
  </w:abstractNum>
  <w:abstractNum w:abstractNumId="5">
    <w:nsid w:val="959638E4"/>
    <w:multiLevelType w:val="singleLevel"/>
    <w:tmpl w:val="959638E4"/>
    <w:lvl w:ilvl="0" w:tentative="0">
      <w:start w:val="1"/>
      <w:numFmt w:val="decimal"/>
      <w:suff w:val="nothing"/>
      <w:lvlText w:val="(%1)"/>
      <w:lvlJc w:val="left"/>
      <w:pPr>
        <w:ind w:left="425" w:hanging="425"/>
      </w:pPr>
      <w:rPr>
        <w:rFonts w:hint="default"/>
      </w:rPr>
    </w:lvl>
  </w:abstractNum>
  <w:abstractNum w:abstractNumId="6">
    <w:nsid w:val="9636CD22"/>
    <w:multiLevelType w:val="singleLevel"/>
    <w:tmpl w:val="9636CD22"/>
    <w:lvl w:ilvl="0" w:tentative="0">
      <w:start w:val="1"/>
      <w:numFmt w:val="decimal"/>
      <w:suff w:val="nothing"/>
      <w:lvlText w:val="%1、"/>
      <w:lvlJc w:val="left"/>
    </w:lvl>
  </w:abstractNum>
  <w:abstractNum w:abstractNumId="7">
    <w:nsid w:val="97A3BA71"/>
    <w:multiLevelType w:val="singleLevel"/>
    <w:tmpl w:val="97A3BA71"/>
    <w:lvl w:ilvl="0" w:tentative="0">
      <w:start w:val="1"/>
      <w:numFmt w:val="decimal"/>
      <w:lvlText w:val="(%1)"/>
      <w:lvlJc w:val="left"/>
      <w:pPr>
        <w:ind w:left="425" w:hanging="425"/>
      </w:pPr>
      <w:rPr>
        <w:rFonts w:hint="default"/>
      </w:rPr>
    </w:lvl>
  </w:abstractNum>
  <w:abstractNum w:abstractNumId="8">
    <w:nsid w:val="982AA296"/>
    <w:multiLevelType w:val="singleLevel"/>
    <w:tmpl w:val="982AA296"/>
    <w:lvl w:ilvl="0" w:tentative="0">
      <w:start w:val="1"/>
      <w:numFmt w:val="decimal"/>
      <w:lvlText w:val="(%1)"/>
      <w:lvlJc w:val="left"/>
      <w:pPr>
        <w:ind w:left="425" w:hanging="425"/>
      </w:pPr>
      <w:rPr>
        <w:rFonts w:hint="default"/>
      </w:rPr>
    </w:lvl>
  </w:abstractNum>
  <w:abstractNum w:abstractNumId="9">
    <w:nsid w:val="996E8D44"/>
    <w:multiLevelType w:val="singleLevel"/>
    <w:tmpl w:val="996E8D44"/>
    <w:lvl w:ilvl="0" w:tentative="0">
      <w:start w:val="1"/>
      <w:numFmt w:val="chineseCounting"/>
      <w:suff w:val="nothing"/>
      <w:lvlText w:val="%1、"/>
      <w:lvlJc w:val="left"/>
      <w:pPr>
        <w:ind w:left="0" w:firstLine="0"/>
      </w:pPr>
      <w:rPr>
        <w:rFonts w:hint="eastAsia"/>
      </w:rPr>
    </w:lvl>
  </w:abstractNum>
  <w:abstractNum w:abstractNumId="10">
    <w:nsid w:val="9D606A90"/>
    <w:multiLevelType w:val="singleLevel"/>
    <w:tmpl w:val="9D606A90"/>
    <w:lvl w:ilvl="0" w:tentative="0">
      <w:start w:val="1"/>
      <w:numFmt w:val="decimal"/>
      <w:suff w:val="nothing"/>
      <w:lvlText w:val="%1、"/>
      <w:lvlJc w:val="left"/>
    </w:lvl>
  </w:abstractNum>
  <w:abstractNum w:abstractNumId="11">
    <w:nsid w:val="9EADFE26"/>
    <w:multiLevelType w:val="singleLevel"/>
    <w:tmpl w:val="9EADFE26"/>
    <w:lvl w:ilvl="0" w:tentative="0">
      <w:start w:val="1"/>
      <w:numFmt w:val="chineseCounting"/>
      <w:suff w:val="nothing"/>
      <w:lvlText w:val="（%1）"/>
      <w:lvlJc w:val="left"/>
      <w:pPr>
        <w:ind w:left="0" w:firstLine="420"/>
      </w:pPr>
      <w:rPr>
        <w:rFonts w:hint="eastAsia"/>
      </w:rPr>
    </w:lvl>
  </w:abstractNum>
  <w:abstractNum w:abstractNumId="12">
    <w:nsid w:val="9FBA50A0"/>
    <w:multiLevelType w:val="singleLevel"/>
    <w:tmpl w:val="9FBA50A0"/>
    <w:lvl w:ilvl="0" w:tentative="0">
      <w:start w:val="1"/>
      <w:numFmt w:val="decimal"/>
      <w:lvlText w:val="%1."/>
      <w:lvlJc w:val="left"/>
      <w:pPr>
        <w:ind w:left="425" w:hanging="425"/>
      </w:pPr>
      <w:rPr>
        <w:rFonts w:hint="default"/>
      </w:rPr>
    </w:lvl>
  </w:abstractNum>
  <w:abstractNum w:abstractNumId="13">
    <w:nsid w:val="A015E4E8"/>
    <w:multiLevelType w:val="singleLevel"/>
    <w:tmpl w:val="A015E4E8"/>
    <w:lvl w:ilvl="0" w:tentative="0">
      <w:start w:val="1"/>
      <w:numFmt w:val="decimal"/>
      <w:suff w:val="nothing"/>
      <w:lvlText w:val="（%1）"/>
      <w:lvlJc w:val="left"/>
    </w:lvl>
  </w:abstractNum>
  <w:abstractNum w:abstractNumId="14">
    <w:nsid w:val="AADCA70A"/>
    <w:multiLevelType w:val="multilevel"/>
    <w:tmpl w:val="AADCA70A"/>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5">
    <w:nsid w:val="B0176AAF"/>
    <w:multiLevelType w:val="singleLevel"/>
    <w:tmpl w:val="B0176AAF"/>
    <w:lvl w:ilvl="0" w:tentative="0">
      <w:start w:val="1"/>
      <w:numFmt w:val="decimal"/>
      <w:suff w:val="nothing"/>
      <w:lvlText w:val="%1、"/>
      <w:lvlJc w:val="left"/>
    </w:lvl>
  </w:abstractNum>
  <w:abstractNum w:abstractNumId="16">
    <w:nsid w:val="B26D3B04"/>
    <w:multiLevelType w:val="multilevel"/>
    <w:tmpl w:val="B26D3B04"/>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7">
    <w:nsid w:val="B27ED621"/>
    <w:multiLevelType w:val="multilevel"/>
    <w:tmpl w:val="B27ED621"/>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B9BC74E0"/>
    <w:multiLevelType w:val="singleLevel"/>
    <w:tmpl w:val="B9BC74E0"/>
    <w:lvl w:ilvl="0" w:tentative="0">
      <w:start w:val="1"/>
      <w:numFmt w:val="decimal"/>
      <w:lvlText w:val="(%1)"/>
      <w:lvlJc w:val="left"/>
      <w:pPr>
        <w:ind w:left="425" w:hanging="425"/>
      </w:pPr>
      <w:rPr>
        <w:rFonts w:hint="default"/>
      </w:rPr>
    </w:lvl>
  </w:abstractNum>
  <w:abstractNum w:abstractNumId="19">
    <w:nsid w:val="BDA05E48"/>
    <w:multiLevelType w:val="multilevel"/>
    <w:tmpl w:val="BDA05E48"/>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BF03220A"/>
    <w:multiLevelType w:val="singleLevel"/>
    <w:tmpl w:val="BF03220A"/>
    <w:lvl w:ilvl="0" w:tentative="0">
      <w:start w:val="1"/>
      <w:numFmt w:val="decimal"/>
      <w:suff w:val="nothing"/>
      <w:lvlText w:val="%1、"/>
      <w:lvlJc w:val="left"/>
    </w:lvl>
  </w:abstractNum>
  <w:abstractNum w:abstractNumId="21">
    <w:nsid w:val="C0C830C7"/>
    <w:multiLevelType w:val="singleLevel"/>
    <w:tmpl w:val="C0C830C7"/>
    <w:lvl w:ilvl="0" w:tentative="0">
      <w:start w:val="1"/>
      <w:numFmt w:val="decimal"/>
      <w:suff w:val="nothing"/>
      <w:lvlText w:val="%1、"/>
      <w:lvlJc w:val="left"/>
    </w:lvl>
  </w:abstractNum>
  <w:abstractNum w:abstractNumId="22">
    <w:nsid w:val="C3CB0E3F"/>
    <w:multiLevelType w:val="singleLevel"/>
    <w:tmpl w:val="C3CB0E3F"/>
    <w:lvl w:ilvl="0" w:tentative="0">
      <w:start w:val="1"/>
      <w:numFmt w:val="decimal"/>
      <w:lvlText w:val="(%1)"/>
      <w:lvlJc w:val="left"/>
      <w:pPr>
        <w:ind w:left="425" w:hanging="425"/>
      </w:pPr>
      <w:rPr>
        <w:rFonts w:hint="default"/>
      </w:rPr>
    </w:lvl>
  </w:abstractNum>
  <w:abstractNum w:abstractNumId="23">
    <w:nsid w:val="C9D6BD9E"/>
    <w:multiLevelType w:val="singleLevel"/>
    <w:tmpl w:val="C9D6BD9E"/>
    <w:lvl w:ilvl="0" w:tentative="0">
      <w:start w:val="1"/>
      <w:numFmt w:val="decimal"/>
      <w:suff w:val="nothing"/>
      <w:lvlText w:val="（%1）"/>
      <w:lvlJc w:val="left"/>
    </w:lvl>
  </w:abstractNum>
  <w:abstractNum w:abstractNumId="24">
    <w:nsid w:val="CA91826A"/>
    <w:multiLevelType w:val="singleLevel"/>
    <w:tmpl w:val="CA91826A"/>
    <w:lvl w:ilvl="0" w:tentative="0">
      <w:start w:val="1"/>
      <w:numFmt w:val="decimal"/>
      <w:suff w:val="nothing"/>
      <w:lvlText w:val="%1、"/>
      <w:lvlJc w:val="left"/>
    </w:lvl>
  </w:abstractNum>
  <w:abstractNum w:abstractNumId="25">
    <w:nsid w:val="CECDE6F8"/>
    <w:multiLevelType w:val="singleLevel"/>
    <w:tmpl w:val="CECDE6F8"/>
    <w:lvl w:ilvl="0" w:tentative="0">
      <w:start w:val="1"/>
      <w:numFmt w:val="decimal"/>
      <w:suff w:val="nothing"/>
      <w:lvlText w:val="%1、"/>
      <w:lvlJc w:val="left"/>
    </w:lvl>
  </w:abstractNum>
  <w:abstractNum w:abstractNumId="26">
    <w:nsid w:val="D102EC9F"/>
    <w:multiLevelType w:val="singleLevel"/>
    <w:tmpl w:val="D102EC9F"/>
    <w:lvl w:ilvl="0" w:tentative="0">
      <w:start w:val="1"/>
      <w:numFmt w:val="decimal"/>
      <w:lvlText w:val="(%1)"/>
      <w:lvlJc w:val="left"/>
      <w:pPr>
        <w:ind w:left="425" w:hanging="425"/>
      </w:pPr>
      <w:rPr>
        <w:rFonts w:hint="default"/>
      </w:rPr>
    </w:lvl>
  </w:abstractNum>
  <w:abstractNum w:abstractNumId="27">
    <w:nsid w:val="D19B1DF1"/>
    <w:multiLevelType w:val="singleLevel"/>
    <w:tmpl w:val="D19B1DF1"/>
    <w:lvl w:ilvl="0" w:tentative="0">
      <w:start w:val="1"/>
      <w:numFmt w:val="decimal"/>
      <w:suff w:val="nothing"/>
      <w:lvlText w:val="（%1）"/>
      <w:lvlJc w:val="left"/>
    </w:lvl>
  </w:abstractNum>
  <w:abstractNum w:abstractNumId="28">
    <w:nsid w:val="D53CC0F4"/>
    <w:multiLevelType w:val="singleLevel"/>
    <w:tmpl w:val="D53CC0F4"/>
    <w:lvl w:ilvl="0" w:tentative="0">
      <w:start w:val="1"/>
      <w:numFmt w:val="decimal"/>
      <w:suff w:val="nothing"/>
      <w:lvlText w:val="%1、"/>
      <w:lvlJc w:val="left"/>
    </w:lvl>
  </w:abstractNum>
  <w:abstractNum w:abstractNumId="29">
    <w:nsid w:val="D6D41DBE"/>
    <w:multiLevelType w:val="singleLevel"/>
    <w:tmpl w:val="D6D41DBE"/>
    <w:lvl w:ilvl="0" w:tentative="0">
      <w:start w:val="1"/>
      <w:numFmt w:val="decimal"/>
      <w:suff w:val="nothing"/>
      <w:lvlText w:val="（%1）"/>
      <w:lvlJc w:val="left"/>
    </w:lvl>
  </w:abstractNum>
  <w:abstractNum w:abstractNumId="30">
    <w:nsid w:val="D7243D14"/>
    <w:multiLevelType w:val="singleLevel"/>
    <w:tmpl w:val="D7243D14"/>
    <w:lvl w:ilvl="0" w:tentative="0">
      <w:start w:val="1"/>
      <w:numFmt w:val="decimal"/>
      <w:lvlText w:val="(%1)"/>
      <w:lvlJc w:val="left"/>
      <w:pPr>
        <w:ind w:left="425" w:hanging="425"/>
      </w:pPr>
      <w:rPr>
        <w:rFonts w:hint="default"/>
      </w:rPr>
    </w:lvl>
  </w:abstractNum>
  <w:abstractNum w:abstractNumId="31">
    <w:nsid w:val="D9251694"/>
    <w:multiLevelType w:val="singleLevel"/>
    <w:tmpl w:val="D9251694"/>
    <w:lvl w:ilvl="0" w:tentative="0">
      <w:start w:val="1"/>
      <w:numFmt w:val="chineseCounting"/>
      <w:suff w:val="nothing"/>
      <w:lvlText w:val="%1、"/>
      <w:lvlJc w:val="left"/>
      <w:pPr>
        <w:ind w:left="0" w:firstLine="420"/>
      </w:pPr>
      <w:rPr>
        <w:rFonts w:hint="eastAsia"/>
      </w:rPr>
    </w:lvl>
  </w:abstractNum>
  <w:abstractNum w:abstractNumId="32">
    <w:nsid w:val="DE69C790"/>
    <w:multiLevelType w:val="singleLevel"/>
    <w:tmpl w:val="DE69C790"/>
    <w:lvl w:ilvl="0" w:tentative="0">
      <w:start w:val="1"/>
      <w:numFmt w:val="decimal"/>
      <w:lvlText w:val="(%1)"/>
      <w:lvlJc w:val="left"/>
      <w:pPr>
        <w:ind w:left="425" w:hanging="425"/>
      </w:pPr>
      <w:rPr>
        <w:rFonts w:hint="default"/>
      </w:rPr>
    </w:lvl>
  </w:abstractNum>
  <w:abstractNum w:abstractNumId="33">
    <w:nsid w:val="DF283D31"/>
    <w:multiLevelType w:val="singleLevel"/>
    <w:tmpl w:val="DF283D31"/>
    <w:lvl w:ilvl="0" w:tentative="0">
      <w:start w:val="1"/>
      <w:numFmt w:val="decimal"/>
      <w:suff w:val="nothing"/>
      <w:lvlText w:val="%1、"/>
      <w:lvlJc w:val="left"/>
    </w:lvl>
  </w:abstractNum>
  <w:abstractNum w:abstractNumId="34">
    <w:nsid w:val="E0FCE7D6"/>
    <w:multiLevelType w:val="singleLevel"/>
    <w:tmpl w:val="E0FCE7D6"/>
    <w:lvl w:ilvl="0" w:tentative="0">
      <w:start w:val="1"/>
      <w:numFmt w:val="decimal"/>
      <w:suff w:val="nothing"/>
      <w:lvlText w:val="%1、"/>
      <w:lvlJc w:val="left"/>
    </w:lvl>
  </w:abstractNum>
  <w:abstractNum w:abstractNumId="35">
    <w:nsid w:val="E2926096"/>
    <w:multiLevelType w:val="singleLevel"/>
    <w:tmpl w:val="E2926096"/>
    <w:lvl w:ilvl="0" w:tentative="0">
      <w:start w:val="1"/>
      <w:numFmt w:val="chineseCounting"/>
      <w:suff w:val="nothing"/>
      <w:lvlText w:val="%1、"/>
      <w:lvlJc w:val="left"/>
      <w:pPr>
        <w:ind w:left="0" w:firstLine="420"/>
      </w:pPr>
      <w:rPr>
        <w:rFonts w:hint="eastAsia"/>
      </w:rPr>
    </w:lvl>
  </w:abstractNum>
  <w:abstractNum w:abstractNumId="36">
    <w:nsid w:val="E343C781"/>
    <w:multiLevelType w:val="singleLevel"/>
    <w:tmpl w:val="E343C781"/>
    <w:lvl w:ilvl="0" w:tentative="0">
      <w:start w:val="1"/>
      <w:numFmt w:val="decimal"/>
      <w:lvlText w:val="(%1)"/>
      <w:lvlJc w:val="left"/>
      <w:pPr>
        <w:ind w:left="425" w:hanging="425"/>
      </w:pPr>
      <w:rPr>
        <w:rFonts w:hint="default"/>
      </w:rPr>
    </w:lvl>
  </w:abstractNum>
  <w:abstractNum w:abstractNumId="37">
    <w:nsid w:val="E372FA55"/>
    <w:multiLevelType w:val="singleLevel"/>
    <w:tmpl w:val="E372FA55"/>
    <w:lvl w:ilvl="0" w:tentative="0">
      <w:start w:val="1"/>
      <w:numFmt w:val="decimal"/>
      <w:suff w:val="nothing"/>
      <w:lvlText w:val="%1、"/>
      <w:lvlJc w:val="left"/>
    </w:lvl>
  </w:abstractNum>
  <w:abstractNum w:abstractNumId="38">
    <w:nsid w:val="E68CC146"/>
    <w:multiLevelType w:val="singleLevel"/>
    <w:tmpl w:val="E68CC146"/>
    <w:lvl w:ilvl="0" w:tentative="0">
      <w:start w:val="1"/>
      <w:numFmt w:val="decimal"/>
      <w:suff w:val="nothing"/>
      <w:lvlText w:val="（%1）"/>
      <w:lvlJc w:val="left"/>
    </w:lvl>
  </w:abstractNum>
  <w:abstractNum w:abstractNumId="39">
    <w:nsid w:val="E952BA3E"/>
    <w:multiLevelType w:val="multilevel"/>
    <w:tmpl w:val="E952BA3E"/>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40">
    <w:nsid w:val="EAD2A667"/>
    <w:multiLevelType w:val="singleLevel"/>
    <w:tmpl w:val="EAD2A667"/>
    <w:lvl w:ilvl="0" w:tentative="0">
      <w:start w:val="1"/>
      <w:numFmt w:val="decimal"/>
      <w:lvlText w:val="(%1)"/>
      <w:lvlJc w:val="left"/>
      <w:pPr>
        <w:ind w:left="425" w:hanging="425"/>
      </w:pPr>
      <w:rPr>
        <w:rFonts w:hint="default"/>
      </w:rPr>
    </w:lvl>
  </w:abstractNum>
  <w:abstractNum w:abstractNumId="41">
    <w:nsid w:val="EBDD1862"/>
    <w:multiLevelType w:val="singleLevel"/>
    <w:tmpl w:val="EBDD1862"/>
    <w:lvl w:ilvl="0" w:tentative="0">
      <w:start w:val="1"/>
      <w:numFmt w:val="decimal"/>
      <w:suff w:val="nothing"/>
      <w:lvlText w:val="%1、"/>
      <w:lvlJc w:val="left"/>
    </w:lvl>
  </w:abstractNum>
  <w:abstractNum w:abstractNumId="42">
    <w:nsid w:val="ED3C15AD"/>
    <w:multiLevelType w:val="singleLevel"/>
    <w:tmpl w:val="ED3C15AD"/>
    <w:lvl w:ilvl="0" w:tentative="0">
      <w:start w:val="1"/>
      <w:numFmt w:val="chineseCounting"/>
      <w:suff w:val="nothing"/>
      <w:lvlText w:val="（%1）"/>
      <w:lvlJc w:val="left"/>
      <w:pPr>
        <w:ind w:left="0" w:firstLine="420"/>
      </w:pPr>
      <w:rPr>
        <w:rFonts w:hint="eastAsia"/>
      </w:rPr>
    </w:lvl>
  </w:abstractNum>
  <w:abstractNum w:abstractNumId="43">
    <w:nsid w:val="F0DE5227"/>
    <w:multiLevelType w:val="singleLevel"/>
    <w:tmpl w:val="F0DE5227"/>
    <w:lvl w:ilvl="0" w:tentative="0">
      <w:start w:val="1"/>
      <w:numFmt w:val="decimal"/>
      <w:suff w:val="nothing"/>
      <w:lvlText w:val="(%1)"/>
      <w:lvlJc w:val="left"/>
      <w:pPr>
        <w:ind w:left="425" w:hanging="425"/>
      </w:pPr>
      <w:rPr>
        <w:rFonts w:hint="default"/>
      </w:rPr>
    </w:lvl>
  </w:abstractNum>
  <w:abstractNum w:abstractNumId="44">
    <w:nsid w:val="F28B7A6F"/>
    <w:multiLevelType w:val="singleLevel"/>
    <w:tmpl w:val="F28B7A6F"/>
    <w:lvl w:ilvl="0" w:tentative="0">
      <w:start w:val="1"/>
      <w:numFmt w:val="decimal"/>
      <w:lvlText w:val="(%1)"/>
      <w:lvlJc w:val="left"/>
      <w:pPr>
        <w:ind w:left="425" w:hanging="425"/>
      </w:pPr>
      <w:rPr>
        <w:rFonts w:hint="default"/>
      </w:rPr>
    </w:lvl>
  </w:abstractNum>
  <w:abstractNum w:abstractNumId="45">
    <w:nsid w:val="F292CA29"/>
    <w:multiLevelType w:val="singleLevel"/>
    <w:tmpl w:val="F292CA29"/>
    <w:lvl w:ilvl="0" w:tentative="0">
      <w:start w:val="1"/>
      <w:numFmt w:val="decimal"/>
      <w:suff w:val="nothing"/>
      <w:lvlText w:val="%1、"/>
      <w:lvlJc w:val="left"/>
      <w:pPr>
        <w:ind w:left="0" w:leftChars="0" w:firstLine="482" w:firstLineChars="0"/>
      </w:pPr>
    </w:lvl>
  </w:abstractNum>
  <w:abstractNum w:abstractNumId="46">
    <w:nsid w:val="F3950B1F"/>
    <w:multiLevelType w:val="singleLevel"/>
    <w:tmpl w:val="F3950B1F"/>
    <w:lvl w:ilvl="0" w:tentative="0">
      <w:start w:val="1"/>
      <w:numFmt w:val="decimal"/>
      <w:lvlText w:val="(%1)"/>
      <w:lvlJc w:val="left"/>
      <w:pPr>
        <w:ind w:left="425" w:hanging="425"/>
      </w:pPr>
      <w:rPr>
        <w:rFonts w:hint="default"/>
      </w:rPr>
    </w:lvl>
  </w:abstractNum>
  <w:abstractNum w:abstractNumId="47">
    <w:nsid w:val="F553EAE6"/>
    <w:multiLevelType w:val="singleLevel"/>
    <w:tmpl w:val="F553EAE6"/>
    <w:lvl w:ilvl="0" w:tentative="0">
      <w:start w:val="1"/>
      <w:numFmt w:val="chineseCounting"/>
      <w:suff w:val="nothing"/>
      <w:lvlText w:val="%1、"/>
      <w:lvlJc w:val="left"/>
      <w:pPr>
        <w:ind w:left="0" w:firstLine="420"/>
      </w:pPr>
      <w:rPr>
        <w:rFonts w:hint="eastAsia"/>
      </w:rPr>
    </w:lvl>
  </w:abstractNum>
  <w:abstractNum w:abstractNumId="48">
    <w:nsid w:val="F648B96D"/>
    <w:multiLevelType w:val="singleLevel"/>
    <w:tmpl w:val="F648B96D"/>
    <w:lvl w:ilvl="0" w:tentative="0">
      <w:start w:val="1"/>
      <w:numFmt w:val="decimal"/>
      <w:suff w:val="nothing"/>
      <w:lvlText w:val="%1、"/>
      <w:lvlJc w:val="left"/>
    </w:lvl>
  </w:abstractNum>
  <w:abstractNum w:abstractNumId="49">
    <w:nsid w:val="F67157B8"/>
    <w:multiLevelType w:val="singleLevel"/>
    <w:tmpl w:val="F67157B8"/>
    <w:lvl w:ilvl="0" w:tentative="0">
      <w:start w:val="1"/>
      <w:numFmt w:val="decimal"/>
      <w:suff w:val="nothing"/>
      <w:lvlText w:val="%1、"/>
      <w:lvlJc w:val="left"/>
    </w:lvl>
  </w:abstractNum>
  <w:abstractNum w:abstractNumId="50">
    <w:nsid w:val="F769E429"/>
    <w:multiLevelType w:val="singleLevel"/>
    <w:tmpl w:val="F769E429"/>
    <w:lvl w:ilvl="0" w:tentative="0">
      <w:start w:val="1"/>
      <w:numFmt w:val="decimal"/>
      <w:suff w:val="nothing"/>
      <w:lvlText w:val="%1、"/>
      <w:lvlJc w:val="left"/>
    </w:lvl>
  </w:abstractNum>
  <w:abstractNum w:abstractNumId="51">
    <w:nsid w:val="F9FB369A"/>
    <w:multiLevelType w:val="singleLevel"/>
    <w:tmpl w:val="F9FB369A"/>
    <w:lvl w:ilvl="0" w:tentative="0">
      <w:start w:val="1"/>
      <w:numFmt w:val="decimal"/>
      <w:suff w:val="nothing"/>
      <w:lvlText w:val="（%1）"/>
      <w:lvlJc w:val="left"/>
    </w:lvl>
  </w:abstractNum>
  <w:abstractNum w:abstractNumId="52">
    <w:nsid w:val="FCE964F9"/>
    <w:multiLevelType w:val="singleLevel"/>
    <w:tmpl w:val="FCE964F9"/>
    <w:lvl w:ilvl="0" w:tentative="0">
      <w:start w:val="1"/>
      <w:numFmt w:val="decimal"/>
      <w:suff w:val="nothing"/>
      <w:lvlText w:val="（%1）"/>
      <w:lvlJc w:val="left"/>
    </w:lvl>
  </w:abstractNum>
  <w:abstractNum w:abstractNumId="53">
    <w:nsid w:val="FDE6A58C"/>
    <w:multiLevelType w:val="multilevel"/>
    <w:tmpl w:val="FDE6A58C"/>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54">
    <w:nsid w:val="00000005"/>
    <w:multiLevelType w:val="singleLevel"/>
    <w:tmpl w:val="00000005"/>
    <w:lvl w:ilvl="0" w:tentative="0">
      <w:start w:val="1"/>
      <w:numFmt w:val="decimal"/>
      <w:lvlText w:val="(%1)"/>
      <w:lvlJc w:val="left"/>
      <w:pPr>
        <w:ind w:left="425" w:hanging="425"/>
      </w:pPr>
      <w:rPr>
        <w:rFonts w:hint="default"/>
      </w:rPr>
    </w:lvl>
  </w:abstractNum>
  <w:abstractNum w:abstractNumId="55">
    <w:nsid w:val="00000007"/>
    <w:multiLevelType w:val="singleLevel"/>
    <w:tmpl w:val="00000007"/>
    <w:lvl w:ilvl="0" w:tentative="0">
      <w:start w:val="1"/>
      <w:numFmt w:val="decimal"/>
      <w:suff w:val="nothing"/>
      <w:lvlText w:val="%1、"/>
      <w:lvlJc w:val="left"/>
    </w:lvl>
  </w:abstractNum>
  <w:abstractNum w:abstractNumId="56">
    <w:nsid w:val="00000008"/>
    <w:multiLevelType w:val="multilevel"/>
    <w:tmpl w:val="00000008"/>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57">
    <w:nsid w:val="00000009"/>
    <w:multiLevelType w:val="singleLevel"/>
    <w:tmpl w:val="00000009"/>
    <w:lvl w:ilvl="0" w:tentative="0">
      <w:start w:val="1"/>
      <w:numFmt w:val="chineseCounting"/>
      <w:suff w:val="nothing"/>
      <w:lvlText w:val="%1、"/>
      <w:lvlJc w:val="left"/>
      <w:rPr>
        <w:rFonts w:hint="eastAsia"/>
      </w:rPr>
    </w:lvl>
  </w:abstractNum>
  <w:abstractNum w:abstractNumId="58">
    <w:nsid w:val="0336346C"/>
    <w:multiLevelType w:val="singleLevel"/>
    <w:tmpl w:val="0336346C"/>
    <w:lvl w:ilvl="0" w:tentative="0">
      <w:start w:val="1"/>
      <w:numFmt w:val="decimal"/>
      <w:suff w:val="nothing"/>
      <w:lvlText w:val="%1、"/>
      <w:lvlJc w:val="left"/>
    </w:lvl>
  </w:abstractNum>
  <w:abstractNum w:abstractNumId="59">
    <w:nsid w:val="05DD6EE4"/>
    <w:multiLevelType w:val="singleLevel"/>
    <w:tmpl w:val="05DD6EE4"/>
    <w:lvl w:ilvl="0" w:tentative="0">
      <w:start w:val="1"/>
      <w:numFmt w:val="decimal"/>
      <w:suff w:val="nothing"/>
      <w:lvlText w:val="（%1）"/>
      <w:lvlJc w:val="left"/>
    </w:lvl>
  </w:abstractNum>
  <w:abstractNum w:abstractNumId="60">
    <w:nsid w:val="0890AD58"/>
    <w:multiLevelType w:val="singleLevel"/>
    <w:tmpl w:val="0890AD58"/>
    <w:lvl w:ilvl="0" w:tentative="0">
      <w:start w:val="1"/>
      <w:numFmt w:val="decimal"/>
      <w:suff w:val="nothing"/>
      <w:lvlText w:val="（%1）"/>
      <w:lvlJc w:val="left"/>
    </w:lvl>
  </w:abstractNum>
  <w:abstractNum w:abstractNumId="61">
    <w:nsid w:val="0B765F67"/>
    <w:multiLevelType w:val="singleLevel"/>
    <w:tmpl w:val="0B765F67"/>
    <w:lvl w:ilvl="0" w:tentative="0">
      <w:start w:val="1"/>
      <w:numFmt w:val="decimal"/>
      <w:suff w:val="nothing"/>
      <w:lvlText w:val="（%1）"/>
      <w:lvlJc w:val="left"/>
    </w:lvl>
  </w:abstractNum>
  <w:abstractNum w:abstractNumId="62">
    <w:nsid w:val="108D1E84"/>
    <w:multiLevelType w:val="singleLevel"/>
    <w:tmpl w:val="108D1E84"/>
    <w:lvl w:ilvl="0" w:tentative="0">
      <w:start w:val="1"/>
      <w:numFmt w:val="decimal"/>
      <w:suff w:val="nothing"/>
      <w:lvlText w:val="（%1）"/>
      <w:lvlJc w:val="left"/>
    </w:lvl>
  </w:abstractNum>
  <w:abstractNum w:abstractNumId="63">
    <w:nsid w:val="19F816A9"/>
    <w:multiLevelType w:val="singleLevel"/>
    <w:tmpl w:val="19F816A9"/>
    <w:lvl w:ilvl="0" w:tentative="0">
      <w:start w:val="1"/>
      <w:numFmt w:val="decimal"/>
      <w:suff w:val="nothing"/>
      <w:lvlText w:val="%1、"/>
      <w:lvlJc w:val="left"/>
    </w:lvl>
  </w:abstractNum>
  <w:abstractNum w:abstractNumId="64">
    <w:nsid w:val="1D6F9F8D"/>
    <w:multiLevelType w:val="singleLevel"/>
    <w:tmpl w:val="1D6F9F8D"/>
    <w:lvl w:ilvl="0" w:tentative="0">
      <w:start w:val="1"/>
      <w:numFmt w:val="decimal"/>
      <w:lvlText w:val="(%1)"/>
      <w:lvlJc w:val="left"/>
      <w:pPr>
        <w:ind w:left="425" w:hanging="425"/>
      </w:pPr>
      <w:rPr>
        <w:rFonts w:hint="default"/>
      </w:rPr>
    </w:lvl>
  </w:abstractNum>
  <w:abstractNum w:abstractNumId="65">
    <w:nsid w:val="1DB50EA8"/>
    <w:multiLevelType w:val="singleLevel"/>
    <w:tmpl w:val="1DB50EA8"/>
    <w:lvl w:ilvl="0" w:tentative="0">
      <w:start w:val="1"/>
      <w:numFmt w:val="decimal"/>
      <w:suff w:val="nothing"/>
      <w:lvlText w:val="%1、"/>
      <w:lvlJc w:val="left"/>
    </w:lvl>
  </w:abstractNum>
  <w:abstractNum w:abstractNumId="66">
    <w:nsid w:val="221197D8"/>
    <w:multiLevelType w:val="singleLevel"/>
    <w:tmpl w:val="221197D8"/>
    <w:lvl w:ilvl="0" w:tentative="0">
      <w:start w:val="1"/>
      <w:numFmt w:val="decimal"/>
      <w:suff w:val="nothing"/>
      <w:lvlText w:val="%1、"/>
      <w:lvlJc w:val="left"/>
    </w:lvl>
  </w:abstractNum>
  <w:abstractNum w:abstractNumId="67">
    <w:nsid w:val="23F1F0D8"/>
    <w:multiLevelType w:val="singleLevel"/>
    <w:tmpl w:val="23F1F0D8"/>
    <w:lvl w:ilvl="0" w:tentative="0">
      <w:start w:val="1"/>
      <w:numFmt w:val="decimal"/>
      <w:suff w:val="nothing"/>
      <w:lvlText w:val="（%1）"/>
      <w:lvlJc w:val="left"/>
    </w:lvl>
  </w:abstractNum>
  <w:abstractNum w:abstractNumId="68">
    <w:nsid w:val="2478AD8A"/>
    <w:multiLevelType w:val="singleLevel"/>
    <w:tmpl w:val="2478AD8A"/>
    <w:lvl w:ilvl="0" w:tentative="0">
      <w:start w:val="1"/>
      <w:numFmt w:val="decimal"/>
      <w:lvlText w:val="(%1)"/>
      <w:lvlJc w:val="left"/>
      <w:pPr>
        <w:ind w:left="425" w:hanging="425"/>
      </w:pPr>
      <w:rPr>
        <w:rFonts w:hint="default"/>
      </w:rPr>
    </w:lvl>
  </w:abstractNum>
  <w:abstractNum w:abstractNumId="69">
    <w:nsid w:val="26F4582C"/>
    <w:multiLevelType w:val="singleLevel"/>
    <w:tmpl w:val="26F4582C"/>
    <w:lvl w:ilvl="0" w:tentative="0">
      <w:start w:val="1"/>
      <w:numFmt w:val="decimal"/>
      <w:lvlText w:val="(%1)"/>
      <w:lvlJc w:val="left"/>
      <w:pPr>
        <w:ind w:left="425" w:hanging="425"/>
      </w:pPr>
      <w:rPr>
        <w:rFonts w:hint="default"/>
      </w:rPr>
    </w:lvl>
  </w:abstractNum>
  <w:abstractNum w:abstractNumId="70">
    <w:nsid w:val="273BFDC6"/>
    <w:multiLevelType w:val="singleLevel"/>
    <w:tmpl w:val="273BFDC6"/>
    <w:lvl w:ilvl="0" w:tentative="0">
      <w:start w:val="1"/>
      <w:numFmt w:val="decimal"/>
      <w:suff w:val="nothing"/>
      <w:lvlText w:val="%1、"/>
      <w:lvlJc w:val="left"/>
      <w:pPr>
        <w:ind w:left="0" w:leftChars="0" w:firstLine="482" w:firstLineChars="0"/>
      </w:pPr>
    </w:lvl>
  </w:abstractNum>
  <w:abstractNum w:abstractNumId="71">
    <w:nsid w:val="2C879601"/>
    <w:multiLevelType w:val="singleLevel"/>
    <w:tmpl w:val="2C879601"/>
    <w:lvl w:ilvl="0" w:tentative="0">
      <w:start w:val="1"/>
      <w:numFmt w:val="decimal"/>
      <w:suff w:val="nothing"/>
      <w:lvlText w:val="（%1）"/>
      <w:lvlJc w:val="left"/>
    </w:lvl>
  </w:abstractNum>
  <w:abstractNum w:abstractNumId="72">
    <w:nsid w:val="2FC1AFB0"/>
    <w:multiLevelType w:val="singleLevel"/>
    <w:tmpl w:val="2FC1AFB0"/>
    <w:lvl w:ilvl="0" w:tentative="0">
      <w:start w:val="1"/>
      <w:numFmt w:val="decimal"/>
      <w:suff w:val="nothing"/>
      <w:lvlText w:val="%1、"/>
      <w:lvlJc w:val="left"/>
    </w:lvl>
  </w:abstractNum>
  <w:abstractNum w:abstractNumId="73">
    <w:nsid w:val="33D7798F"/>
    <w:multiLevelType w:val="multilevel"/>
    <w:tmpl w:val="33D7798F"/>
    <w:lvl w:ilvl="0" w:tentative="0">
      <w:start w:val="1"/>
      <w:numFmt w:val="decimal"/>
      <w:suff w:val="nothing"/>
      <w:lvlText w:val="%1、"/>
      <w:lvlJc w:val="left"/>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74">
    <w:nsid w:val="35DDBD1F"/>
    <w:multiLevelType w:val="singleLevel"/>
    <w:tmpl w:val="35DDBD1F"/>
    <w:lvl w:ilvl="0" w:tentative="0">
      <w:start w:val="1"/>
      <w:numFmt w:val="decimal"/>
      <w:suff w:val="nothing"/>
      <w:lvlText w:val="%1、"/>
      <w:lvlJc w:val="left"/>
    </w:lvl>
  </w:abstractNum>
  <w:abstractNum w:abstractNumId="75">
    <w:nsid w:val="38A0B811"/>
    <w:multiLevelType w:val="singleLevel"/>
    <w:tmpl w:val="38A0B811"/>
    <w:lvl w:ilvl="0" w:tentative="0">
      <w:start w:val="1"/>
      <w:numFmt w:val="decimal"/>
      <w:suff w:val="nothing"/>
      <w:lvlText w:val="（%1）"/>
      <w:lvlJc w:val="left"/>
    </w:lvl>
  </w:abstractNum>
  <w:abstractNum w:abstractNumId="76">
    <w:nsid w:val="3FD1073A"/>
    <w:multiLevelType w:val="singleLevel"/>
    <w:tmpl w:val="3FD1073A"/>
    <w:lvl w:ilvl="0" w:tentative="0">
      <w:start w:val="1"/>
      <w:numFmt w:val="decimal"/>
      <w:suff w:val="nothing"/>
      <w:lvlText w:val="%1、"/>
      <w:lvlJc w:val="left"/>
    </w:lvl>
  </w:abstractNum>
  <w:abstractNum w:abstractNumId="77">
    <w:nsid w:val="41FEC0EF"/>
    <w:multiLevelType w:val="singleLevel"/>
    <w:tmpl w:val="41FEC0EF"/>
    <w:lvl w:ilvl="0" w:tentative="0">
      <w:start w:val="1"/>
      <w:numFmt w:val="decimal"/>
      <w:lvlText w:val="(%1)"/>
      <w:lvlJc w:val="left"/>
      <w:pPr>
        <w:ind w:left="425" w:hanging="425"/>
      </w:pPr>
      <w:rPr>
        <w:rFonts w:hint="default"/>
      </w:rPr>
    </w:lvl>
  </w:abstractNum>
  <w:abstractNum w:abstractNumId="78">
    <w:nsid w:val="42A0B8DB"/>
    <w:multiLevelType w:val="singleLevel"/>
    <w:tmpl w:val="42A0B8DB"/>
    <w:lvl w:ilvl="0" w:tentative="0">
      <w:start w:val="1"/>
      <w:numFmt w:val="decimal"/>
      <w:suff w:val="nothing"/>
      <w:lvlText w:val="%1、"/>
      <w:lvlJc w:val="left"/>
    </w:lvl>
  </w:abstractNum>
  <w:abstractNum w:abstractNumId="79">
    <w:nsid w:val="45176279"/>
    <w:multiLevelType w:val="singleLevel"/>
    <w:tmpl w:val="45176279"/>
    <w:lvl w:ilvl="0" w:tentative="0">
      <w:start w:val="1"/>
      <w:numFmt w:val="decimal"/>
      <w:suff w:val="nothing"/>
      <w:lvlText w:val="（%1）"/>
      <w:lvlJc w:val="left"/>
    </w:lvl>
  </w:abstractNum>
  <w:abstractNum w:abstractNumId="80">
    <w:nsid w:val="481AEBD5"/>
    <w:multiLevelType w:val="singleLevel"/>
    <w:tmpl w:val="481AEBD5"/>
    <w:lvl w:ilvl="0" w:tentative="0">
      <w:start w:val="1"/>
      <w:numFmt w:val="decimal"/>
      <w:suff w:val="nothing"/>
      <w:lvlText w:val="%1、"/>
      <w:lvlJc w:val="left"/>
    </w:lvl>
  </w:abstractNum>
  <w:abstractNum w:abstractNumId="81">
    <w:nsid w:val="484CB3E9"/>
    <w:multiLevelType w:val="singleLevel"/>
    <w:tmpl w:val="484CB3E9"/>
    <w:lvl w:ilvl="0" w:tentative="0">
      <w:start w:val="1"/>
      <w:numFmt w:val="decimal"/>
      <w:suff w:val="nothing"/>
      <w:lvlText w:val="%1、"/>
      <w:lvlJc w:val="left"/>
    </w:lvl>
  </w:abstractNum>
  <w:abstractNum w:abstractNumId="82">
    <w:nsid w:val="4AD80249"/>
    <w:multiLevelType w:val="singleLevel"/>
    <w:tmpl w:val="4AD80249"/>
    <w:lvl w:ilvl="0" w:tentative="0">
      <w:start w:val="1"/>
      <w:numFmt w:val="decimal"/>
      <w:suff w:val="nothing"/>
      <w:lvlText w:val="（%1）"/>
      <w:lvlJc w:val="left"/>
    </w:lvl>
  </w:abstractNum>
  <w:abstractNum w:abstractNumId="83">
    <w:nsid w:val="4BC892BA"/>
    <w:multiLevelType w:val="singleLevel"/>
    <w:tmpl w:val="4BC892BA"/>
    <w:lvl w:ilvl="0" w:tentative="0">
      <w:start w:val="1"/>
      <w:numFmt w:val="decimal"/>
      <w:suff w:val="nothing"/>
      <w:lvlText w:val="%1、"/>
      <w:lvlJc w:val="left"/>
    </w:lvl>
  </w:abstractNum>
  <w:abstractNum w:abstractNumId="84">
    <w:nsid w:val="4D227CA4"/>
    <w:multiLevelType w:val="singleLevel"/>
    <w:tmpl w:val="4D227CA4"/>
    <w:lvl w:ilvl="0" w:tentative="0">
      <w:start w:val="1"/>
      <w:numFmt w:val="decimalEnclosedCircleChinese"/>
      <w:suff w:val="nothing"/>
      <w:lvlText w:val="%1　"/>
      <w:lvlJc w:val="left"/>
      <w:pPr>
        <w:ind w:left="0" w:firstLine="400"/>
      </w:pPr>
      <w:rPr>
        <w:rFonts w:hint="eastAsia"/>
      </w:rPr>
    </w:lvl>
  </w:abstractNum>
  <w:abstractNum w:abstractNumId="85">
    <w:nsid w:val="4E452716"/>
    <w:multiLevelType w:val="singleLevel"/>
    <w:tmpl w:val="4E452716"/>
    <w:lvl w:ilvl="0" w:tentative="0">
      <w:start w:val="1"/>
      <w:numFmt w:val="decimal"/>
      <w:suff w:val="nothing"/>
      <w:lvlText w:val="%1、"/>
      <w:lvlJc w:val="left"/>
    </w:lvl>
  </w:abstractNum>
  <w:abstractNum w:abstractNumId="86">
    <w:nsid w:val="4E67122F"/>
    <w:multiLevelType w:val="multilevel"/>
    <w:tmpl w:val="4E67122F"/>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7">
    <w:nsid w:val="4F0ED3F2"/>
    <w:multiLevelType w:val="singleLevel"/>
    <w:tmpl w:val="4F0ED3F2"/>
    <w:lvl w:ilvl="0" w:tentative="0">
      <w:start w:val="1"/>
      <w:numFmt w:val="decimal"/>
      <w:suff w:val="nothing"/>
      <w:lvlText w:val="%1、"/>
      <w:lvlJc w:val="left"/>
    </w:lvl>
  </w:abstractNum>
  <w:abstractNum w:abstractNumId="88">
    <w:nsid w:val="50604C16"/>
    <w:multiLevelType w:val="singleLevel"/>
    <w:tmpl w:val="50604C16"/>
    <w:lvl w:ilvl="0" w:tentative="0">
      <w:start w:val="1"/>
      <w:numFmt w:val="chineseCounting"/>
      <w:suff w:val="nothing"/>
      <w:lvlText w:val="%1、"/>
      <w:lvlJc w:val="left"/>
      <w:pPr>
        <w:ind w:left="-420" w:firstLine="420"/>
      </w:pPr>
      <w:rPr>
        <w:rFonts w:hint="eastAsia"/>
      </w:rPr>
    </w:lvl>
  </w:abstractNum>
  <w:abstractNum w:abstractNumId="89">
    <w:nsid w:val="50C05037"/>
    <w:multiLevelType w:val="singleLevel"/>
    <w:tmpl w:val="50C05037"/>
    <w:lvl w:ilvl="0" w:tentative="0">
      <w:start w:val="1"/>
      <w:numFmt w:val="decimal"/>
      <w:suff w:val="nothing"/>
      <w:lvlText w:val="（%1）"/>
      <w:lvlJc w:val="left"/>
    </w:lvl>
  </w:abstractNum>
  <w:abstractNum w:abstractNumId="90">
    <w:nsid w:val="52286400"/>
    <w:multiLevelType w:val="singleLevel"/>
    <w:tmpl w:val="52286400"/>
    <w:lvl w:ilvl="0" w:tentative="0">
      <w:start w:val="1"/>
      <w:numFmt w:val="decimal"/>
      <w:suff w:val="nothing"/>
      <w:lvlText w:val="（%1）"/>
      <w:lvlJc w:val="left"/>
    </w:lvl>
  </w:abstractNum>
  <w:abstractNum w:abstractNumId="91">
    <w:nsid w:val="5680B0AF"/>
    <w:multiLevelType w:val="singleLevel"/>
    <w:tmpl w:val="5680B0AF"/>
    <w:lvl w:ilvl="0" w:tentative="0">
      <w:start w:val="1"/>
      <w:numFmt w:val="decimal"/>
      <w:suff w:val="nothing"/>
      <w:lvlText w:val="%1、"/>
      <w:lvlJc w:val="left"/>
    </w:lvl>
  </w:abstractNum>
  <w:abstractNum w:abstractNumId="92">
    <w:nsid w:val="56D4E785"/>
    <w:multiLevelType w:val="singleLevel"/>
    <w:tmpl w:val="56D4E785"/>
    <w:lvl w:ilvl="0" w:tentative="0">
      <w:start w:val="1"/>
      <w:numFmt w:val="decimal"/>
      <w:suff w:val="nothing"/>
      <w:lvlText w:val="（%1）"/>
      <w:lvlJc w:val="left"/>
    </w:lvl>
  </w:abstractNum>
  <w:abstractNum w:abstractNumId="93">
    <w:nsid w:val="592797F6"/>
    <w:multiLevelType w:val="singleLevel"/>
    <w:tmpl w:val="592797F6"/>
    <w:lvl w:ilvl="0" w:tentative="0">
      <w:start w:val="1"/>
      <w:numFmt w:val="decimal"/>
      <w:suff w:val="nothing"/>
      <w:lvlText w:val="（%1）"/>
      <w:lvlJc w:val="left"/>
    </w:lvl>
  </w:abstractNum>
  <w:abstractNum w:abstractNumId="94">
    <w:nsid w:val="5AFECF53"/>
    <w:multiLevelType w:val="singleLevel"/>
    <w:tmpl w:val="5AFECF53"/>
    <w:lvl w:ilvl="0" w:tentative="0">
      <w:start w:val="1"/>
      <w:numFmt w:val="decimal"/>
      <w:lvlText w:val="(%1)"/>
      <w:lvlJc w:val="left"/>
      <w:pPr>
        <w:ind w:left="425" w:hanging="425"/>
      </w:pPr>
      <w:rPr>
        <w:rFonts w:hint="default"/>
      </w:rPr>
    </w:lvl>
  </w:abstractNum>
  <w:abstractNum w:abstractNumId="95">
    <w:nsid w:val="5B848452"/>
    <w:multiLevelType w:val="singleLevel"/>
    <w:tmpl w:val="5B848452"/>
    <w:lvl w:ilvl="0" w:tentative="0">
      <w:start w:val="1"/>
      <w:numFmt w:val="decimal"/>
      <w:lvlText w:val="(%1)"/>
      <w:lvlJc w:val="left"/>
      <w:pPr>
        <w:ind w:left="425" w:hanging="425"/>
      </w:pPr>
      <w:rPr>
        <w:rFonts w:hint="default"/>
      </w:rPr>
    </w:lvl>
  </w:abstractNum>
  <w:abstractNum w:abstractNumId="96">
    <w:nsid w:val="5F86355F"/>
    <w:multiLevelType w:val="singleLevel"/>
    <w:tmpl w:val="5F86355F"/>
    <w:lvl w:ilvl="0" w:tentative="0">
      <w:start w:val="1"/>
      <w:numFmt w:val="decimal"/>
      <w:suff w:val="nothing"/>
      <w:lvlText w:val="%1、"/>
      <w:lvlJc w:val="left"/>
    </w:lvl>
  </w:abstractNum>
  <w:abstractNum w:abstractNumId="97">
    <w:nsid w:val="65BD321E"/>
    <w:multiLevelType w:val="singleLevel"/>
    <w:tmpl w:val="65BD321E"/>
    <w:lvl w:ilvl="0" w:tentative="0">
      <w:start w:val="1"/>
      <w:numFmt w:val="decimal"/>
      <w:suff w:val="nothing"/>
      <w:lvlText w:val="（%1）"/>
      <w:lvlJc w:val="left"/>
    </w:lvl>
  </w:abstractNum>
  <w:abstractNum w:abstractNumId="98">
    <w:nsid w:val="6847CAD4"/>
    <w:multiLevelType w:val="singleLevel"/>
    <w:tmpl w:val="6847CAD4"/>
    <w:lvl w:ilvl="0" w:tentative="0">
      <w:start w:val="1"/>
      <w:numFmt w:val="decimalEnclosedCircleChinese"/>
      <w:suff w:val="nothing"/>
      <w:lvlText w:val="%1　"/>
      <w:lvlJc w:val="left"/>
      <w:pPr>
        <w:ind w:left="0" w:firstLine="400"/>
      </w:pPr>
      <w:rPr>
        <w:rFonts w:hint="eastAsia"/>
      </w:rPr>
    </w:lvl>
  </w:abstractNum>
  <w:abstractNum w:abstractNumId="99">
    <w:nsid w:val="6A2D95F3"/>
    <w:multiLevelType w:val="singleLevel"/>
    <w:tmpl w:val="6A2D95F3"/>
    <w:lvl w:ilvl="0" w:tentative="0">
      <w:start w:val="1"/>
      <w:numFmt w:val="decimal"/>
      <w:suff w:val="nothing"/>
      <w:lvlText w:val="（%1）"/>
      <w:lvlJc w:val="left"/>
    </w:lvl>
  </w:abstractNum>
  <w:abstractNum w:abstractNumId="100">
    <w:nsid w:val="6D7907E3"/>
    <w:multiLevelType w:val="singleLevel"/>
    <w:tmpl w:val="6D7907E3"/>
    <w:lvl w:ilvl="0" w:tentative="0">
      <w:start w:val="1"/>
      <w:numFmt w:val="decimal"/>
      <w:lvlText w:val="(%1)"/>
      <w:lvlJc w:val="left"/>
      <w:pPr>
        <w:ind w:left="425" w:hanging="425"/>
      </w:pPr>
      <w:rPr>
        <w:rFonts w:hint="default"/>
      </w:rPr>
    </w:lvl>
  </w:abstractNum>
  <w:abstractNum w:abstractNumId="101">
    <w:nsid w:val="6D98E8BA"/>
    <w:multiLevelType w:val="singleLevel"/>
    <w:tmpl w:val="6D98E8BA"/>
    <w:lvl w:ilvl="0" w:tentative="0">
      <w:start w:val="1"/>
      <w:numFmt w:val="chineseCounting"/>
      <w:suff w:val="nothing"/>
      <w:lvlText w:val="%1、"/>
      <w:lvlJc w:val="left"/>
      <w:pPr>
        <w:ind w:left="0" w:firstLine="0"/>
      </w:pPr>
      <w:rPr>
        <w:rFonts w:hint="eastAsia"/>
      </w:rPr>
    </w:lvl>
  </w:abstractNum>
  <w:abstractNum w:abstractNumId="102">
    <w:nsid w:val="6DCFC39A"/>
    <w:multiLevelType w:val="singleLevel"/>
    <w:tmpl w:val="6DCFC39A"/>
    <w:lvl w:ilvl="0" w:tentative="0">
      <w:start w:val="1"/>
      <w:numFmt w:val="decimalEnclosedCircleChinese"/>
      <w:suff w:val="nothing"/>
      <w:lvlText w:val="%1　"/>
      <w:lvlJc w:val="left"/>
      <w:pPr>
        <w:ind w:left="0" w:firstLine="400"/>
      </w:pPr>
      <w:rPr>
        <w:rFonts w:hint="eastAsia"/>
      </w:rPr>
    </w:lvl>
  </w:abstractNum>
  <w:abstractNum w:abstractNumId="103">
    <w:nsid w:val="6FE8C064"/>
    <w:multiLevelType w:val="singleLevel"/>
    <w:tmpl w:val="6FE8C064"/>
    <w:lvl w:ilvl="0" w:tentative="0">
      <w:start w:val="1"/>
      <w:numFmt w:val="decimal"/>
      <w:suff w:val="nothing"/>
      <w:lvlText w:val="%1、"/>
      <w:lvlJc w:val="left"/>
    </w:lvl>
  </w:abstractNum>
  <w:abstractNum w:abstractNumId="104">
    <w:nsid w:val="70B6AFB9"/>
    <w:multiLevelType w:val="singleLevel"/>
    <w:tmpl w:val="70B6AFB9"/>
    <w:lvl w:ilvl="0" w:tentative="0">
      <w:start w:val="1"/>
      <w:numFmt w:val="decimal"/>
      <w:suff w:val="nothing"/>
      <w:lvlText w:val="%1、"/>
      <w:lvlJc w:val="left"/>
    </w:lvl>
  </w:abstractNum>
  <w:abstractNum w:abstractNumId="105">
    <w:nsid w:val="71508A24"/>
    <w:multiLevelType w:val="singleLevel"/>
    <w:tmpl w:val="71508A24"/>
    <w:lvl w:ilvl="0" w:tentative="0">
      <w:start w:val="1"/>
      <w:numFmt w:val="decimal"/>
      <w:lvlText w:val="(%1)"/>
      <w:lvlJc w:val="left"/>
      <w:pPr>
        <w:ind w:left="425" w:hanging="425"/>
      </w:pPr>
      <w:rPr>
        <w:rFonts w:hint="default"/>
      </w:rPr>
    </w:lvl>
  </w:abstractNum>
  <w:abstractNum w:abstractNumId="106">
    <w:nsid w:val="7297D968"/>
    <w:multiLevelType w:val="singleLevel"/>
    <w:tmpl w:val="7297D968"/>
    <w:lvl w:ilvl="0" w:tentative="0">
      <w:start w:val="1"/>
      <w:numFmt w:val="decimal"/>
      <w:lvlText w:val="(%1)"/>
      <w:lvlJc w:val="left"/>
      <w:pPr>
        <w:ind w:left="425" w:hanging="425"/>
      </w:pPr>
      <w:rPr>
        <w:rFonts w:hint="default"/>
      </w:rPr>
    </w:lvl>
  </w:abstractNum>
  <w:abstractNum w:abstractNumId="107">
    <w:nsid w:val="74E1747B"/>
    <w:multiLevelType w:val="singleLevel"/>
    <w:tmpl w:val="74E1747B"/>
    <w:lvl w:ilvl="0" w:tentative="0">
      <w:start w:val="1"/>
      <w:numFmt w:val="decimal"/>
      <w:suff w:val="nothing"/>
      <w:lvlText w:val="%1、"/>
      <w:lvlJc w:val="left"/>
    </w:lvl>
  </w:abstractNum>
  <w:abstractNum w:abstractNumId="108">
    <w:nsid w:val="77707EC4"/>
    <w:multiLevelType w:val="singleLevel"/>
    <w:tmpl w:val="77707EC4"/>
    <w:lvl w:ilvl="0" w:tentative="0">
      <w:start w:val="1"/>
      <w:numFmt w:val="chineseCounting"/>
      <w:suff w:val="nothing"/>
      <w:lvlText w:val="%1、"/>
      <w:lvlJc w:val="left"/>
      <w:pPr>
        <w:ind w:left="0" w:firstLine="0"/>
      </w:pPr>
      <w:rPr>
        <w:rFonts w:hint="eastAsia"/>
      </w:rPr>
    </w:lvl>
  </w:abstractNum>
  <w:abstractNum w:abstractNumId="109">
    <w:nsid w:val="78D0DE69"/>
    <w:multiLevelType w:val="singleLevel"/>
    <w:tmpl w:val="78D0DE69"/>
    <w:lvl w:ilvl="0" w:tentative="0">
      <w:start w:val="1"/>
      <w:numFmt w:val="decimal"/>
      <w:lvlText w:val="(%1)"/>
      <w:lvlJc w:val="left"/>
      <w:pPr>
        <w:ind w:left="425" w:hanging="425"/>
      </w:pPr>
      <w:rPr>
        <w:rFonts w:hint="default"/>
      </w:rPr>
    </w:lvl>
  </w:abstractNum>
  <w:abstractNum w:abstractNumId="110">
    <w:nsid w:val="79409CDD"/>
    <w:multiLevelType w:val="singleLevel"/>
    <w:tmpl w:val="79409CDD"/>
    <w:lvl w:ilvl="0" w:tentative="0">
      <w:start w:val="1"/>
      <w:numFmt w:val="decimal"/>
      <w:lvlText w:val="(%1)"/>
      <w:lvlJc w:val="left"/>
      <w:pPr>
        <w:ind w:left="425" w:hanging="425"/>
      </w:pPr>
      <w:rPr>
        <w:rFonts w:hint="default"/>
      </w:rPr>
    </w:lvl>
  </w:abstractNum>
  <w:abstractNum w:abstractNumId="111">
    <w:nsid w:val="7A32F770"/>
    <w:multiLevelType w:val="singleLevel"/>
    <w:tmpl w:val="7A32F770"/>
    <w:lvl w:ilvl="0" w:tentative="0">
      <w:start w:val="1"/>
      <w:numFmt w:val="decimal"/>
      <w:suff w:val="nothing"/>
      <w:lvlText w:val="%1、"/>
      <w:lvlJc w:val="left"/>
    </w:lvl>
  </w:abstractNum>
  <w:abstractNum w:abstractNumId="112">
    <w:nsid w:val="7D333A73"/>
    <w:multiLevelType w:val="singleLevel"/>
    <w:tmpl w:val="7D333A73"/>
    <w:lvl w:ilvl="0" w:tentative="0">
      <w:start w:val="1"/>
      <w:numFmt w:val="decimal"/>
      <w:lvlText w:val="(%1)"/>
      <w:lvlJc w:val="left"/>
      <w:pPr>
        <w:ind w:left="425" w:hanging="425"/>
      </w:pPr>
      <w:rPr>
        <w:rFonts w:hint="default"/>
      </w:rPr>
    </w:lvl>
  </w:abstractNum>
  <w:num w:numId="1">
    <w:abstractNumId w:val="80"/>
  </w:num>
  <w:num w:numId="2">
    <w:abstractNumId w:val="57"/>
  </w:num>
  <w:num w:numId="3">
    <w:abstractNumId w:val="12"/>
  </w:num>
  <w:num w:numId="4">
    <w:abstractNumId w:val="47"/>
  </w:num>
  <w:num w:numId="5">
    <w:abstractNumId w:val="88"/>
  </w:num>
  <w:num w:numId="6">
    <w:abstractNumId w:val="37"/>
  </w:num>
  <w:num w:numId="7">
    <w:abstractNumId w:val="107"/>
  </w:num>
  <w:num w:numId="8">
    <w:abstractNumId w:val="5"/>
  </w:num>
  <w:num w:numId="9">
    <w:abstractNumId w:val="76"/>
  </w:num>
  <w:num w:numId="10">
    <w:abstractNumId w:val="63"/>
  </w:num>
  <w:num w:numId="11">
    <w:abstractNumId w:val="46"/>
  </w:num>
  <w:num w:numId="12">
    <w:abstractNumId w:val="24"/>
  </w:num>
  <w:num w:numId="13">
    <w:abstractNumId w:val="22"/>
  </w:num>
  <w:num w:numId="14">
    <w:abstractNumId w:val="110"/>
  </w:num>
  <w:num w:numId="15">
    <w:abstractNumId w:val="111"/>
  </w:num>
  <w:num w:numId="16">
    <w:abstractNumId w:val="68"/>
  </w:num>
  <w:num w:numId="17">
    <w:abstractNumId w:val="26"/>
  </w:num>
  <w:num w:numId="18">
    <w:abstractNumId w:val="36"/>
  </w:num>
  <w:num w:numId="19">
    <w:abstractNumId w:val="21"/>
  </w:num>
  <w:num w:numId="20">
    <w:abstractNumId w:val="30"/>
  </w:num>
  <w:num w:numId="21">
    <w:abstractNumId w:val="77"/>
  </w:num>
  <w:num w:numId="22">
    <w:abstractNumId w:val="108"/>
  </w:num>
  <w:num w:numId="23">
    <w:abstractNumId w:val="78"/>
  </w:num>
  <w:num w:numId="24">
    <w:abstractNumId w:val="96"/>
  </w:num>
  <w:num w:numId="25">
    <w:abstractNumId w:val="20"/>
  </w:num>
  <w:num w:numId="26">
    <w:abstractNumId w:val="103"/>
  </w:num>
  <w:num w:numId="27">
    <w:abstractNumId w:val="44"/>
  </w:num>
  <w:num w:numId="28">
    <w:abstractNumId w:val="34"/>
  </w:num>
  <w:num w:numId="29">
    <w:abstractNumId w:val="69"/>
  </w:num>
  <w:num w:numId="30">
    <w:abstractNumId w:val="25"/>
  </w:num>
  <w:num w:numId="31">
    <w:abstractNumId w:val="95"/>
  </w:num>
  <w:num w:numId="32">
    <w:abstractNumId w:val="112"/>
  </w:num>
  <w:num w:numId="33">
    <w:abstractNumId w:val="1"/>
  </w:num>
  <w:num w:numId="34">
    <w:abstractNumId w:val="100"/>
  </w:num>
  <w:num w:numId="35">
    <w:abstractNumId w:val="7"/>
  </w:num>
  <w:num w:numId="36">
    <w:abstractNumId w:val="18"/>
  </w:num>
  <w:num w:numId="37">
    <w:abstractNumId w:val="9"/>
  </w:num>
  <w:num w:numId="38">
    <w:abstractNumId w:val="87"/>
  </w:num>
  <w:num w:numId="39">
    <w:abstractNumId w:val="48"/>
  </w:num>
  <w:num w:numId="40">
    <w:abstractNumId w:val="109"/>
  </w:num>
  <w:num w:numId="41">
    <w:abstractNumId w:val="40"/>
  </w:num>
  <w:num w:numId="42">
    <w:abstractNumId w:val="58"/>
  </w:num>
  <w:num w:numId="43">
    <w:abstractNumId w:val="41"/>
  </w:num>
  <w:num w:numId="44">
    <w:abstractNumId w:val="83"/>
  </w:num>
  <w:num w:numId="45">
    <w:abstractNumId w:val="101"/>
  </w:num>
  <w:num w:numId="46">
    <w:abstractNumId w:val="50"/>
  </w:num>
  <w:num w:numId="47">
    <w:abstractNumId w:val="6"/>
  </w:num>
  <w:num w:numId="48">
    <w:abstractNumId w:val="94"/>
  </w:num>
  <w:num w:numId="49">
    <w:abstractNumId w:val="32"/>
  </w:num>
  <w:num w:numId="50">
    <w:abstractNumId w:val="106"/>
  </w:num>
  <w:num w:numId="51">
    <w:abstractNumId w:val="19"/>
  </w:num>
  <w:num w:numId="52">
    <w:abstractNumId w:val="17"/>
  </w:num>
  <w:num w:numId="53">
    <w:abstractNumId w:val="86"/>
  </w:num>
  <w:num w:numId="54">
    <w:abstractNumId w:val="85"/>
  </w:num>
  <w:num w:numId="55">
    <w:abstractNumId w:val="45"/>
  </w:num>
  <w:num w:numId="56">
    <w:abstractNumId w:val="70"/>
  </w:num>
  <w:num w:numId="57">
    <w:abstractNumId w:val="66"/>
  </w:num>
  <w:num w:numId="58">
    <w:abstractNumId w:val="72"/>
  </w:num>
  <w:num w:numId="59">
    <w:abstractNumId w:val="92"/>
  </w:num>
  <w:num w:numId="60">
    <w:abstractNumId w:val="71"/>
  </w:num>
  <w:num w:numId="61">
    <w:abstractNumId w:val="61"/>
  </w:num>
  <w:num w:numId="62">
    <w:abstractNumId w:val="98"/>
  </w:num>
  <w:num w:numId="63">
    <w:abstractNumId w:val="91"/>
  </w:num>
  <w:num w:numId="64">
    <w:abstractNumId w:val="90"/>
  </w:num>
  <w:num w:numId="65">
    <w:abstractNumId w:val="65"/>
  </w:num>
  <w:num w:numId="66">
    <w:abstractNumId w:val="67"/>
  </w:num>
  <w:num w:numId="67">
    <w:abstractNumId w:val="38"/>
  </w:num>
  <w:num w:numId="68">
    <w:abstractNumId w:val="97"/>
  </w:num>
  <w:num w:numId="69">
    <w:abstractNumId w:val="102"/>
  </w:num>
  <w:num w:numId="70">
    <w:abstractNumId w:val="31"/>
  </w:num>
  <w:num w:numId="71">
    <w:abstractNumId w:val="11"/>
  </w:num>
  <w:num w:numId="72">
    <w:abstractNumId w:val="56"/>
  </w:num>
  <w:num w:numId="73">
    <w:abstractNumId w:val="54"/>
  </w:num>
  <w:num w:numId="74">
    <w:abstractNumId w:val="14"/>
  </w:num>
  <w:num w:numId="75">
    <w:abstractNumId w:val="16"/>
  </w:num>
  <w:num w:numId="76">
    <w:abstractNumId w:val="42"/>
  </w:num>
  <w:num w:numId="77">
    <w:abstractNumId w:val="73"/>
  </w:num>
  <w:num w:numId="78">
    <w:abstractNumId w:val="39"/>
  </w:num>
  <w:num w:numId="79">
    <w:abstractNumId w:val="8"/>
  </w:num>
  <w:num w:numId="80">
    <w:abstractNumId w:val="105"/>
  </w:num>
  <w:num w:numId="81">
    <w:abstractNumId w:val="3"/>
  </w:num>
  <w:num w:numId="82">
    <w:abstractNumId w:val="53"/>
  </w:num>
  <w:num w:numId="83">
    <w:abstractNumId w:val="64"/>
  </w:num>
  <w:num w:numId="84">
    <w:abstractNumId w:val="35"/>
  </w:num>
  <w:num w:numId="85">
    <w:abstractNumId w:val="28"/>
  </w:num>
  <w:num w:numId="86">
    <w:abstractNumId w:val="2"/>
  </w:num>
  <w:num w:numId="87">
    <w:abstractNumId w:val="75"/>
  </w:num>
  <w:num w:numId="88">
    <w:abstractNumId w:val="27"/>
  </w:num>
  <w:num w:numId="89">
    <w:abstractNumId w:val="29"/>
  </w:num>
  <w:num w:numId="90">
    <w:abstractNumId w:val="59"/>
  </w:num>
  <w:num w:numId="91">
    <w:abstractNumId w:val="81"/>
  </w:num>
  <w:num w:numId="92">
    <w:abstractNumId w:val="23"/>
  </w:num>
  <w:num w:numId="93">
    <w:abstractNumId w:val="99"/>
  </w:num>
  <w:num w:numId="94">
    <w:abstractNumId w:val="13"/>
  </w:num>
  <w:num w:numId="95">
    <w:abstractNumId w:val="52"/>
  </w:num>
  <w:num w:numId="96">
    <w:abstractNumId w:val="33"/>
  </w:num>
  <w:num w:numId="97">
    <w:abstractNumId w:val="49"/>
  </w:num>
  <w:num w:numId="98">
    <w:abstractNumId w:val="89"/>
  </w:num>
  <w:num w:numId="99">
    <w:abstractNumId w:val="74"/>
  </w:num>
  <w:num w:numId="100">
    <w:abstractNumId w:val="79"/>
  </w:num>
  <w:num w:numId="101">
    <w:abstractNumId w:val="104"/>
  </w:num>
  <w:num w:numId="102">
    <w:abstractNumId w:val="4"/>
  </w:num>
  <w:num w:numId="103">
    <w:abstractNumId w:val="10"/>
  </w:num>
  <w:num w:numId="104">
    <w:abstractNumId w:val="82"/>
  </w:num>
  <w:num w:numId="105">
    <w:abstractNumId w:val="93"/>
  </w:num>
  <w:num w:numId="106">
    <w:abstractNumId w:val="62"/>
  </w:num>
  <w:num w:numId="107">
    <w:abstractNumId w:val="84"/>
  </w:num>
  <w:num w:numId="108">
    <w:abstractNumId w:val="51"/>
  </w:num>
  <w:num w:numId="109">
    <w:abstractNumId w:val="15"/>
  </w:num>
  <w:num w:numId="110">
    <w:abstractNumId w:val="60"/>
  </w:num>
  <w:num w:numId="111">
    <w:abstractNumId w:val="55"/>
  </w:num>
  <w:num w:numId="112">
    <w:abstractNumId w:val="43"/>
  </w:num>
  <w:num w:numId="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54130D"/>
    <w:rsid w:val="00827B90"/>
    <w:rsid w:val="00CE4679"/>
    <w:rsid w:val="00CF2F63"/>
    <w:rsid w:val="01686F3B"/>
    <w:rsid w:val="01DE2FBB"/>
    <w:rsid w:val="0332621A"/>
    <w:rsid w:val="033F6241"/>
    <w:rsid w:val="0433224A"/>
    <w:rsid w:val="049C2D85"/>
    <w:rsid w:val="04E06B45"/>
    <w:rsid w:val="05283431"/>
    <w:rsid w:val="05874F81"/>
    <w:rsid w:val="05EA1309"/>
    <w:rsid w:val="067526A6"/>
    <w:rsid w:val="06A25465"/>
    <w:rsid w:val="071A348C"/>
    <w:rsid w:val="072D4D2F"/>
    <w:rsid w:val="09F7111F"/>
    <w:rsid w:val="09F72E28"/>
    <w:rsid w:val="0A5C7378"/>
    <w:rsid w:val="0A60541B"/>
    <w:rsid w:val="0A7C1169"/>
    <w:rsid w:val="0A873C1F"/>
    <w:rsid w:val="0A8C4462"/>
    <w:rsid w:val="0B4B60CB"/>
    <w:rsid w:val="0B514187"/>
    <w:rsid w:val="0BD61EA5"/>
    <w:rsid w:val="0C040028"/>
    <w:rsid w:val="0C131DE7"/>
    <w:rsid w:val="0C623B88"/>
    <w:rsid w:val="0CD345CA"/>
    <w:rsid w:val="0E296711"/>
    <w:rsid w:val="0E341ECD"/>
    <w:rsid w:val="0E792F4F"/>
    <w:rsid w:val="0F427A7F"/>
    <w:rsid w:val="0F9D0EBF"/>
    <w:rsid w:val="0FA920F8"/>
    <w:rsid w:val="0FB04606"/>
    <w:rsid w:val="0FBF2A5C"/>
    <w:rsid w:val="0FE7192B"/>
    <w:rsid w:val="10101E06"/>
    <w:rsid w:val="102173FB"/>
    <w:rsid w:val="108F25B6"/>
    <w:rsid w:val="111A3B43"/>
    <w:rsid w:val="11BF17D1"/>
    <w:rsid w:val="123416E2"/>
    <w:rsid w:val="127101E7"/>
    <w:rsid w:val="12C624DB"/>
    <w:rsid w:val="13301717"/>
    <w:rsid w:val="141D4C8E"/>
    <w:rsid w:val="144E0BA6"/>
    <w:rsid w:val="14BA1BCC"/>
    <w:rsid w:val="14EA4F37"/>
    <w:rsid w:val="154F0566"/>
    <w:rsid w:val="159A53A0"/>
    <w:rsid w:val="15B82C65"/>
    <w:rsid w:val="16833141"/>
    <w:rsid w:val="170F61FF"/>
    <w:rsid w:val="17167FED"/>
    <w:rsid w:val="1719707D"/>
    <w:rsid w:val="171F4A71"/>
    <w:rsid w:val="1776627E"/>
    <w:rsid w:val="17A66D9E"/>
    <w:rsid w:val="17A81BB1"/>
    <w:rsid w:val="17C37A7E"/>
    <w:rsid w:val="18117D55"/>
    <w:rsid w:val="187664E8"/>
    <w:rsid w:val="18A06D70"/>
    <w:rsid w:val="19146F3A"/>
    <w:rsid w:val="19866520"/>
    <w:rsid w:val="1A0B4997"/>
    <w:rsid w:val="1A22449B"/>
    <w:rsid w:val="1A4E0334"/>
    <w:rsid w:val="1A5E5070"/>
    <w:rsid w:val="1AF1038D"/>
    <w:rsid w:val="1B080F78"/>
    <w:rsid w:val="1BB54125"/>
    <w:rsid w:val="1C053408"/>
    <w:rsid w:val="1C1A10DB"/>
    <w:rsid w:val="1C774065"/>
    <w:rsid w:val="1CC745D4"/>
    <w:rsid w:val="1CD37CCF"/>
    <w:rsid w:val="1D091942"/>
    <w:rsid w:val="1D3F269C"/>
    <w:rsid w:val="1D4B3D09"/>
    <w:rsid w:val="1D5C1A72"/>
    <w:rsid w:val="1DC36CC6"/>
    <w:rsid w:val="1DD45AAC"/>
    <w:rsid w:val="1DF0665E"/>
    <w:rsid w:val="1DF35B43"/>
    <w:rsid w:val="1E2125FB"/>
    <w:rsid w:val="1E4C7792"/>
    <w:rsid w:val="1E707ECB"/>
    <w:rsid w:val="1E7B23CC"/>
    <w:rsid w:val="1E9F430C"/>
    <w:rsid w:val="1F8E5BB9"/>
    <w:rsid w:val="20362A4E"/>
    <w:rsid w:val="210A0486"/>
    <w:rsid w:val="211329C7"/>
    <w:rsid w:val="219704E6"/>
    <w:rsid w:val="21CD2F3E"/>
    <w:rsid w:val="220426D8"/>
    <w:rsid w:val="225647BD"/>
    <w:rsid w:val="231828DF"/>
    <w:rsid w:val="231F5A1C"/>
    <w:rsid w:val="237C16B0"/>
    <w:rsid w:val="238D0040"/>
    <w:rsid w:val="238E79A5"/>
    <w:rsid w:val="23A14683"/>
    <w:rsid w:val="23A777BF"/>
    <w:rsid w:val="23C135F5"/>
    <w:rsid w:val="249E5066"/>
    <w:rsid w:val="24AC1230"/>
    <w:rsid w:val="2500185F"/>
    <w:rsid w:val="25184E18"/>
    <w:rsid w:val="25283D1B"/>
    <w:rsid w:val="257663FC"/>
    <w:rsid w:val="25907C1F"/>
    <w:rsid w:val="25BC39F6"/>
    <w:rsid w:val="25C334D1"/>
    <w:rsid w:val="25C66FF8"/>
    <w:rsid w:val="26461511"/>
    <w:rsid w:val="274F0899"/>
    <w:rsid w:val="28081174"/>
    <w:rsid w:val="28786C24"/>
    <w:rsid w:val="28A276C8"/>
    <w:rsid w:val="298016AC"/>
    <w:rsid w:val="298F54D6"/>
    <w:rsid w:val="299802D6"/>
    <w:rsid w:val="29BC64BA"/>
    <w:rsid w:val="29E259F5"/>
    <w:rsid w:val="2AAA4765"/>
    <w:rsid w:val="2B732DA8"/>
    <w:rsid w:val="2B9209DE"/>
    <w:rsid w:val="2BE401FE"/>
    <w:rsid w:val="2C2953BE"/>
    <w:rsid w:val="2C636685"/>
    <w:rsid w:val="2CCD7CE6"/>
    <w:rsid w:val="2D527E89"/>
    <w:rsid w:val="2E937D8A"/>
    <w:rsid w:val="2EA01DE3"/>
    <w:rsid w:val="2ED753FC"/>
    <w:rsid w:val="2EDD554A"/>
    <w:rsid w:val="2F75117C"/>
    <w:rsid w:val="30F214D6"/>
    <w:rsid w:val="3117557E"/>
    <w:rsid w:val="31E542D4"/>
    <w:rsid w:val="31E85B72"/>
    <w:rsid w:val="3269517F"/>
    <w:rsid w:val="32F80156"/>
    <w:rsid w:val="335B187F"/>
    <w:rsid w:val="33684CFF"/>
    <w:rsid w:val="336F02F9"/>
    <w:rsid w:val="338E41AE"/>
    <w:rsid w:val="33AB50A9"/>
    <w:rsid w:val="33B43F5E"/>
    <w:rsid w:val="341F1484"/>
    <w:rsid w:val="344F3C87"/>
    <w:rsid w:val="34D83C7C"/>
    <w:rsid w:val="356B4CBA"/>
    <w:rsid w:val="357A5104"/>
    <w:rsid w:val="370150AD"/>
    <w:rsid w:val="37C413FA"/>
    <w:rsid w:val="38433B03"/>
    <w:rsid w:val="3905525C"/>
    <w:rsid w:val="390C2146"/>
    <w:rsid w:val="39274C80"/>
    <w:rsid w:val="395A7C30"/>
    <w:rsid w:val="39712FD3"/>
    <w:rsid w:val="3A1E65D5"/>
    <w:rsid w:val="3A4D746C"/>
    <w:rsid w:val="3A54457F"/>
    <w:rsid w:val="3B491430"/>
    <w:rsid w:val="3BB23479"/>
    <w:rsid w:val="3BD50FEA"/>
    <w:rsid w:val="3BDE40A0"/>
    <w:rsid w:val="3CAF1767"/>
    <w:rsid w:val="3CBB45AF"/>
    <w:rsid w:val="3DD07BE6"/>
    <w:rsid w:val="3DF02037"/>
    <w:rsid w:val="3E164BB3"/>
    <w:rsid w:val="3E1F291C"/>
    <w:rsid w:val="3E2B306F"/>
    <w:rsid w:val="3E4D7489"/>
    <w:rsid w:val="3E622552"/>
    <w:rsid w:val="3E9E7CE5"/>
    <w:rsid w:val="3EF01892"/>
    <w:rsid w:val="3F327BFC"/>
    <w:rsid w:val="3FE10A1F"/>
    <w:rsid w:val="40642868"/>
    <w:rsid w:val="40D34976"/>
    <w:rsid w:val="40D83BBD"/>
    <w:rsid w:val="41115F4D"/>
    <w:rsid w:val="41406E31"/>
    <w:rsid w:val="414A4154"/>
    <w:rsid w:val="41825474"/>
    <w:rsid w:val="418A27A2"/>
    <w:rsid w:val="41A53138"/>
    <w:rsid w:val="4235537D"/>
    <w:rsid w:val="42391D70"/>
    <w:rsid w:val="42470693"/>
    <w:rsid w:val="42DC702D"/>
    <w:rsid w:val="44310156"/>
    <w:rsid w:val="446C1438"/>
    <w:rsid w:val="449556E6"/>
    <w:rsid w:val="44B04485"/>
    <w:rsid w:val="44BF35B5"/>
    <w:rsid w:val="452A5A2F"/>
    <w:rsid w:val="457B0D80"/>
    <w:rsid w:val="45835E86"/>
    <w:rsid w:val="45912351"/>
    <w:rsid w:val="45DE60DE"/>
    <w:rsid w:val="45E67101"/>
    <w:rsid w:val="46767799"/>
    <w:rsid w:val="46993732"/>
    <w:rsid w:val="47497073"/>
    <w:rsid w:val="48484514"/>
    <w:rsid w:val="4857711A"/>
    <w:rsid w:val="48667A94"/>
    <w:rsid w:val="48B21E06"/>
    <w:rsid w:val="48BD578B"/>
    <w:rsid w:val="48FF5824"/>
    <w:rsid w:val="493078C5"/>
    <w:rsid w:val="49582CA3"/>
    <w:rsid w:val="49A81A17"/>
    <w:rsid w:val="49BD06DB"/>
    <w:rsid w:val="49ED0542"/>
    <w:rsid w:val="4A5A34EE"/>
    <w:rsid w:val="4B125CE2"/>
    <w:rsid w:val="4B1E24FB"/>
    <w:rsid w:val="4B3A2B43"/>
    <w:rsid w:val="4BEB7011"/>
    <w:rsid w:val="4C7402D7"/>
    <w:rsid w:val="4CFA4C80"/>
    <w:rsid w:val="4D202D92"/>
    <w:rsid w:val="4E402B66"/>
    <w:rsid w:val="4E5F3624"/>
    <w:rsid w:val="4E781E20"/>
    <w:rsid w:val="4E7C60AF"/>
    <w:rsid w:val="4F263818"/>
    <w:rsid w:val="4F2A5CF9"/>
    <w:rsid w:val="4F451EFA"/>
    <w:rsid w:val="4F867008"/>
    <w:rsid w:val="4FE61D11"/>
    <w:rsid w:val="50446212"/>
    <w:rsid w:val="50935E3B"/>
    <w:rsid w:val="50D13F4A"/>
    <w:rsid w:val="51981FF4"/>
    <w:rsid w:val="51DD691E"/>
    <w:rsid w:val="52FC4B82"/>
    <w:rsid w:val="533162C9"/>
    <w:rsid w:val="54745318"/>
    <w:rsid w:val="56B51AD1"/>
    <w:rsid w:val="56CB6F75"/>
    <w:rsid w:val="573E7F48"/>
    <w:rsid w:val="58240E03"/>
    <w:rsid w:val="58F72073"/>
    <w:rsid w:val="5913581D"/>
    <w:rsid w:val="592D018B"/>
    <w:rsid w:val="597F22BF"/>
    <w:rsid w:val="598D7F62"/>
    <w:rsid w:val="59A71CEC"/>
    <w:rsid w:val="5A164922"/>
    <w:rsid w:val="5C91106B"/>
    <w:rsid w:val="5CC91F13"/>
    <w:rsid w:val="5CCE5BB9"/>
    <w:rsid w:val="5D3C3FAF"/>
    <w:rsid w:val="5D450878"/>
    <w:rsid w:val="5D46181B"/>
    <w:rsid w:val="5D641CA2"/>
    <w:rsid w:val="5D794C6F"/>
    <w:rsid w:val="5D876655"/>
    <w:rsid w:val="5DD72473"/>
    <w:rsid w:val="5E6F08FE"/>
    <w:rsid w:val="5EAF3C89"/>
    <w:rsid w:val="5F4B757D"/>
    <w:rsid w:val="5F6441DB"/>
    <w:rsid w:val="5F7C24BA"/>
    <w:rsid w:val="5FA06B27"/>
    <w:rsid w:val="5FF217E7"/>
    <w:rsid w:val="60471B32"/>
    <w:rsid w:val="61747643"/>
    <w:rsid w:val="62376612"/>
    <w:rsid w:val="626A5428"/>
    <w:rsid w:val="62985553"/>
    <w:rsid w:val="62AC79B5"/>
    <w:rsid w:val="62E47B0C"/>
    <w:rsid w:val="63534C92"/>
    <w:rsid w:val="638B1595"/>
    <w:rsid w:val="647A512C"/>
    <w:rsid w:val="648D5F82"/>
    <w:rsid w:val="65040E2E"/>
    <w:rsid w:val="65DF0A5F"/>
    <w:rsid w:val="65E21749"/>
    <w:rsid w:val="66156D19"/>
    <w:rsid w:val="66E7298E"/>
    <w:rsid w:val="67006EDF"/>
    <w:rsid w:val="671D498D"/>
    <w:rsid w:val="672A2AF5"/>
    <w:rsid w:val="673426E5"/>
    <w:rsid w:val="681E0341"/>
    <w:rsid w:val="686456EB"/>
    <w:rsid w:val="69B12E3A"/>
    <w:rsid w:val="6A011020"/>
    <w:rsid w:val="6A467F43"/>
    <w:rsid w:val="6A7E25F5"/>
    <w:rsid w:val="6AA17436"/>
    <w:rsid w:val="6AD6136E"/>
    <w:rsid w:val="6CEE60CB"/>
    <w:rsid w:val="6CF748E0"/>
    <w:rsid w:val="6D3671B7"/>
    <w:rsid w:val="6D7F02B9"/>
    <w:rsid w:val="6DB137F1"/>
    <w:rsid w:val="6DD30EA9"/>
    <w:rsid w:val="6DFC1B3A"/>
    <w:rsid w:val="6E781FF5"/>
    <w:rsid w:val="6E9E78DE"/>
    <w:rsid w:val="6FA97436"/>
    <w:rsid w:val="70051BC1"/>
    <w:rsid w:val="70141305"/>
    <w:rsid w:val="70D56CE6"/>
    <w:rsid w:val="717C3606"/>
    <w:rsid w:val="71ED21B3"/>
    <w:rsid w:val="720553A9"/>
    <w:rsid w:val="721A550E"/>
    <w:rsid w:val="72225F5B"/>
    <w:rsid w:val="72760055"/>
    <w:rsid w:val="72792644"/>
    <w:rsid w:val="732C6966"/>
    <w:rsid w:val="73410663"/>
    <w:rsid w:val="73751C5E"/>
    <w:rsid w:val="73A62BBC"/>
    <w:rsid w:val="73B07597"/>
    <w:rsid w:val="73C01855"/>
    <w:rsid w:val="745E0F4B"/>
    <w:rsid w:val="747005E8"/>
    <w:rsid w:val="753041DB"/>
    <w:rsid w:val="7592164A"/>
    <w:rsid w:val="75D02172"/>
    <w:rsid w:val="761C0F14"/>
    <w:rsid w:val="76653ECF"/>
    <w:rsid w:val="76D01188"/>
    <w:rsid w:val="76E50438"/>
    <w:rsid w:val="773F0AC7"/>
    <w:rsid w:val="77703DAA"/>
    <w:rsid w:val="778519A6"/>
    <w:rsid w:val="77FC3543"/>
    <w:rsid w:val="787E1A12"/>
    <w:rsid w:val="78882890"/>
    <w:rsid w:val="78BE0C8D"/>
    <w:rsid w:val="790068CB"/>
    <w:rsid w:val="79142376"/>
    <w:rsid w:val="79D52FAA"/>
    <w:rsid w:val="7A10330A"/>
    <w:rsid w:val="7A2D2C4D"/>
    <w:rsid w:val="7B0A57DF"/>
    <w:rsid w:val="7B5D59C2"/>
    <w:rsid w:val="7B95154C"/>
    <w:rsid w:val="7BAE6AB2"/>
    <w:rsid w:val="7C3945CD"/>
    <w:rsid w:val="7C712EBC"/>
    <w:rsid w:val="7C740627"/>
    <w:rsid w:val="7D2204EA"/>
    <w:rsid w:val="7D4960AF"/>
    <w:rsid w:val="7DA7416C"/>
    <w:rsid w:val="7DF976EC"/>
    <w:rsid w:val="7F2D7CEE"/>
    <w:rsid w:val="7FC4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8"/>
    <w:qFormat/>
    <w:uiPriority w:val="99"/>
    <w:pPr>
      <w:ind w:firstLine="420"/>
    </w:pPr>
    <w:rPr>
      <w:rFonts w:ascii="Calibri" w:hAnsi="Calibri"/>
      <w:sz w:val="20"/>
      <w:szCs w:val="20"/>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next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2"/>
    <w:qFormat/>
    <w:uiPriority w:val="99"/>
    <w:pPr>
      <w:spacing w:after="120"/>
      <w:ind w:firstLine="420" w:firstLineChars="100"/>
    </w:pPr>
    <w:rPr>
      <w:sz w:val="21"/>
    </w:rPr>
  </w:style>
  <w:style w:type="paragraph" w:styleId="23">
    <w:name w:val="Body Text First Indent 2"/>
    <w:basedOn w:val="12"/>
    <w:qFormat/>
    <w:uiPriority w:val="0"/>
    <w:pPr>
      <w:ind w:firstLine="420" w:firstLineChars="20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1">
    <w:name w:val="_Style 3"/>
    <w:basedOn w:val="1"/>
    <w:qFormat/>
    <w:uiPriority w:val="0"/>
    <w:pPr>
      <w:ind w:firstLine="420" w:firstLineChars="200"/>
    </w:pPr>
    <w:rPr>
      <w:sz w:val="20"/>
    </w:rPr>
  </w:style>
  <w:style w:type="paragraph" w:customStyle="1" w:styleId="32">
    <w:name w:val="表格文字"/>
    <w:basedOn w:val="33"/>
    <w:qFormat/>
    <w:uiPriority w:val="0"/>
    <w:pPr>
      <w:spacing w:before="25" w:after="25"/>
      <w:jc w:val="left"/>
    </w:pPr>
    <w:rPr>
      <w:bCs/>
      <w:spacing w:val="10"/>
      <w:kern w:val="0"/>
      <w:sz w:val="24"/>
      <w:szCs w:val="20"/>
    </w:rPr>
  </w:style>
  <w:style w:type="paragraph" w:customStyle="1" w:styleId="33">
    <w:name w:val="表格文字（两侧对齐）"/>
    <w:basedOn w:val="1"/>
    <w:qFormat/>
    <w:uiPriority w:val="0"/>
    <w:pPr>
      <w:snapToGrid w:val="0"/>
    </w:pPr>
    <w:rPr>
      <w:kern w:val="0"/>
      <w:sz w:val="20"/>
    </w:rPr>
  </w:style>
  <w:style w:type="paragraph" w:customStyle="1" w:styleId="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正文缩进1"/>
    <w:basedOn w:val="36"/>
    <w:next w:val="34"/>
    <w:qFormat/>
    <w:uiPriority w:val="0"/>
    <w:pPr>
      <w:widowControl/>
      <w:ind w:firstLine="420"/>
      <w:jc w:val="left"/>
    </w:pPr>
    <w:rPr>
      <w:rFonts w:ascii="Calibri" w:hAnsi="Calibri"/>
      <w:kern w:val="0"/>
    </w:rPr>
  </w:style>
  <w:style w:type="paragraph" w:customStyle="1" w:styleId="36">
    <w:name w:val="正文_2"/>
    <w:next w:val="35"/>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7">
    <w:name w:val="font01"/>
    <w:qFormat/>
    <w:uiPriority w:val="0"/>
    <w:rPr>
      <w:rFonts w:hint="eastAsia" w:ascii="宋体" w:hAnsi="宋体" w:eastAsia="宋体" w:cs="宋体"/>
      <w:color w:val="0000FF"/>
      <w:sz w:val="22"/>
      <w:szCs w:val="22"/>
      <w:u w:val="none"/>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Table Paragraph"/>
    <w:basedOn w:val="1"/>
    <w:qFormat/>
    <w:uiPriority w:val="1"/>
    <w:rPr>
      <w:rFonts w:ascii="宋体" w:hAnsi="宋体" w:eastAsia="宋体" w:cs="宋体"/>
      <w:lang w:val="zh-CN" w:eastAsia="zh-CN" w:bidi="zh-CN"/>
    </w:rPr>
  </w:style>
  <w:style w:type="paragraph" w:styleId="40">
    <w:name w:val="List Paragraph"/>
    <w:basedOn w:val="1"/>
    <w:qFormat/>
    <w:uiPriority w:val="34"/>
    <w:pPr>
      <w:widowControl/>
      <w:ind w:firstLine="420" w:firstLineChars="200"/>
      <w:jc w:val="left"/>
    </w:pPr>
    <w:rPr>
      <w:kern w:val="0"/>
      <w:sz w:val="20"/>
      <w:szCs w:val="20"/>
    </w:rPr>
  </w:style>
  <w:style w:type="character" w:customStyle="1" w:styleId="41">
    <w:name w:val="font11"/>
    <w:basedOn w:val="26"/>
    <w:qFormat/>
    <w:uiPriority w:val="0"/>
    <w:rPr>
      <w:rFonts w:hint="eastAsia" w:ascii="宋体" w:hAnsi="宋体" w:eastAsia="宋体" w:cs="宋体"/>
      <w:color w:val="000000"/>
      <w:sz w:val="21"/>
      <w:szCs w:val="21"/>
      <w:u w:val="none"/>
    </w:rPr>
  </w:style>
  <w:style w:type="character" w:customStyle="1" w:styleId="42">
    <w:name w:val="font21"/>
    <w:basedOn w:val="26"/>
    <w:qFormat/>
    <w:uiPriority w:val="0"/>
    <w:rPr>
      <w:rFonts w:hint="eastAsia" w:ascii="宋体" w:hAnsi="宋体" w:eastAsia="宋体" w:cs="宋体"/>
      <w:b/>
      <w:bCs/>
      <w:color w:val="000000"/>
      <w:sz w:val="18"/>
      <w:szCs w:val="18"/>
      <w:u w:val="none"/>
    </w:rPr>
  </w:style>
  <w:style w:type="character" w:customStyle="1" w:styleId="43">
    <w:name w:val="font31"/>
    <w:basedOn w:val="26"/>
    <w:qFormat/>
    <w:uiPriority w:val="0"/>
    <w:rPr>
      <w:rFonts w:hint="eastAsia" w:ascii="宋体" w:hAnsi="宋体" w:eastAsia="宋体" w:cs="宋体"/>
      <w:color w:val="000000"/>
      <w:sz w:val="21"/>
      <w:szCs w:val="21"/>
      <w:u w:val="none"/>
    </w:rPr>
  </w:style>
  <w:style w:type="paragraph" w:customStyle="1" w:styleId="44">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5">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6">
    <w:name w:val="题注5"/>
    <w:basedOn w:val="1"/>
    <w:next w:val="9"/>
    <w:qFormat/>
    <w:uiPriority w:val="0"/>
    <w:pPr>
      <w:jc w:val="center"/>
    </w:pPr>
    <w:rPr>
      <w:b/>
      <w:color w:val="000000"/>
      <w:sz w:val="24"/>
      <w:szCs w:val="21"/>
    </w:rPr>
  </w:style>
  <w:style w:type="paragraph" w:customStyle="1" w:styleId="47">
    <w:name w:val="列出段落1"/>
    <w:basedOn w:val="1"/>
    <w:qFormat/>
    <w:uiPriority w:val="34"/>
    <w:pPr>
      <w:ind w:firstLine="420" w:firstLineChars="200"/>
    </w:pPr>
  </w:style>
  <w:style w:type="table" w:customStyle="1" w:styleId="48">
    <w:name w:val="Table Normal"/>
    <w:qFormat/>
    <w:uiPriority w:val="0"/>
    <w:tblPr>
      <w:tblCellMar>
        <w:top w:w="0" w:type="dxa"/>
        <w:left w:w="0" w:type="dxa"/>
        <w:bottom w:w="0" w:type="dxa"/>
        <w:right w:w="0" w:type="dxa"/>
      </w:tblCellMar>
    </w:tblPr>
  </w:style>
  <w:style w:type="character" w:customStyle="1" w:styleId="49">
    <w:name w:val="font41"/>
    <w:basedOn w:val="26"/>
    <w:qFormat/>
    <w:uiPriority w:val="0"/>
    <w:rPr>
      <w:rFonts w:hint="eastAsia" w:ascii="宋体" w:hAnsi="宋体" w:eastAsia="宋体" w:cs="宋体"/>
      <w:color w:val="000000"/>
      <w:sz w:val="21"/>
      <w:szCs w:val="21"/>
      <w:u w:val="none"/>
    </w:rPr>
  </w:style>
  <w:style w:type="character" w:customStyle="1" w:styleId="50">
    <w:name w:val="font131"/>
    <w:basedOn w:val="26"/>
    <w:qFormat/>
    <w:uiPriority w:val="0"/>
    <w:rPr>
      <w:rFonts w:hint="eastAsia" w:ascii="宋体" w:hAnsi="宋体" w:eastAsia="宋体" w:cs="宋体"/>
      <w:b/>
      <w:bCs/>
      <w:i/>
      <w:iCs/>
      <w:color w:val="000000"/>
      <w:sz w:val="21"/>
      <w:szCs w:val="21"/>
      <w:u w:val="none"/>
    </w:rPr>
  </w:style>
  <w:style w:type="character" w:customStyle="1" w:styleId="51">
    <w:name w:val="font101"/>
    <w:basedOn w:val="26"/>
    <w:qFormat/>
    <w:uiPriority w:val="0"/>
    <w:rPr>
      <w:rFonts w:hint="default" w:ascii="Times New Roman" w:hAnsi="Times New Roman" w:cs="Times New Roman"/>
      <w:b/>
      <w:bCs/>
      <w:i/>
      <w:iCs/>
      <w:color w:val="000000"/>
      <w:sz w:val="21"/>
      <w:szCs w:val="21"/>
      <w:u w:val="none"/>
    </w:rPr>
  </w:style>
  <w:style w:type="character" w:customStyle="1" w:styleId="52">
    <w:name w:val="font71"/>
    <w:basedOn w:val="26"/>
    <w:qFormat/>
    <w:uiPriority w:val="0"/>
    <w:rPr>
      <w:rFonts w:hint="eastAsia" w:ascii="宋体" w:hAnsi="宋体" w:eastAsia="宋体" w:cs="宋体"/>
      <w:b/>
      <w:bCs/>
      <w:color w:val="000000"/>
      <w:sz w:val="21"/>
      <w:szCs w:val="21"/>
      <w:u w:val="none"/>
    </w:rPr>
  </w:style>
  <w:style w:type="paragraph" w:customStyle="1" w:styleId="53">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4">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7">
    <w:name w:val="NormalCharacter"/>
    <w:qFormat/>
    <w:uiPriority w:val="0"/>
  </w:style>
  <w:style w:type="paragraph" w:customStyle="1" w:styleId="58">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9742</Words>
  <Characters>10270</Characters>
  <Paragraphs>1869</Paragraphs>
  <TotalTime>9</TotalTime>
  <ScaleCrop>false</ScaleCrop>
  <LinksUpToDate>false</LinksUpToDate>
  <CharactersWithSpaces>10365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林经纬</cp:lastModifiedBy>
  <dcterms:modified xsi:type="dcterms:W3CDTF">2025-06-05T00:33:46Z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80FA7C101A434FA08F7BFBFF5DF6BD94_13</vt:lpwstr>
  </property>
  <property fmtid="{D5CDD505-2E9C-101B-9397-08002B2CF9AE}" pid="4" name="commondata">
    <vt:lpwstr>eyJoZGlkIjoiZGNiZjhiYWJkMzQ2ODliZDg0M2NkY2U3ZDYyYTQ3YzEifQ==</vt:lpwstr>
  </property>
  <property fmtid="{D5CDD505-2E9C-101B-9397-08002B2CF9AE}" pid="5" name="KSOTemplateDocerSaveRecord">
    <vt:lpwstr>eyJoZGlkIjoiZjZmNmRmZjQ5ZGQ2NzQ4OGY2Yzc5MWY3YWQxNTRjNjIiLCJ1c2VySWQiOiI5NDI3ODEyNzAifQ==</vt:lpwstr>
  </property>
</Properties>
</file>