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02B7">
      <w:pPr>
        <w:jc w:val="center"/>
        <w:rPr>
          <w:rFonts w:ascii="微软雅黑" w:hAnsi="微软雅黑" w:eastAsia="微软雅黑"/>
          <w:sz w:val="36"/>
          <w:szCs w:val="40"/>
        </w:rPr>
      </w:pPr>
      <w:r>
        <w:rPr>
          <w:rFonts w:hint="eastAsia" w:ascii="微软雅黑" w:hAnsi="微软雅黑" w:eastAsia="微软雅黑"/>
          <w:sz w:val="36"/>
          <w:szCs w:val="40"/>
        </w:rPr>
        <w:t>中山大学孙逸仙医院</w:t>
      </w:r>
    </w:p>
    <w:p w14:paraId="19ED46AA">
      <w:pPr>
        <w:jc w:val="center"/>
        <w:rPr>
          <w:rFonts w:hint="eastAsia" w:ascii="微软雅黑" w:hAnsi="微软雅黑" w:eastAsia="微软雅黑"/>
          <w:sz w:val="36"/>
          <w:szCs w:val="40"/>
          <w:lang w:val="en-US" w:eastAsia="zh-CN"/>
        </w:rPr>
      </w:pPr>
      <w:r>
        <w:rPr>
          <w:rFonts w:hint="eastAsia" w:ascii="微软雅黑" w:hAnsi="微软雅黑" w:eastAsia="微软雅黑"/>
          <w:sz w:val="36"/>
          <w:szCs w:val="40"/>
          <w:lang w:val="en-US" w:eastAsia="zh-CN"/>
        </w:rPr>
        <w:t>内分泌实验室</w:t>
      </w:r>
    </w:p>
    <w:p w14:paraId="25D1461F">
      <w:pPr>
        <w:jc w:val="center"/>
        <w:rPr>
          <w:rFonts w:ascii="微软雅黑" w:hAnsi="微软雅黑" w:eastAsia="微软雅黑"/>
          <w:sz w:val="36"/>
          <w:szCs w:val="40"/>
        </w:rPr>
      </w:pPr>
      <w:r>
        <w:rPr>
          <w:rFonts w:hint="eastAsia" w:ascii="微软雅黑" w:hAnsi="微软雅黑" w:eastAsia="微软雅黑"/>
          <w:sz w:val="36"/>
          <w:szCs w:val="40"/>
        </w:rPr>
        <w:t>标准化智慧实验室管理平台用户需求</w:t>
      </w:r>
    </w:p>
    <w:p w14:paraId="746073C2">
      <w:pPr>
        <w:spacing w:after="0" w:line="240" w:lineRule="auto"/>
        <w:jc w:val="both"/>
        <w:rPr>
          <w:rFonts w:ascii="Calibri" w:hAnsi="Calibri"/>
          <w:color w:val="000000" w:themeColor="text1"/>
          <w:sz w:val="21"/>
          <w:szCs w:val="22"/>
          <w14:textFill>
            <w14:solidFill>
              <w14:schemeClr w14:val="tx1"/>
            </w14:solidFill>
          </w14:textFill>
        </w:rPr>
      </w:pPr>
      <w:r>
        <w:rPr>
          <w:rFonts w:hint="eastAsia" w:ascii="Calibri" w:hAnsi="Calibri"/>
          <w:color w:val="000000" w:themeColor="text1"/>
          <w:sz w:val="21"/>
          <w:szCs w:val="22"/>
          <w:highlight w:val="yellow"/>
          <w14:textFill>
            <w14:solidFill>
              <w14:schemeClr w14:val="tx1"/>
            </w14:solidFill>
          </w14:textFill>
        </w:rPr>
        <w:t>标准化智慧实验室管理平台：应涵盖实验室运营的各个环节，从质量管理、流程优化、到数据分析、决策支持，全面满足实验室的多样化需求</w:t>
      </w:r>
      <w:r>
        <w:rPr>
          <w:rFonts w:hint="eastAsia" w:ascii="Calibri" w:hAnsi="Calibri"/>
          <w:color w:val="000000" w:themeColor="text1"/>
          <w:sz w:val="21"/>
          <w:szCs w:val="22"/>
          <w14:textFill>
            <w14:solidFill>
              <w14:schemeClr w14:val="tx1"/>
            </w14:solidFill>
          </w14:textFill>
        </w:rPr>
        <w:t>，</w:t>
      </w:r>
    </w:p>
    <w:p w14:paraId="433481DF">
      <w:pPr>
        <w:numPr>
          <w:ilvl w:val="0"/>
          <w:numId w:val="1"/>
        </w:numPr>
        <w:spacing w:after="0" w:line="240" w:lineRule="auto"/>
        <w:jc w:val="both"/>
        <w:rPr>
          <w:rFonts w:ascii="宋体" w:hAnsi="宋体" w:eastAsia="宋体" w:cs="宋体"/>
          <w:sz w:val="21"/>
          <w:szCs w:val="21"/>
        </w:rPr>
      </w:pPr>
      <w:r>
        <w:rPr>
          <w:rFonts w:ascii="宋体" w:hAnsi="宋体" w:eastAsia="宋体" w:cs="宋体"/>
          <w:sz w:val="21"/>
          <w:szCs w:val="21"/>
        </w:rPr>
        <w:t>满足</w:t>
      </w:r>
      <w:r>
        <w:rPr>
          <w:rFonts w:hint="eastAsia" w:ascii="宋体" w:hAnsi="宋体" w:eastAsia="宋体" w:cs="宋体"/>
          <w:sz w:val="21"/>
          <w:szCs w:val="21"/>
          <w:lang w:val="en-US" w:eastAsia="zh-CN"/>
        </w:rPr>
        <w:t>内分泌实验室</w:t>
      </w:r>
      <w:r>
        <w:rPr>
          <w:rFonts w:ascii="宋体" w:hAnsi="宋体" w:eastAsia="宋体" w:cs="宋体"/>
          <w:sz w:val="21"/>
          <w:szCs w:val="21"/>
        </w:rPr>
        <w:t>智慧实验室建设的需要：建立统一管理体系，实现资源共享和高效利用；不同院区间体系是同质化运行与管理的基础；良好的区域检验质量管理体系市同质化的保证；人员能力和水平的提升确保同质化的可行性发展</w:t>
      </w:r>
    </w:p>
    <w:p w14:paraId="50671171">
      <w:pPr>
        <w:numPr>
          <w:ilvl w:val="0"/>
          <w:numId w:val="1"/>
        </w:numPr>
        <w:spacing w:after="0" w:line="240" w:lineRule="auto"/>
        <w:jc w:val="both"/>
        <w:rPr>
          <w:rFonts w:ascii="宋体" w:hAnsi="宋体" w:eastAsia="宋体" w:cs="宋体"/>
          <w:sz w:val="21"/>
          <w:szCs w:val="21"/>
        </w:rPr>
      </w:pPr>
      <w:r>
        <w:rPr>
          <w:rFonts w:ascii="宋体" w:hAnsi="宋体" w:eastAsia="宋体" w:cs="宋体"/>
          <w:sz w:val="21"/>
          <w:szCs w:val="21"/>
        </w:rPr>
        <w:t>满足政府有关部门监管需要：满足等级医院评审要求、公立医院三级绩效考评要求；</w:t>
      </w:r>
    </w:p>
    <w:p w14:paraId="1D14F631">
      <w:pPr>
        <w:numPr>
          <w:ilvl w:val="0"/>
          <w:numId w:val="1"/>
        </w:numPr>
        <w:spacing w:after="0" w:line="240" w:lineRule="auto"/>
        <w:jc w:val="both"/>
        <w:rPr>
          <w:rFonts w:ascii="宋体" w:hAnsi="宋体" w:eastAsia="宋体" w:cs="宋体"/>
          <w:sz w:val="21"/>
          <w:szCs w:val="21"/>
        </w:rPr>
      </w:pPr>
      <w:r>
        <w:rPr>
          <w:rFonts w:ascii="宋体" w:hAnsi="宋体" w:eastAsia="宋体" w:cs="宋体"/>
          <w:sz w:val="21"/>
          <w:szCs w:val="21"/>
        </w:rPr>
        <w:t>满足国家层面政策需要:支持智慧医疗、智慧管理、智慧服务三位一体的智慧医院建设，达标国家医院智慧管理分级评估标准最高级别5级；</w:t>
      </w:r>
    </w:p>
    <w:p w14:paraId="48357CFC">
      <w:pPr>
        <w:numPr>
          <w:ilvl w:val="0"/>
          <w:numId w:val="1"/>
        </w:numPr>
        <w:spacing w:after="0" w:line="240" w:lineRule="auto"/>
        <w:jc w:val="both"/>
        <w:rPr>
          <w:rFonts w:ascii="宋体" w:hAnsi="宋体" w:eastAsia="宋体" w:cs="宋体"/>
          <w:sz w:val="21"/>
          <w:szCs w:val="21"/>
        </w:rPr>
      </w:pPr>
      <w:r>
        <w:rPr>
          <w:rFonts w:ascii="宋体" w:hAnsi="宋体" w:eastAsia="宋体" w:cs="宋体"/>
          <w:sz w:val="21"/>
          <w:szCs w:val="21"/>
        </w:rPr>
        <w:t>满足实验室评审需要:全面满足检验科ISO15189国际标准认可要求，促进检验结果国际互认；</w:t>
      </w:r>
    </w:p>
    <w:p w14:paraId="143E46E6">
      <w:pPr>
        <w:numPr>
          <w:ilvl w:val="0"/>
          <w:numId w:val="1"/>
        </w:numPr>
        <w:spacing w:after="0" w:line="240" w:lineRule="auto"/>
        <w:jc w:val="both"/>
        <w:rPr>
          <w:rFonts w:ascii="宋体" w:hAnsi="宋体" w:eastAsia="宋体" w:cs="宋体"/>
          <w:sz w:val="21"/>
          <w:szCs w:val="21"/>
        </w:rPr>
      </w:pPr>
      <w:r>
        <w:rPr>
          <w:rFonts w:ascii="宋体" w:hAnsi="宋体" w:eastAsia="宋体" w:cs="宋体"/>
          <w:sz w:val="21"/>
          <w:szCs w:val="21"/>
        </w:rPr>
        <w:t>满足实验室自身发展需要：助力高水平医院建设和医院、学科高质量发展，实现实验室“人、机、料、法、环”关键环节管理。</w:t>
      </w:r>
    </w:p>
    <w:p w14:paraId="63B1A132">
      <w:pPr>
        <w:pStyle w:val="28"/>
        <w:spacing w:after="0" w:line="240" w:lineRule="auto"/>
        <w:ind w:left="0"/>
        <w:contextualSpacing w:val="0"/>
        <w:jc w:val="both"/>
        <w:rPr>
          <w:b/>
          <w:bCs/>
          <w:sz w:val="28"/>
          <w:szCs w:val="36"/>
        </w:rPr>
      </w:pPr>
      <w:r>
        <w:rPr>
          <w:rFonts w:hint="eastAsia" w:ascii="Calibri" w:hAnsi="Calibri"/>
          <w:color w:val="000000" w:themeColor="text1"/>
          <w:sz w:val="21"/>
          <w:szCs w:val="22"/>
          <w:highlight w:val="yellow"/>
          <w14:textFill>
            <w14:solidFill>
              <w14:schemeClr w14:val="tx1"/>
            </w14:solidFill>
          </w14:textFill>
        </w:rPr>
        <w:t>包含但不限于以下功能</w:t>
      </w:r>
      <w:r>
        <w:rPr>
          <w:rFonts w:hint="eastAsia" w:ascii="Calibri" w:hAnsi="Calibri"/>
          <w:color w:val="000000" w:themeColor="text1"/>
          <w:sz w:val="21"/>
          <w:szCs w:val="22"/>
          <w14:textFill>
            <w14:solidFill>
              <w14:schemeClr w14:val="tx1"/>
            </w14:solidFill>
          </w14:textFill>
        </w:rPr>
        <w:t>：</w:t>
      </w:r>
    </w:p>
    <w:p w14:paraId="69328DF8">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文件管理：</w:t>
      </w:r>
    </w:p>
    <w:p w14:paraId="537D4E3E">
      <w:pPr>
        <w:numPr>
          <w:ilvl w:val="0"/>
          <w:numId w:val="1"/>
        </w:numPr>
        <w:spacing w:after="0" w:line="240" w:lineRule="auto"/>
        <w:jc w:val="both"/>
        <w:rPr>
          <w:rFonts w:ascii="宋体" w:hAnsi="宋体" w:eastAsia="宋体" w:cs="宋体"/>
          <w:szCs w:val="21"/>
        </w:rPr>
      </w:pPr>
      <w:r>
        <w:rPr>
          <w:rFonts w:hint="eastAsia" w:ascii="宋体" w:hAnsi="宋体" w:eastAsia="宋体" w:cs="宋体"/>
          <w:sz w:val="21"/>
          <w:szCs w:val="21"/>
        </w:rPr>
        <w:t>满足ISO 15189:2022版标准8.2和8.3的认可要求，支持内部文件、外部文件在线预览、下载管理、文档查阅记录功能；</w:t>
      </w:r>
    </w:p>
    <w:p w14:paraId="092F70A0">
      <w:pPr>
        <w:numPr>
          <w:ilvl w:val="0"/>
          <w:numId w:val="1"/>
        </w:numPr>
        <w:spacing w:after="0" w:line="240" w:lineRule="auto"/>
        <w:jc w:val="both"/>
        <w:rPr>
          <w:rFonts w:ascii="宋体" w:hAnsi="宋体" w:eastAsia="宋体" w:cs="宋体"/>
          <w:szCs w:val="21"/>
        </w:rPr>
      </w:pPr>
      <w:r>
        <w:rPr>
          <w:rFonts w:hint="eastAsia" w:ascii="宋体" w:hAnsi="宋体" w:eastAsia="宋体" w:cs="宋体"/>
          <w:sz w:val="21"/>
          <w:szCs w:val="21"/>
        </w:rPr>
        <w:t>支持查看文件信息、历史记录及阅读量；</w:t>
      </w:r>
    </w:p>
    <w:p w14:paraId="7C006444">
      <w:pPr>
        <w:numPr>
          <w:ilvl w:val="0"/>
          <w:numId w:val="1"/>
        </w:numPr>
        <w:spacing w:after="0" w:line="240" w:lineRule="auto"/>
        <w:jc w:val="both"/>
        <w:rPr>
          <w:rFonts w:ascii="宋体" w:hAnsi="宋体" w:eastAsia="宋体" w:cs="宋体"/>
          <w:szCs w:val="21"/>
        </w:rPr>
      </w:pPr>
      <w:r>
        <w:rPr>
          <w:rFonts w:hint="eastAsia" w:ascii="宋体" w:hAnsi="宋体" w:eastAsia="宋体" w:cs="宋体"/>
          <w:sz w:val="21"/>
          <w:szCs w:val="21"/>
        </w:rPr>
        <w:t>支持文件电子归档，文件管理流程(新建、修订、审核、批准、发布、借阅、废止等)符合ISO15189：2022 规范要求；</w:t>
      </w:r>
    </w:p>
    <w:p w14:paraId="3613831C">
      <w:pPr>
        <w:pStyle w:val="33"/>
        <w:numPr>
          <w:ilvl w:val="0"/>
          <w:numId w:val="1"/>
        </w:numPr>
        <w:rPr>
          <w:rFonts w:ascii="宋体" w:hAnsi="宋体" w:cs="宋体"/>
          <w:szCs w:val="21"/>
        </w:rPr>
      </w:pPr>
      <w:r>
        <w:rPr>
          <w:rFonts w:hint="eastAsia" w:ascii="宋体" w:hAnsi="宋体" w:cs="宋体"/>
          <w:szCs w:val="21"/>
        </w:rPr>
        <w:t>支持在线协同编辑；</w:t>
      </w:r>
    </w:p>
    <w:p w14:paraId="25998D22">
      <w:pPr>
        <w:pStyle w:val="33"/>
        <w:numPr>
          <w:ilvl w:val="0"/>
          <w:numId w:val="1"/>
        </w:numPr>
        <w:jc w:val="left"/>
        <w:rPr>
          <w:rFonts w:ascii="宋体" w:hAnsi="宋体" w:cs="宋体"/>
          <w:szCs w:val="21"/>
        </w:rPr>
      </w:pPr>
      <w:r>
        <w:rPr>
          <w:rFonts w:hint="eastAsia" w:ascii="宋体" w:hAnsi="宋体" w:cs="宋体"/>
          <w:szCs w:val="21"/>
        </w:rPr>
        <w:t>支持批量上传文件，文件格式包含:doc/docx、xls/xlsx、ppt/pptx、pdf、txt、png/jpg/jpeg/bmp；</w:t>
      </w:r>
    </w:p>
    <w:p w14:paraId="0EC82187">
      <w:pPr>
        <w:pStyle w:val="33"/>
        <w:numPr>
          <w:ilvl w:val="0"/>
          <w:numId w:val="1"/>
        </w:numPr>
        <w:rPr>
          <w:rFonts w:ascii="宋体" w:hAnsi="宋体" w:cs="宋体"/>
          <w:szCs w:val="21"/>
        </w:rPr>
      </w:pPr>
      <w:r>
        <w:rPr>
          <w:rFonts w:hint="eastAsia" w:ascii="宋体" w:hAnsi="宋体" w:cs="宋体"/>
          <w:szCs w:val="21"/>
        </w:rPr>
        <w:t>满足文件评审的要求，支持文件评审的流程制度、实施和报告生成。</w:t>
      </w:r>
    </w:p>
    <w:p w14:paraId="2EBAF928">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电子记录：</w:t>
      </w:r>
    </w:p>
    <w:p w14:paraId="55F54773">
      <w:pPr>
        <w:numPr>
          <w:ilvl w:val="0"/>
          <w:numId w:val="3"/>
        </w:numPr>
        <w:spacing w:after="0" w:line="240" w:lineRule="auto"/>
        <w:jc w:val="both"/>
        <w:rPr>
          <w:rFonts w:ascii="宋体" w:hAnsi="宋体" w:eastAsia="宋体" w:cs="宋体"/>
          <w:szCs w:val="21"/>
        </w:rPr>
      </w:pPr>
      <w:r>
        <w:rPr>
          <w:rFonts w:hint="eastAsia" w:ascii="宋体" w:hAnsi="宋体" w:eastAsia="宋体" w:cs="宋体"/>
          <w:sz w:val="21"/>
          <w:szCs w:val="21"/>
        </w:rPr>
        <w:t>按照 ISO 15189：2022条款要求进行分类，所有记录进行电子化，检验人员按分类索引可快捷找到所需表单；</w:t>
      </w:r>
    </w:p>
    <w:p w14:paraId="3DC2F167">
      <w:pPr>
        <w:numPr>
          <w:ilvl w:val="0"/>
          <w:numId w:val="3"/>
        </w:numPr>
        <w:spacing w:after="0" w:line="240" w:lineRule="auto"/>
        <w:jc w:val="both"/>
        <w:rPr>
          <w:rFonts w:ascii="宋体" w:hAnsi="宋体" w:eastAsia="宋体" w:cs="宋体"/>
          <w:szCs w:val="21"/>
        </w:rPr>
      </w:pPr>
      <w:r>
        <w:rPr>
          <w:rFonts w:hint="eastAsia" w:ascii="宋体" w:hAnsi="宋体" w:eastAsia="宋体" w:cs="宋体"/>
          <w:sz w:val="21"/>
          <w:szCs w:val="21"/>
        </w:rPr>
        <w:t>各专业组表单记录电子化；</w:t>
      </w:r>
    </w:p>
    <w:p w14:paraId="7AB3C219">
      <w:pPr>
        <w:numPr>
          <w:ilvl w:val="0"/>
          <w:numId w:val="3"/>
        </w:numPr>
        <w:spacing w:after="0" w:line="240" w:lineRule="auto"/>
        <w:jc w:val="both"/>
        <w:rPr>
          <w:rFonts w:ascii="宋体" w:hAnsi="宋体" w:cs="宋体"/>
          <w:szCs w:val="21"/>
        </w:rPr>
      </w:pPr>
      <w:r>
        <w:rPr>
          <w:rFonts w:hint="eastAsia" w:ascii="宋体" w:hAnsi="宋体" w:eastAsia="宋体" w:cs="宋体"/>
          <w:sz w:val="21"/>
          <w:szCs w:val="21"/>
        </w:rPr>
        <w:t>针对其中多环节的记录表格，采用流程化管理，流转分配给相应岗位的工作人员。流程结束支持表单自动生成，可打印、导出PDF格式文件；</w:t>
      </w:r>
    </w:p>
    <w:p w14:paraId="5D2A3670">
      <w:pPr>
        <w:numPr>
          <w:ilvl w:val="0"/>
          <w:numId w:val="3"/>
        </w:numPr>
        <w:spacing w:after="0" w:line="240" w:lineRule="auto"/>
        <w:jc w:val="both"/>
        <w:rPr>
          <w:rFonts w:ascii="宋体" w:hAnsi="宋体" w:cs="宋体"/>
          <w:szCs w:val="21"/>
        </w:rPr>
      </w:pPr>
      <w:r>
        <w:rPr>
          <w:rFonts w:hint="eastAsia" w:ascii="宋体" w:hAnsi="宋体" w:eastAsia="宋体" w:cs="宋体"/>
          <w:sz w:val="21"/>
          <w:szCs w:val="21"/>
        </w:rPr>
        <w:t>表单格式和记录流程可自定义配置;全面满足ISO15189:2022中8.3和8.4的要求。</w:t>
      </w:r>
    </w:p>
    <w:p w14:paraId="37773C2E">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人事管理：</w:t>
      </w:r>
    </w:p>
    <w:p w14:paraId="744C9436">
      <w:pPr>
        <w:numPr>
          <w:ilvl w:val="0"/>
          <w:numId w:val="4"/>
        </w:numPr>
        <w:spacing w:after="0" w:line="240" w:lineRule="auto"/>
        <w:jc w:val="both"/>
        <w:rPr>
          <w:rFonts w:ascii="宋体" w:hAnsi="宋体" w:eastAsia="宋体" w:cs="宋体"/>
          <w:szCs w:val="21"/>
        </w:rPr>
      </w:pPr>
      <w:r>
        <w:rPr>
          <w:rFonts w:hint="eastAsia" w:ascii="宋体" w:hAnsi="宋体" w:eastAsia="宋体" w:cs="宋体"/>
          <w:sz w:val="21"/>
          <w:szCs w:val="21"/>
        </w:rPr>
        <w:t>系统从科室维度登记人员的各个维度信息，包括参加岗位培训、岗位能力评估、继续教育、培训进修、论文专著、社会任职的情况，通过系统提供丰富的查询维度，可方便查询科室各种查询条件下的人员维度信息；</w:t>
      </w:r>
    </w:p>
    <w:p w14:paraId="38DEE436">
      <w:pPr>
        <w:numPr>
          <w:ilvl w:val="0"/>
          <w:numId w:val="4"/>
        </w:numPr>
        <w:spacing w:after="0" w:line="240" w:lineRule="auto"/>
        <w:jc w:val="both"/>
        <w:rPr>
          <w:rFonts w:ascii="宋体" w:hAnsi="宋体" w:eastAsia="宋体" w:cs="宋体"/>
          <w:szCs w:val="21"/>
        </w:rPr>
      </w:pPr>
      <w:r>
        <w:rPr>
          <w:rFonts w:hint="eastAsia" w:ascii="宋体" w:hAnsi="宋体" w:eastAsia="宋体" w:cs="宋体"/>
          <w:sz w:val="21"/>
          <w:szCs w:val="21"/>
        </w:rPr>
        <w:t>符合 ISO 15189:2022 要求的实验室人员电子档案管理功能，内容包括人员基本信息、教育经历、工作经历、专业轮岗记录、培训记录、进修记录、继续教育、论文专著、社会任职、资质证书、科研成果、个人健康信息；</w:t>
      </w:r>
    </w:p>
    <w:p w14:paraId="59E5CA8D">
      <w:pPr>
        <w:numPr>
          <w:ilvl w:val="0"/>
          <w:numId w:val="4"/>
        </w:numPr>
        <w:spacing w:after="0" w:line="240" w:lineRule="auto"/>
        <w:jc w:val="both"/>
        <w:rPr>
          <w:rFonts w:ascii="宋体" w:hAnsi="宋体" w:eastAsia="宋体" w:cs="宋体"/>
          <w:szCs w:val="21"/>
        </w:rPr>
      </w:pPr>
      <w:r>
        <w:rPr>
          <w:rFonts w:hint="eastAsia" w:ascii="宋体" w:hAnsi="宋体" w:eastAsia="宋体" w:cs="宋体"/>
          <w:sz w:val="21"/>
          <w:szCs w:val="21"/>
        </w:rPr>
        <w:t>人事管理系统能实现与电子记录相关联，系统内个人技术培训记录自动存入个人电子档案；</w:t>
      </w:r>
    </w:p>
    <w:p w14:paraId="5F986261">
      <w:pPr>
        <w:numPr>
          <w:ilvl w:val="0"/>
          <w:numId w:val="4"/>
        </w:numPr>
        <w:spacing w:after="0" w:line="240" w:lineRule="auto"/>
        <w:jc w:val="both"/>
        <w:rPr>
          <w:rFonts w:ascii="宋体" w:hAnsi="宋体" w:cs="宋体"/>
          <w:szCs w:val="21"/>
        </w:rPr>
      </w:pPr>
      <w:r>
        <w:rPr>
          <w:rFonts w:hint="eastAsia" w:ascii="宋体" w:hAnsi="宋体" w:eastAsia="宋体" w:cs="宋体"/>
          <w:sz w:val="21"/>
          <w:szCs w:val="21"/>
        </w:rPr>
        <w:t>岗位培训、能力评估、授权记录管理通过流程式表单进行登记和审批；</w:t>
      </w:r>
    </w:p>
    <w:p w14:paraId="7403174D">
      <w:pPr>
        <w:numPr>
          <w:ilvl w:val="0"/>
          <w:numId w:val="4"/>
        </w:numPr>
        <w:spacing w:after="0" w:line="240" w:lineRule="auto"/>
        <w:jc w:val="both"/>
        <w:rPr>
          <w:rFonts w:ascii="宋体" w:hAnsi="宋体" w:cs="宋体"/>
          <w:szCs w:val="21"/>
        </w:rPr>
      </w:pPr>
      <w:r>
        <w:rPr>
          <w:rFonts w:hint="eastAsia" w:ascii="宋体" w:hAnsi="宋体" w:eastAsia="宋体" w:cs="宋体"/>
          <w:sz w:val="21"/>
          <w:szCs w:val="21"/>
        </w:rPr>
        <w:t>支持各种支撑材料可实现拍照或扫描录入。</w:t>
      </w:r>
    </w:p>
    <w:p w14:paraId="35A1CCAD">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设备管理：</w:t>
      </w:r>
    </w:p>
    <w:p w14:paraId="1B35CB50">
      <w:pPr>
        <w:numPr>
          <w:ilvl w:val="0"/>
          <w:numId w:val="5"/>
        </w:numPr>
        <w:spacing w:after="0" w:line="240" w:lineRule="auto"/>
        <w:jc w:val="both"/>
        <w:rPr>
          <w:rFonts w:ascii="宋体" w:hAnsi="宋体" w:eastAsia="宋体" w:cs="宋体"/>
          <w:szCs w:val="21"/>
        </w:rPr>
      </w:pPr>
      <w:r>
        <w:rPr>
          <w:rFonts w:hint="eastAsia" w:ascii="宋体" w:hAnsi="宋体" w:eastAsia="宋体" w:cs="宋体"/>
          <w:sz w:val="21"/>
          <w:szCs w:val="21"/>
        </w:rPr>
        <w:t>通过一个表格即可快速有效展示本实验室内所有仪器设备的基本情况，并提供丰富的检索条件，可根据需求快速检索出需要查看的仪器设备列表；</w:t>
      </w:r>
    </w:p>
    <w:p w14:paraId="79C573F5">
      <w:pPr>
        <w:pStyle w:val="33"/>
        <w:numPr>
          <w:ilvl w:val="0"/>
          <w:numId w:val="5"/>
        </w:numPr>
        <w:rPr>
          <w:rFonts w:ascii="宋体" w:hAnsi="宋体" w:cs="宋体"/>
          <w:szCs w:val="21"/>
        </w:rPr>
      </w:pPr>
      <w:r>
        <w:rPr>
          <w:rFonts w:hint="eastAsia" w:ascii="宋体" w:hAnsi="宋体" w:cs="宋体"/>
          <w:szCs w:val="21"/>
        </w:rPr>
        <w:t>覆盖设备整个生命周期的各个环节，建立设备层次结构、位置体系和分类体系；</w:t>
      </w:r>
    </w:p>
    <w:p w14:paraId="26FE6B2D">
      <w:pPr>
        <w:pStyle w:val="33"/>
        <w:numPr>
          <w:ilvl w:val="0"/>
          <w:numId w:val="5"/>
        </w:numPr>
        <w:rPr>
          <w:rFonts w:ascii="宋体" w:hAnsi="宋体" w:cs="宋体"/>
          <w:szCs w:val="21"/>
        </w:rPr>
      </w:pPr>
      <w:r>
        <w:rPr>
          <w:rFonts w:hint="eastAsia" w:ascii="宋体" w:hAnsi="宋体" w:cs="宋体"/>
          <w:szCs w:val="21"/>
        </w:rPr>
        <w:t>按照ISO15189:2022的要求建立完备的设备档案，设备信息完整，包括设备基本信息、仪器类别、所属部门、负责人、厂商、供应商，可上传三证、说明书等资料；</w:t>
      </w:r>
    </w:p>
    <w:p w14:paraId="096269DA">
      <w:pPr>
        <w:pStyle w:val="33"/>
        <w:numPr>
          <w:ilvl w:val="0"/>
          <w:numId w:val="5"/>
        </w:numPr>
        <w:rPr>
          <w:rFonts w:ascii="宋体" w:hAnsi="宋体" w:cs="宋体"/>
          <w:szCs w:val="21"/>
        </w:rPr>
      </w:pPr>
      <w:r>
        <w:rPr>
          <w:rFonts w:hint="eastAsia" w:ascii="宋体" w:hAnsi="宋体" w:cs="宋体"/>
          <w:szCs w:val="21"/>
        </w:rPr>
        <w:t>设备信息可按部门、岗位、负责人等自定义分类规则索引，相关信息可在全平台调用；</w:t>
      </w:r>
    </w:p>
    <w:p w14:paraId="1F839522">
      <w:pPr>
        <w:pStyle w:val="33"/>
        <w:numPr>
          <w:ilvl w:val="0"/>
          <w:numId w:val="5"/>
        </w:numPr>
        <w:rPr>
          <w:rFonts w:ascii="宋体" w:hAnsi="宋体" w:cs="宋体"/>
          <w:szCs w:val="21"/>
        </w:rPr>
      </w:pPr>
      <w:r>
        <w:rPr>
          <w:rFonts w:hint="eastAsia" w:ascii="宋体" w:hAnsi="宋体" w:cs="宋体"/>
          <w:szCs w:val="21"/>
        </w:rPr>
        <w:t>与电子记录关联，建立和共享设备校准记录、维护保养记录、维修记录。 自动统计分析设备情况，包括资产总值、大小型设备分布情况、专业组设备情况等；</w:t>
      </w:r>
    </w:p>
    <w:p w14:paraId="15FCF107">
      <w:pPr>
        <w:pStyle w:val="33"/>
        <w:numPr>
          <w:ilvl w:val="0"/>
          <w:numId w:val="5"/>
        </w:numPr>
        <w:rPr>
          <w:rFonts w:ascii="宋体" w:hAnsi="宋体" w:cs="宋体" w:eastAsiaTheme="minorEastAsia"/>
          <w:szCs w:val="21"/>
        </w:rPr>
      </w:pPr>
      <w:r>
        <w:rPr>
          <w:rFonts w:hint="eastAsia" w:ascii="宋体" w:hAnsi="宋体" w:cs="宋体"/>
          <w:szCs w:val="21"/>
        </w:rPr>
        <w:t>系统可按计划按时提醒工作人员执行相关计划，并快捷执行。</w:t>
      </w:r>
    </w:p>
    <w:p w14:paraId="7E32DA7D">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认可迎检：</w:t>
      </w:r>
    </w:p>
    <w:p w14:paraId="7FF4DA6D">
      <w:pPr>
        <w:numPr>
          <w:ilvl w:val="0"/>
          <w:numId w:val="6"/>
        </w:numPr>
        <w:spacing w:after="0" w:line="240" w:lineRule="auto"/>
        <w:jc w:val="both"/>
        <w:rPr>
          <w:rFonts w:ascii="宋体" w:hAnsi="宋体" w:eastAsia="宋体" w:cs="宋体"/>
          <w:szCs w:val="21"/>
        </w:rPr>
      </w:pPr>
      <w:r>
        <w:rPr>
          <w:rFonts w:hint="eastAsia" w:ascii="宋体" w:hAnsi="宋体" w:eastAsia="宋体" w:cs="宋体"/>
          <w:sz w:val="21"/>
          <w:szCs w:val="21"/>
        </w:rPr>
        <w:t>提供ISO15189：2022新版认可准则对应的标准解读和专家现场方法和迎检要点，以及实验室各亚专业的认可要求和迎检思路；</w:t>
      </w:r>
    </w:p>
    <w:p w14:paraId="6F6C92E3">
      <w:pPr>
        <w:numPr>
          <w:ilvl w:val="0"/>
          <w:numId w:val="6"/>
        </w:numPr>
        <w:spacing w:after="0" w:line="240" w:lineRule="auto"/>
        <w:jc w:val="both"/>
        <w:rPr>
          <w:rFonts w:ascii="宋体" w:hAnsi="宋体" w:eastAsia="宋体" w:cs="宋体"/>
          <w:szCs w:val="21"/>
        </w:rPr>
      </w:pPr>
      <w:r>
        <w:rPr>
          <w:rFonts w:hint="eastAsia" w:ascii="宋体" w:hAnsi="宋体" w:eastAsia="宋体" w:cs="宋体"/>
          <w:sz w:val="21"/>
          <w:szCs w:val="21"/>
        </w:rPr>
        <w:t>满足实验室申请ISO15189换版认可的监督评审、复评审和扩项评审；</w:t>
      </w:r>
    </w:p>
    <w:p w14:paraId="334C0215">
      <w:pPr>
        <w:numPr>
          <w:ilvl w:val="0"/>
          <w:numId w:val="6"/>
        </w:numPr>
        <w:spacing w:after="0" w:line="240" w:lineRule="auto"/>
        <w:jc w:val="both"/>
        <w:rPr>
          <w:rFonts w:ascii="宋体" w:hAnsi="宋体" w:cs="宋体"/>
          <w:szCs w:val="21"/>
        </w:rPr>
      </w:pPr>
      <w:r>
        <w:rPr>
          <w:rFonts w:hint="eastAsia" w:ascii="宋体" w:hAnsi="宋体" w:eastAsia="宋体" w:cs="宋体"/>
          <w:sz w:val="21"/>
          <w:szCs w:val="21"/>
        </w:rPr>
        <w:t>能实现ISO15189：2022认可准则、应用要求等相关文件的任务分配和条款自查功能，确保每个条款落实到人，全员参与，循序渐进，自查自纠，监控条款完成情况和认可进度；</w:t>
      </w:r>
    </w:p>
    <w:p w14:paraId="05F89D99">
      <w:pPr>
        <w:numPr>
          <w:ilvl w:val="0"/>
          <w:numId w:val="6"/>
        </w:numPr>
        <w:spacing w:after="0" w:line="240" w:lineRule="auto"/>
        <w:jc w:val="both"/>
        <w:rPr>
          <w:rFonts w:ascii="宋体" w:hAnsi="宋体" w:cs="宋体"/>
          <w:szCs w:val="21"/>
        </w:rPr>
      </w:pPr>
      <w:r>
        <w:rPr>
          <w:rFonts w:hint="eastAsia" w:ascii="宋体" w:hAnsi="宋体" w:eastAsia="宋体" w:cs="宋体"/>
          <w:sz w:val="21"/>
          <w:szCs w:val="21"/>
        </w:rPr>
        <w:t>支持各种证据性文件上传保存，与文件系统、电子记录系统、内审系统交互，提升内审和现场评审质量和效率。</w:t>
      </w:r>
    </w:p>
    <w:p w14:paraId="2DC2B260">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内部审核：</w:t>
      </w:r>
    </w:p>
    <w:p w14:paraId="2141E4C5">
      <w:pPr>
        <w:numPr>
          <w:ilvl w:val="0"/>
          <w:numId w:val="7"/>
        </w:numPr>
        <w:spacing w:after="0" w:line="240" w:lineRule="auto"/>
        <w:jc w:val="both"/>
        <w:rPr>
          <w:rFonts w:ascii="宋体" w:hAnsi="宋体" w:eastAsia="宋体" w:cs="宋体"/>
          <w:szCs w:val="21"/>
        </w:rPr>
      </w:pPr>
      <w:r>
        <w:rPr>
          <w:rFonts w:hint="eastAsia" w:ascii="宋体" w:hAnsi="宋体" w:eastAsia="宋体" w:cs="宋体"/>
          <w:sz w:val="21"/>
          <w:szCs w:val="21"/>
        </w:rPr>
        <w:t>按照CNAS-GL011：2018《实验室和检验机构内部审核指南》要求，从内审策划到完成内审报告，各个环节按照指南要求固化内审流程，预置相关表单和内审核查表；</w:t>
      </w:r>
    </w:p>
    <w:p w14:paraId="77F20F83">
      <w:pPr>
        <w:numPr>
          <w:ilvl w:val="0"/>
          <w:numId w:val="7"/>
        </w:numPr>
        <w:spacing w:after="0" w:line="240" w:lineRule="auto"/>
        <w:jc w:val="both"/>
        <w:rPr>
          <w:rFonts w:ascii="宋体" w:hAnsi="宋体" w:eastAsia="宋体" w:cs="宋体"/>
          <w:szCs w:val="21"/>
        </w:rPr>
      </w:pPr>
      <w:r>
        <w:rPr>
          <w:rFonts w:hint="eastAsia" w:ascii="宋体" w:hAnsi="宋体" w:eastAsia="宋体" w:cs="宋体"/>
          <w:sz w:val="21"/>
          <w:szCs w:val="21"/>
        </w:rPr>
        <w:t>与认可迎检系统交互，条款自查数据和支撑材料可以直接提交至内审系统，作为内审的直接证据；</w:t>
      </w:r>
    </w:p>
    <w:p w14:paraId="1C4A0C67">
      <w:pPr>
        <w:numPr>
          <w:ilvl w:val="0"/>
          <w:numId w:val="7"/>
        </w:numPr>
        <w:spacing w:after="0" w:line="240" w:lineRule="auto"/>
        <w:jc w:val="both"/>
        <w:rPr>
          <w:rFonts w:ascii="宋体" w:hAnsi="宋体" w:eastAsia="宋体" w:cs="宋体"/>
          <w:szCs w:val="21"/>
        </w:rPr>
      </w:pPr>
      <w:r>
        <w:rPr>
          <w:rFonts w:hint="eastAsia" w:ascii="宋体" w:hAnsi="宋体" w:eastAsia="宋体" w:cs="宋体"/>
          <w:sz w:val="21"/>
          <w:szCs w:val="21"/>
        </w:rPr>
        <w: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w:p w14:paraId="5FCA8FFA">
      <w:pPr>
        <w:numPr>
          <w:ilvl w:val="0"/>
          <w:numId w:val="7"/>
        </w:numPr>
        <w:spacing w:after="0" w:line="240" w:lineRule="auto"/>
        <w:jc w:val="both"/>
        <w:rPr>
          <w:rFonts w:ascii="宋体" w:hAnsi="宋体" w:eastAsia="宋体" w:cs="宋体"/>
          <w:szCs w:val="21"/>
        </w:rPr>
      </w:pPr>
      <w:r>
        <w:rPr>
          <w:rFonts w:hint="eastAsia" w:ascii="宋体" w:hAnsi="宋体" w:eastAsia="宋体" w:cs="宋体"/>
          <w:sz w:val="21"/>
          <w:szCs w:val="21"/>
        </w:rPr>
        <w:t>可通过部门和认可准则要素类型进行交叉筛选条款，方便内审员查看专业组和科室级别的条款内容；</w:t>
      </w:r>
    </w:p>
    <w:p w14:paraId="79024B60">
      <w:pPr>
        <w:numPr>
          <w:ilvl w:val="0"/>
          <w:numId w:val="7"/>
        </w:numPr>
        <w:spacing w:after="0" w:line="240" w:lineRule="auto"/>
        <w:jc w:val="both"/>
        <w:rPr>
          <w:rFonts w:ascii="宋体" w:hAnsi="宋体" w:cs="宋体"/>
          <w:szCs w:val="21"/>
        </w:rPr>
      </w:pPr>
      <w:r>
        <w:rPr>
          <w:rFonts w:hint="eastAsia" w:ascii="宋体" w:hAnsi="宋体" w:eastAsia="宋体" w:cs="宋体"/>
          <w:sz w:val="21"/>
          <w:szCs w:val="21"/>
        </w:rPr>
        <w:t>依据内部审核表和上传至每一条款的支撑材料实施内审，当判断为“N”时填写不符合项事实，系统自动汇总内审中产生的不符合项，自动形成不符合项报告表和不符合项分布表；</w:t>
      </w:r>
    </w:p>
    <w:p w14:paraId="68128EBE">
      <w:pPr>
        <w:numPr>
          <w:ilvl w:val="0"/>
          <w:numId w:val="7"/>
        </w:numPr>
        <w:spacing w:after="0" w:line="240" w:lineRule="auto"/>
        <w:jc w:val="both"/>
        <w:rPr>
          <w:rFonts w:ascii="宋体" w:hAnsi="宋体" w:cs="宋体"/>
          <w:szCs w:val="21"/>
        </w:rPr>
      </w:pPr>
      <w:r>
        <w:rPr>
          <w:rFonts w:hint="eastAsia" w:ascii="宋体" w:hAnsi="宋体" w:eastAsia="宋体" w:cs="宋体"/>
          <w:sz w:val="21"/>
          <w:szCs w:val="21"/>
        </w:rPr>
        <w:t>内部审核系统与电子记录系统交互，通过链接快捷启动不符合项整改流程，系统可监控纠正措施实施进度和完成情况，自动生成不符合项报告和纠正措施记录表。</w:t>
      </w:r>
    </w:p>
    <w:p w14:paraId="751A4013">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管理评审：</w:t>
      </w:r>
    </w:p>
    <w:p w14:paraId="0B19186F">
      <w:pPr>
        <w:numPr>
          <w:ilvl w:val="0"/>
          <w:numId w:val="8"/>
        </w:numPr>
        <w:spacing w:after="0" w:line="240" w:lineRule="auto"/>
        <w:jc w:val="both"/>
        <w:rPr>
          <w:rFonts w:ascii="宋体" w:hAnsi="宋体" w:cs="宋体"/>
          <w:szCs w:val="21"/>
        </w:rPr>
      </w:pPr>
      <w:r>
        <w:rPr>
          <w:rFonts w:hint="eastAsia" w:ascii="宋体" w:hAnsi="宋体" w:eastAsia="宋体" w:cs="宋体"/>
          <w:sz w:val="21"/>
          <w:szCs w:val="21"/>
        </w:rPr>
        <w:t>按照CNAS-GL012：2018《</w:t>
      </w:r>
      <w:r>
        <w:fldChar w:fldCharType="begin"/>
      </w:r>
      <w:r>
        <w:instrText xml:space="preserve"> HYPERLINK "https://www.cnas.org.cn/rkgf/jcjgrk/rkzn/2018/03/889186.shtml" </w:instrText>
      </w:r>
      <w:r>
        <w:fldChar w:fldCharType="separate"/>
      </w:r>
      <w:r>
        <w:rPr>
          <w:rFonts w:hint="eastAsia" w:ascii="宋体" w:hAnsi="宋体" w:eastAsia="宋体" w:cs="宋体"/>
          <w:sz w:val="21"/>
          <w:szCs w:val="21"/>
        </w:rPr>
        <w:t>实验室和检验机构管理评审指南</w:t>
      </w:r>
      <w:r>
        <w:rPr>
          <w:rFonts w:hint="eastAsia" w:ascii="宋体" w:hAnsi="宋体" w:eastAsia="宋体" w:cs="宋体"/>
          <w:sz w:val="21"/>
          <w:szCs w:val="21"/>
        </w:rPr>
        <w:fldChar w:fldCharType="end"/>
      </w:r>
      <w:r>
        <w:rPr>
          <w:rFonts w:hint="eastAsia" w:ascii="宋体" w:hAnsi="宋体" w:eastAsia="宋体" w:cs="宋体"/>
          <w:sz w:val="21"/>
          <w:szCs w:val="21"/>
        </w:rPr>
        <w:t>》要求，从管理评审策划到完成管理评审报告。各个环节按照指南要求固化管理评审流程，预置相关表单，包括但不限于：管理评审计划、管理评审输入报告、管理评审活动、管理评审输出项记录、管理评审报告；</w:t>
      </w:r>
    </w:p>
    <w:p w14:paraId="5CCB13A5">
      <w:pPr>
        <w:numPr>
          <w:ilvl w:val="0"/>
          <w:numId w:val="8"/>
        </w:numPr>
        <w:spacing w:after="0" w:line="240" w:lineRule="auto"/>
        <w:jc w:val="both"/>
        <w:rPr>
          <w:rFonts w:ascii="宋体" w:hAnsi="宋体" w:eastAsia="宋体" w:cs="宋体"/>
          <w:color w:val="000000"/>
          <w:kern w:val="0"/>
          <w:szCs w:val="21"/>
          <w:lang w:bidi="ar"/>
        </w:rPr>
      </w:pPr>
      <w:r>
        <w:rPr>
          <w:rFonts w:hint="eastAsia" w:ascii="宋体" w:hAnsi="宋体" w:eastAsia="宋体" w:cs="宋体"/>
          <w:sz w:val="21"/>
          <w:szCs w:val="21"/>
        </w:rPr>
        <w:t>关联电子记录系统，针对评审输出内容进行持续改进管理，完成评审输出项的闭环管理。</w:t>
      </w:r>
    </w:p>
    <w:p w14:paraId="7B5EBCB6">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认可申请：</w:t>
      </w:r>
    </w:p>
    <w:p w14:paraId="7C7A8521">
      <w:pPr>
        <w:numPr>
          <w:ilvl w:val="0"/>
          <w:numId w:val="9"/>
        </w:numPr>
        <w:spacing w:after="0" w:line="240" w:lineRule="auto"/>
        <w:jc w:val="both"/>
        <w:rPr>
          <w:rFonts w:ascii="宋体" w:hAnsi="宋体" w:cs="宋体"/>
          <w:szCs w:val="21"/>
        </w:rPr>
      </w:pPr>
      <w:r>
        <w:rPr>
          <w:rFonts w:ascii="宋体" w:hAnsi="宋体" w:cs="宋体"/>
          <w:szCs w:val="21"/>
        </w:rPr>
        <w:t>针对ISO 15189认可申请，建立项目标准数据库、各类仪器设备标准数据库、试剂耗材标准数据库等，通过基础数据库筛选及与其他模块数据的交互，可以自动生成认可能力范围一览表、量值溯源一览表、仪器设备一览表、试剂耗材一览表、实验室人员一览表等实验室认可需要提交的数据资料，便于实验室进行数据管理和认可申请。</w:t>
      </w:r>
    </w:p>
    <w:p w14:paraId="321F71D5">
      <w:pPr>
        <w:numPr>
          <w:ilvl w:val="0"/>
          <w:numId w:val="9"/>
        </w:numPr>
        <w:spacing w:after="0" w:line="240" w:lineRule="auto"/>
        <w:jc w:val="both"/>
        <w:rPr>
          <w:rFonts w:ascii="宋体" w:hAnsi="宋体" w:cs="宋体"/>
          <w:szCs w:val="21"/>
        </w:rPr>
      </w:pPr>
      <w:r>
        <w:rPr>
          <w:rFonts w:ascii="宋体" w:hAnsi="宋体" w:cs="宋体"/>
          <w:szCs w:val="21"/>
        </w:rPr>
        <w:t>本模块提供认可申请材料模板和真实的范例数据，实验室可以参考范例数据在模块中填写认可申请材料，并可直接利用标准数据库生成的资料作为认可申请材料一并下载提交，方便高效。</w:t>
      </w:r>
    </w:p>
    <w:p w14:paraId="75BD790E">
      <w:pPr>
        <w:pStyle w:val="28"/>
        <w:numPr>
          <w:ilvl w:val="0"/>
          <w:numId w:val="2"/>
        </w:numPr>
        <w:spacing w:after="0" w:line="240" w:lineRule="auto"/>
        <w:ind w:firstLine="420"/>
        <w:contextualSpacing w:val="0"/>
        <w:jc w:val="both"/>
        <w:rPr>
          <w:rFonts w:ascii="宋体" w:hAnsi="宋体" w:cs="宋体"/>
          <w:szCs w:val="21"/>
        </w:rPr>
      </w:pPr>
      <w:r>
        <w:rPr>
          <w:rFonts w:hint="eastAsia" w:ascii="宋体" w:hAnsi="宋体" w:cs="宋体"/>
          <w:szCs w:val="21"/>
        </w:rPr>
        <w:t>智能考核：</w:t>
      </w:r>
    </w:p>
    <w:p w14:paraId="00D9FF4F">
      <w:pPr>
        <w:numPr>
          <w:ilvl w:val="0"/>
          <w:numId w:val="10"/>
        </w:numPr>
        <w:spacing w:after="0" w:line="240" w:lineRule="auto"/>
        <w:jc w:val="both"/>
        <w:rPr>
          <w:rFonts w:ascii="宋体" w:hAnsi="宋体" w:eastAsia="宋体" w:cs="宋体"/>
          <w:szCs w:val="21"/>
        </w:rPr>
      </w:pPr>
      <w:r>
        <w:rPr>
          <w:rFonts w:hint="eastAsia" w:ascii="宋体" w:hAnsi="宋体" w:eastAsia="宋体" w:cs="宋体"/>
          <w:sz w:val="21"/>
          <w:szCs w:val="21"/>
        </w:rPr>
        <w:t>系统提供题库管理，可对题目内容、答案、题目类型进行管理；</w:t>
      </w:r>
    </w:p>
    <w:p w14:paraId="4624187F">
      <w:pPr>
        <w:numPr>
          <w:ilvl w:val="0"/>
          <w:numId w:val="10"/>
        </w:numPr>
        <w:spacing w:after="0" w:line="240" w:lineRule="auto"/>
        <w:jc w:val="both"/>
        <w:rPr>
          <w:rFonts w:ascii="宋体" w:hAnsi="宋体" w:eastAsia="宋体" w:cs="宋体"/>
          <w:szCs w:val="21"/>
        </w:rPr>
      </w:pPr>
      <w:r>
        <w:rPr>
          <w:rFonts w:hint="eastAsia" w:ascii="宋体" w:hAnsi="宋体" w:eastAsia="宋体" w:cs="宋体"/>
          <w:sz w:val="21"/>
          <w:szCs w:val="21"/>
        </w:rPr>
        <w:t>支持科室自建题库；</w:t>
      </w:r>
    </w:p>
    <w:p w14:paraId="71CC8CB6">
      <w:pPr>
        <w:numPr>
          <w:ilvl w:val="0"/>
          <w:numId w:val="10"/>
        </w:numPr>
        <w:spacing w:after="0" w:line="240" w:lineRule="auto"/>
        <w:jc w:val="both"/>
        <w:rPr>
          <w:rFonts w:ascii="宋体" w:hAnsi="宋体" w:eastAsia="宋体" w:cs="宋体"/>
          <w:szCs w:val="21"/>
        </w:rPr>
      </w:pPr>
      <w:r>
        <w:rPr>
          <w:rFonts w:hint="eastAsia" w:ascii="宋体" w:hAnsi="宋体" w:eastAsia="宋体" w:cs="宋体"/>
          <w:sz w:val="21"/>
          <w:szCs w:val="21"/>
        </w:rPr>
        <w:t>题目类型支持：单选题、多选题、判断题、填空题、问答题、试图题；</w:t>
      </w:r>
    </w:p>
    <w:p w14:paraId="4F3F1FD9">
      <w:pPr>
        <w:numPr>
          <w:ilvl w:val="0"/>
          <w:numId w:val="10"/>
        </w:numPr>
        <w:spacing w:after="0" w:line="240" w:lineRule="auto"/>
        <w:jc w:val="both"/>
        <w:rPr>
          <w:rFonts w:ascii="宋体" w:hAnsi="宋体" w:eastAsia="宋体" w:cs="宋体"/>
          <w:szCs w:val="21"/>
        </w:rPr>
      </w:pPr>
      <w:r>
        <w:rPr>
          <w:rFonts w:hint="eastAsia" w:ascii="宋体" w:hAnsi="宋体" w:eastAsia="宋体" w:cs="宋体"/>
          <w:sz w:val="21"/>
          <w:szCs w:val="21"/>
        </w:rPr>
        <w:t>系统支持手动组题功能组成考卷；</w:t>
      </w:r>
    </w:p>
    <w:p w14:paraId="43B599BB">
      <w:pPr>
        <w:numPr>
          <w:ilvl w:val="0"/>
          <w:numId w:val="10"/>
        </w:numPr>
        <w:spacing w:after="0" w:line="240" w:lineRule="auto"/>
        <w:jc w:val="both"/>
        <w:rPr>
          <w:rFonts w:ascii="宋体" w:hAnsi="宋体" w:eastAsia="宋体" w:cs="宋体"/>
          <w:szCs w:val="21"/>
        </w:rPr>
      </w:pPr>
      <w:r>
        <w:rPr>
          <w:rFonts w:hint="eastAsia" w:ascii="宋体" w:hAnsi="宋体" w:eastAsia="宋体" w:cs="宋体"/>
          <w:sz w:val="21"/>
          <w:szCs w:val="21"/>
        </w:rPr>
        <w:t>系统支持按照题目分类、题目难度、题目类型多维度智能组题；</w:t>
      </w:r>
    </w:p>
    <w:p w14:paraId="28D762DE">
      <w:pPr>
        <w:numPr>
          <w:ilvl w:val="0"/>
          <w:numId w:val="10"/>
        </w:numPr>
        <w:spacing w:after="0" w:line="240" w:lineRule="auto"/>
        <w:jc w:val="both"/>
        <w:rPr>
          <w:rFonts w:ascii="宋体" w:hAnsi="宋体" w:cs="宋体"/>
          <w:szCs w:val="21"/>
        </w:rPr>
      </w:pPr>
      <w:r>
        <w:rPr>
          <w:rFonts w:hint="eastAsia" w:ascii="宋体" w:hAnsi="宋体" w:eastAsia="宋体" w:cs="宋体"/>
          <w:sz w:val="21"/>
          <w:szCs w:val="21"/>
        </w:rPr>
        <w:t>考卷题目和选择题选项支持乱序排列；</w:t>
      </w:r>
    </w:p>
    <w:p w14:paraId="69F8A082">
      <w:pPr>
        <w:numPr>
          <w:ilvl w:val="0"/>
          <w:numId w:val="10"/>
        </w:numPr>
        <w:spacing w:after="0" w:line="240" w:lineRule="auto"/>
        <w:jc w:val="both"/>
        <w:rPr>
          <w:rFonts w:ascii="宋体" w:hAnsi="宋体" w:cs="宋体"/>
          <w:szCs w:val="21"/>
        </w:rPr>
      </w:pPr>
      <w:r>
        <w:rPr>
          <w:rFonts w:hint="eastAsia" w:ascii="宋体" w:hAnsi="宋体" w:eastAsia="宋体" w:cs="宋体"/>
          <w:sz w:val="21"/>
          <w:szCs w:val="21"/>
        </w:rPr>
        <w:t>可对客观题进行自动打分，并提供错题回顾分析。</w:t>
      </w:r>
    </w:p>
    <w:p w14:paraId="55CFDE2A">
      <w:pPr>
        <w:pStyle w:val="28"/>
        <w:numPr>
          <w:ilvl w:val="0"/>
          <w:numId w:val="2"/>
        </w:numPr>
        <w:spacing w:after="0" w:line="240" w:lineRule="auto"/>
        <w:ind w:firstLine="420"/>
        <w:contextualSpacing w:val="0"/>
        <w:jc w:val="both"/>
        <w:rPr>
          <w:rFonts w:ascii="宋体" w:hAnsi="宋体" w:eastAsia="宋体" w:cs="宋体"/>
          <w:color w:val="000000"/>
          <w:kern w:val="0"/>
          <w:szCs w:val="21"/>
          <w:lang w:bidi="ar"/>
        </w:rPr>
      </w:pPr>
      <w:r>
        <w:rPr>
          <w:rFonts w:hint="eastAsia" w:ascii="宋体" w:hAnsi="宋体" w:eastAsia="宋体" w:cs="宋体"/>
          <w:color w:val="000000"/>
          <w:kern w:val="0"/>
          <w:sz w:val="21"/>
          <w:szCs w:val="21"/>
          <w:lang w:bidi="ar"/>
        </w:rPr>
        <w:t>性能评价：</w:t>
      </w:r>
    </w:p>
    <w:p w14:paraId="228AC7E1">
      <w:pPr>
        <w:numPr>
          <w:ilvl w:val="0"/>
          <w:numId w:val="11"/>
        </w:numPr>
        <w:spacing w:after="0" w:line="240" w:lineRule="auto"/>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考CLSI有关文件和我国国家/行业标准，提供一系列的性能评价方案和模型，实现评价报告的自动存储功能，系统算法覆盖以下性能指标：精密度、正确度、准确度、测量不确定度、检出限、分析测量范围（AMR）、临床可报告范围（CRR）、分析干扰、参考区间等，可进行定量检测项目和定性检测项目的性能评价；</w:t>
      </w:r>
    </w:p>
    <w:p w14:paraId="4122B551">
      <w:pPr>
        <w:numPr>
          <w:ilvl w:val="0"/>
          <w:numId w:val="11"/>
        </w:numPr>
        <w:spacing w:after="0" w:line="240" w:lineRule="auto"/>
        <w:jc w:val="both"/>
        <w:rPr>
          <w:rFonts w:ascii="宋体" w:hAnsi="宋体" w:eastAsia="宋体" w:cs="宋体"/>
          <w:kern w:val="0"/>
          <w:szCs w:val="21"/>
          <w:lang w:bidi="ar"/>
        </w:rPr>
      </w:pPr>
      <w:r>
        <w:rPr>
          <w:rFonts w:hint="eastAsia" w:ascii="宋体" w:hAnsi="宋体" w:eastAsia="宋体" w:cs="宋体"/>
          <w:sz w:val="21"/>
          <w:szCs w:val="21"/>
        </w:rPr>
        <w:t>每一个实验算法提供相关的方案介绍；</w:t>
      </w:r>
    </w:p>
    <w:p w14:paraId="6B92AF34">
      <w:pPr>
        <w:numPr>
          <w:ilvl w:val="0"/>
          <w:numId w:val="11"/>
        </w:numPr>
        <w:spacing w:after="0" w:line="240" w:lineRule="auto"/>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可按检验项目选择多个性能指标的若干算法进行多维度性能评价，每一个性能指标均提供多种实验方案，实验室可根据自身实际选择不同的实验方案，性能评价结果经过多级审核后形成项目完整的评价报告；</w:t>
      </w:r>
    </w:p>
    <w:p w14:paraId="7558425E">
      <w:pPr>
        <w:numPr>
          <w:ilvl w:val="0"/>
          <w:numId w:val="11"/>
        </w:numPr>
        <w:spacing w:after="0" w:line="240" w:lineRule="auto"/>
        <w:jc w:val="both"/>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实验基础信息可从设备管理系统和试剂管理系统自动抓取；</w:t>
      </w:r>
    </w:p>
    <w:p w14:paraId="5E21E80B">
      <w:pPr>
        <w:numPr>
          <w:ilvl w:val="0"/>
          <w:numId w:val="11"/>
        </w:numPr>
        <w:spacing w:after="0" w:line="240" w:lineRule="auto"/>
        <w:jc w:val="both"/>
        <w:rPr>
          <w:rFonts w:ascii="宋体" w:hAnsi="宋体" w:eastAsia="宋体" w:cs="宋体"/>
          <w:color w:val="000000"/>
          <w:kern w:val="0"/>
          <w:szCs w:val="21"/>
          <w:lang w:bidi="ar"/>
        </w:rPr>
      </w:pPr>
      <w:r>
        <w:rPr>
          <w:rFonts w:hint="eastAsia" w:ascii="宋体" w:hAnsi="宋体" w:eastAsia="宋体" w:cs="宋体"/>
          <w:color w:val="000000" w:themeColor="text1"/>
          <w:sz w:val="21"/>
          <w:szCs w:val="21"/>
          <w14:textFill>
            <w14:solidFill>
              <w14:schemeClr w14:val="tx1"/>
            </w14:solidFill>
          </w14:textFill>
        </w:rPr>
        <w:t>按照系统提供的实验方案进行实验，录入实验数据或按要求导入数据，系统自动对实验数据进行分析处理，可显示原始实验数据及各</w:t>
      </w:r>
      <w:bookmarkStart w:id="0" w:name="_GoBack"/>
      <w:bookmarkEnd w:id="0"/>
      <w:r>
        <w:rPr>
          <w:rFonts w:hint="eastAsia" w:ascii="宋体" w:hAnsi="宋体" w:eastAsia="宋体" w:cs="宋体"/>
          <w:color w:val="000000" w:themeColor="text1"/>
          <w:sz w:val="21"/>
          <w:szCs w:val="21"/>
          <w14:textFill>
            <w14:solidFill>
              <w14:schemeClr w14:val="tx1"/>
            </w14:solidFill>
          </w14:textFill>
        </w:rPr>
        <w:t>种统计图、统计表，并形成评价报告并自动存储。</w:t>
      </w:r>
    </w:p>
    <w:p w14:paraId="5AFBF09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E869"/>
    <w:multiLevelType w:val="singleLevel"/>
    <w:tmpl w:val="92BAE869"/>
    <w:lvl w:ilvl="0" w:tentative="0">
      <w:start w:val="1"/>
      <w:numFmt w:val="decimal"/>
      <w:lvlText w:val="%1."/>
      <w:lvlJc w:val="left"/>
      <w:pPr>
        <w:ind w:left="845" w:hanging="425"/>
      </w:pPr>
      <w:rPr>
        <w:rFonts w:hint="default"/>
      </w:rPr>
    </w:lvl>
  </w:abstractNum>
  <w:abstractNum w:abstractNumId="1">
    <w:nsid w:val="B3758E4B"/>
    <w:multiLevelType w:val="singleLevel"/>
    <w:tmpl w:val="B3758E4B"/>
    <w:lvl w:ilvl="0" w:tentative="0">
      <w:start w:val="1"/>
      <w:numFmt w:val="decimal"/>
      <w:lvlText w:val="%1."/>
      <w:lvlJc w:val="left"/>
      <w:pPr>
        <w:ind w:left="845" w:hanging="425"/>
      </w:pPr>
      <w:rPr>
        <w:rFonts w:hint="default"/>
      </w:rPr>
    </w:lvl>
  </w:abstractNum>
  <w:abstractNum w:abstractNumId="2">
    <w:nsid w:val="D1840B4D"/>
    <w:multiLevelType w:val="singleLevel"/>
    <w:tmpl w:val="D1840B4D"/>
    <w:lvl w:ilvl="0" w:tentative="0">
      <w:start w:val="1"/>
      <w:numFmt w:val="decimal"/>
      <w:lvlText w:val="%1."/>
      <w:lvlJc w:val="left"/>
      <w:pPr>
        <w:ind w:left="845" w:hanging="425"/>
      </w:pPr>
      <w:rPr>
        <w:rFonts w:hint="default"/>
      </w:rPr>
    </w:lvl>
  </w:abstractNum>
  <w:abstractNum w:abstractNumId="3">
    <w:nsid w:val="D30B7FBA"/>
    <w:multiLevelType w:val="singleLevel"/>
    <w:tmpl w:val="D30B7FBA"/>
    <w:lvl w:ilvl="0" w:tentative="0">
      <w:start w:val="1"/>
      <w:numFmt w:val="decimal"/>
      <w:lvlText w:val="%1."/>
      <w:lvlJc w:val="left"/>
      <w:pPr>
        <w:ind w:left="845" w:hanging="425"/>
      </w:pPr>
      <w:rPr>
        <w:rFonts w:hint="default"/>
      </w:rPr>
    </w:lvl>
  </w:abstractNum>
  <w:abstractNum w:abstractNumId="4">
    <w:nsid w:val="001D4ABB"/>
    <w:multiLevelType w:val="singleLevel"/>
    <w:tmpl w:val="001D4ABB"/>
    <w:lvl w:ilvl="0" w:tentative="0">
      <w:start w:val="1"/>
      <w:numFmt w:val="decimal"/>
      <w:lvlText w:val="%1."/>
      <w:lvlJc w:val="left"/>
      <w:pPr>
        <w:ind w:left="845" w:hanging="425"/>
      </w:pPr>
      <w:rPr>
        <w:rFonts w:hint="default"/>
      </w:rPr>
    </w:lvl>
  </w:abstractNum>
  <w:abstractNum w:abstractNumId="5">
    <w:nsid w:val="10A861F8"/>
    <w:multiLevelType w:val="singleLevel"/>
    <w:tmpl w:val="10A861F8"/>
    <w:lvl w:ilvl="0" w:tentative="0">
      <w:start w:val="1"/>
      <w:numFmt w:val="decimal"/>
      <w:lvlText w:val="%1."/>
      <w:lvlJc w:val="left"/>
      <w:pPr>
        <w:ind w:left="845" w:hanging="425"/>
      </w:pPr>
      <w:rPr>
        <w:rFonts w:hint="default"/>
      </w:rPr>
    </w:lvl>
  </w:abstractNum>
  <w:abstractNum w:abstractNumId="6">
    <w:nsid w:val="10B482AA"/>
    <w:multiLevelType w:val="singleLevel"/>
    <w:tmpl w:val="10B482AA"/>
    <w:lvl w:ilvl="0" w:tentative="0">
      <w:start w:val="1"/>
      <w:numFmt w:val="decimal"/>
      <w:lvlText w:val="%1."/>
      <w:lvlJc w:val="left"/>
      <w:pPr>
        <w:ind w:left="845" w:hanging="425"/>
      </w:pPr>
      <w:rPr>
        <w:rFonts w:hint="default"/>
      </w:rPr>
    </w:lvl>
  </w:abstractNum>
  <w:abstractNum w:abstractNumId="7">
    <w:nsid w:val="31FA187D"/>
    <w:multiLevelType w:val="singleLevel"/>
    <w:tmpl w:val="31FA187D"/>
    <w:lvl w:ilvl="0" w:tentative="0">
      <w:start w:val="1"/>
      <w:numFmt w:val="decimal"/>
      <w:suff w:val="nothing"/>
      <w:lvlText w:val="%1、"/>
      <w:lvlJc w:val="left"/>
      <w:pPr>
        <w:ind w:left="-420"/>
      </w:pPr>
      <w:rPr>
        <w:rFonts w:hint="default"/>
        <w:b w:val="0"/>
        <w:bCs w:val="0"/>
        <w:sz w:val="21"/>
        <w:szCs w:val="21"/>
      </w:rPr>
    </w:lvl>
  </w:abstractNum>
  <w:abstractNum w:abstractNumId="8">
    <w:nsid w:val="3BA0D028"/>
    <w:multiLevelType w:val="singleLevel"/>
    <w:tmpl w:val="3BA0D028"/>
    <w:lvl w:ilvl="0" w:tentative="0">
      <w:start w:val="1"/>
      <w:numFmt w:val="decimal"/>
      <w:lvlText w:val="%1."/>
      <w:lvlJc w:val="left"/>
      <w:pPr>
        <w:ind w:left="845" w:hanging="425"/>
      </w:pPr>
      <w:rPr>
        <w:rFonts w:hint="default"/>
      </w:rPr>
    </w:lvl>
  </w:abstractNum>
  <w:abstractNum w:abstractNumId="9">
    <w:nsid w:val="61E32593"/>
    <w:multiLevelType w:val="singleLevel"/>
    <w:tmpl w:val="61E32593"/>
    <w:lvl w:ilvl="0" w:tentative="0">
      <w:start w:val="1"/>
      <w:numFmt w:val="decimal"/>
      <w:lvlText w:val="%1."/>
      <w:lvlJc w:val="left"/>
      <w:pPr>
        <w:ind w:left="845" w:hanging="425"/>
      </w:pPr>
      <w:rPr>
        <w:rFonts w:hint="default"/>
      </w:rPr>
    </w:lvl>
  </w:abstractNum>
  <w:abstractNum w:abstractNumId="10">
    <w:nsid w:val="764FD3E8"/>
    <w:multiLevelType w:val="singleLevel"/>
    <w:tmpl w:val="764FD3E8"/>
    <w:lvl w:ilvl="0" w:tentative="0">
      <w:start w:val="1"/>
      <w:numFmt w:val="decimal"/>
      <w:lvlText w:val="%1."/>
      <w:lvlJc w:val="left"/>
      <w:pPr>
        <w:ind w:left="845" w:hanging="425"/>
      </w:pPr>
      <w:rPr>
        <w:rFonts w:hint="default"/>
      </w:rPr>
    </w:lvl>
  </w:abstractNum>
  <w:num w:numId="1">
    <w:abstractNumId w:val="5"/>
  </w:num>
  <w:num w:numId="2">
    <w:abstractNumId w:val="7"/>
  </w:num>
  <w:num w:numId="3">
    <w:abstractNumId w:val="1"/>
  </w:num>
  <w:num w:numId="4">
    <w:abstractNumId w:val="3"/>
  </w:num>
  <w:num w:numId="5">
    <w:abstractNumId w:val="10"/>
  </w:num>
  <w:num w:numId="6">
    <w:abstractNumId w:val="4"/>
  </w:num>
  <w:num w:numId="7">
    <w:abstractNumId w:val="9"/>
  </w:num>
  <w:num w:numId="8">
    <w:abstractNumId w:val="8"/>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6A"/>
    <w:rsid w:val="000B65E5"/>
    <w:rsid w:val="0073603A"/>
    <w:rsid w:val="008D466A"/>
    <w:rsid w:val="1144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paragraph" w:styleId="33">
    <w:name w:val="No Spacing"/>
    <w:autoRedefine/>
    <w:qFormat/>
    <w:uiPriority w:val="1"/>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2821</Words>
  <Characters>3051</Characters>
  <Lines>22</Lines>
  <Paragraphs>6</Paragraphs>
  <TotalTime>5</TotalTime>
  <ScaleCrop>false</ScaleCrop>
  <LinksUpToDate>false</LinksUpToDate>
  <CharactersWithSpaces>3060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2025-06-26T08:43:00Z</dcterms:created>
  <dc:creator>office user</dc:creator>
  <cp:lastModifiedBy>陈慧</cp:lastModifiedBy>
  <dcterms:modified xsi:type="dcterms:W3CDTF">2025-06-30T01:59:50Z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eyJoZGlkIjoiMDg4MTg3ZmZlMTQ4YTQ0MjQ1MjMzZjdhY2VjZDllYmIiLCJ1c2VySWQiOiIyNzgxNzg4NjEifQ==</vt:lpwstr>
  </property>
  <property fmtid="{D5CDD505-2E9C-101B-9397-08002B2CF9AE}" pid="3" name="KSOProductBuildVer">
    <vt:lpwstr>2052-12.1.0.21541</vt:lpwstr>
  </property>
  <property fmtid="{D5CDD505-2E9C-101B-9397-08002B2CF9AE}" pid="4" name="ICV">
    <vt:lpwstr>6ADC28867CA140C990FBBEA03DF4D9A8_12</vt:lpwstr>
  </property>
</Properties>
</file>