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31739">
      <w:pPr>
        <w:spacing w:line="360" w:lineRule="auto"/>
        <w:ind w:right="-42"/>
        <w:jc w:val="center"/>
        <w:rPr>
          <w:rFonts w:hint="eastAsia" w:ascii="楷体_GB2312" w:hAnsi="宋体" w:eastAsia="楷体_GB2312"/>
          <w:b/>
          <w:bCs/>
          <w:sz w:val="48"/>
          <w:szCs w:val="48"/>
          <w:lang w:eastAsia="zh-CN"/>
        </w:rPr>
      </w:pPr>
    </w:p>
    <w:p w14:paraId="6C25B6EC">
      <w:pPr>
        <w:spacing w:line="360" w:lineRule="auto"/>
        <w:ind w:right="-42"/>
        <w:jc w:val="center"/>
        <w:rPr>
          <w:rFonts w:ascii="楷体_GB2312" w:hAnsi="宋体" w:eastAsia="楷体_GB2312"/>
          <w:b/>
          <w:bCs/>
          <w:sz w:val="48"/>
          <w:szCs w:val="48"/>
        </w:rPr>
      </w:pPr>
      <w:r>
        <w:rPr>
          <w:rFonts w:hint="eastAsia" w:ascii="楷体_GB2312" w:hAnsi="宋体" w:eastAsia="楷体_GB2312"/>
          <w:b/>
          <w:bCs/>
          <w:sz w:val="48"/>
          <w:szCs w:val="48"/>
          <w:lang w:eastAsia="zh-CN"/>
        </w:rPr>
        <w:t>中山大学孙逸仙纪念医院花都院</w:t>
      </w:r>
      <w:r>
        <w:rPr>
          <w:rFonts w:hint="eastAsia" w:ascii="楷体_GB2312" w:hAnsi="宋体" w:eastAsia="楷体_GB2312"/>
          <w:b/>
          <w:bCs/>
          <w:sz w:val="48"/>
          <w:szCs w:val="48"/>
          <w:lang w:val="en-US" w:eastAsia="zh-CN"/>
        </w:rPr>
        <w:t>区防雷检测项目</w:t>
      </w:r>
      <w:r>
        <w:rPr>
          <w:rFonts w:hint="eastAsia" w:ascii="楷体_GB2312" w:hAnsi="宋体" w:eastAsia="楷体_GB2312"/>
          <w:b/>
          <w:bCs/>
          <w:sz w:val="48"/>
          <w:szCs w:val="48"/>
        </w:rPr>
        <w:t>用户需求书</w:t>
      </w:r>
    </w:p>
    <w:p w14:paraId="154A74C6">
      <w:pPr>
        <w:spacing w:line="360" w:lineRule="auto"/>
        <w:ind w:right="-42"/>
        <w:jc w:val="center"/>
        <w:rPr>
          <w:rFonts w:ascii="宋体" w:hAnsi="宋体"/>
          <w:b/>
          <w:bCs/>
          <w:sz w:val="72"/>
          <w:szCs w:val="72"/>
        </w:rPr>
      </w:pPr>
    </w:p>
    <w:p w14:paraId="6C34FB20">
      <w:pPr>
        <w:spacing w:line="360" w:lineRule="auto"/>
        <w:ind w:right="-42"/>
        <w:jc w:val="center"/>
        <w:rPr>
          <w:rFonts w:ascii="宋体" w:hAnsi="宋体"/>
          <w:b/>
          <w:bCs/>
          <w:sz w:val="72"/>
          <w:szCs w:val="72"/>
        </w:rPr>
      </w:pPr>
    </w:p>
    <w:p w14:paraId="63ABC642">
      <w:pPr>
        <w:spacing w:line="360" w:lineRule="auto"/>
        <w:ind w:right="-42"/>
        <w:jc w:val="center"/>
        <w:rPr>
          <w:rFonts w:ascii="宋体" w:hAnsi="宋体"/>
          <w:b/>
          <w:bCs/>
          <w:sz w:val="72"/>
          <w:szCs w:val="72"/>
        </w:rPr>
      </w:pPr>
    </w:p>
    <w:p w14:paraId="6E56BB57">
      <w:pPr>
        <w:spacing w:line="360" w:lineRule="auto"/>
        <w:ind w:right="-42"/>
        <w:rPr>
          <w:rFonts w:ascii="宋体" w:hAnsi="宋体"/>
          <w:b/>
          <w:bCs/>
          <w:sz w:val="72"/>
          <w:szCs w:val="72"/>
        </w:rPr>
      </w:pPr>
    </w:p>
    <w:p w14:paraId="77EA4545">
      <w:pPr>
        <w:pStyle w:val="2"/>
      </w:pPr>
    </w:p>
    <w:p w14:paraId="05AD090D">
      <w:pPr>
        <w:spacing w:line="360" w:lineRule="auto"/>
        <w:ind w:right="-42"/>
        <w:jc w:val="center"/>
        <w:rPr>
          <w:rFonts w:ascii="宋体" w:hAnsi="宋体"/>
          <w:b/>
          <w:bCs/>
          <w:sz w:val="72"/>
          <w:szCs w:val="72"/>
        </w:rPr>
      </w:pPr>
    </w:p>
    <w:p w14:paraId="1E69DF89">
      <w:pPr>
        <w:pStyle w:val="2"/>
      </w:pPr>
    </w:p>
    <w:p w14:paraId="2FEDAFF6">
      <w:pPr>
        <w:spacing w:line="360" w:lineRule="auto"/>
        <w:ind w:right="-42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中山大学孙逸仙纪念医院</w:t>
      </w:r>
    </w:p>
    <w:p w14:paraId="6578F3CA">
      <w:pPr>
        <w:spacing w:line="360" w:lineRule="auto"/>
        <w:ind w:right="-42"/>
        <w:jc w:val="center"/>
        <w:rPr>
          <w:rFonts w:hint="default" w:ascii="楷体_GB2312" w:hAnsi="宋体" w:eastAsia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花都院区后勤办公室</w:t>
      </w:r>
    </w:p>
    <w:p w14:paraId="7CBC4433">
      <w:pPr>
        <w:spacing w:line="360" w:lineRule="auto"/>
        <w:ind w:right="-42"/>
        <w:jc w:val="center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202</w:t>
      </w:r>
      <w:r>
        <w:rPr>
          <w:rFonts w:hint="eastAsia" w:ascii="楷体_GB2312" w:eastAsia="楷体_GB2312"/>
          <w:b/>
          <w:sz w:val="32"/>
          <w:lang w:val="en-US" w:eastAsia="zh-CN"/>
        </w:rPr>
        <w:t>5</w:t>
      </w:r>
      <w:r>
        <w:rPr>
          <w:rFonts w:hint="eastAsia" w:ascii="楷体_GB2312" w:eastAsia="楷体_GB2312"/>
          <w:b/>
          <w:sz w:val="32"/>
        </w:rPr>
        <w:t>年</w:t>
      </w:r>
      <w:r>
        <w:rPr>
          <w:rFonts w:hint="eastAsia" w:ascii="楷体_GB2312" w:eastAsia="楷体_GB2312"/>
          <w:b/>
          <w:sz w:val="32"/>
          <w:lang w:val="en-US" w:eastAsia="zh-CN"/>
        </w:rPr>
        <w:t>8</w:t>
      </w:r>
      <w:r>
        <w:rPr>
          <w:rFonts w:hint="eastAsia" w:ascii="楷体_GB2312" w:eastAsia="楷体_GB2312"/>
          <w:b/>
          <w:sz w:val="32"/>
        </w:rPr>
        <w:t>月</w:t>
      </w:r>
      <w:r>
        <w:rPr>
          <w:rFonts w:hint="eastAsia" w:ascii="楷体_GB2312" w:eastAsia="楷体_GB2312"/>
          <w:b/>
          <w:sz w:val="32"/>
          <w:lang w:val="en-US" w:eastAsia="zh-CN"/>
        </w:rPr>
        <w:t>19</w:t>
      </w:r>
      <w:bookmarkStart w:id="0" w:name="_GoBack"/>
      <w:bookmarkEnd w:id="0"/>
      <w:r>
        <w:rPr>
          <w:rFonts w:hint="eastAsia" w:ascii="楷体_GB2312" w:eastAsia="楷体_GB2312"/>
          <w:b/>
          <w:sz w:val="32"/>
        </w:rPr>
        <w:t>日</w:t>
      </w:r>
    </w:p>
    <w:p w14:paraId="2B62E452"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 w14:paraId="0F9065B0"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 w14:paraId="1EF2F302"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 w14:paraId="0175EAF5"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 w14:paraId="7B7BC229"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 w14:paraId="197E31B8"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 w14:paraId="3E562666"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 w14:paraId="767385F4"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 w14:paraId="7BE1BE49"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 w14:paraId="11C49ABB"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、项目概况：</w:t>
      </w:r>
    </w:p>
    <w:p w14:paraId="5BC3F571"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1.项目名称：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中山大学孙逸仙纪念医院花都院区防雷检测项目</w:t>
      </w:r>
    </w:p>
    <w:p w14:paraId="3474F06C">
      <w:pPr>
        <w:pStyle w:val="2"/>
        <w:rPr>
          <w:rFonts w:hint="eastAsia" w:ascii="仿宋" w:hAnsi="仿宋" w:eastAsia="仿宋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color w:val="auto"/>
          <w:kern w:val="0"/>
          <w:sz w:val="24"/>
          <w:szCs w:val="24"/>
          <w:lang w:val="en-US" w:eastAsia="zh-CN" w:bidi="ar-SA"/>
        </w:rPr>
        <w:t>2.项目地点：广州市花都区镜湖大道11号</w:t>
      </w:r>
    </w:p>
    <w:p w14:paraId="3CB5394F">
      <w:pPr>
        <w:rPr>
          <w:rFonts w:hint="eastAsia" w:ascii="仿宋" w:hAnsi="仿宋" w:eastAsia="仿宋" w:cs="宋体"/>
          <w:b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color w:val="auto"/>
          <w:kern w:val="0"/>
          <w:sz w:val="24"/>
          <w:szCs w:val="24"/>
          <w:lang w:val="en-US" w:eastAsia="zh-CN" w:bidi="ar-SA"/>
        </w:rPr>
        <w:t>3.最高限价：人民币32700元（含税）</w:t>
      </w:r>
    </w:p>
    <w:p w14:paraId="2D20A688">
      <w:pPr>
        <w:spacing w:line="440" w:lineRule="exact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4.工期：从合同签订之日起3年。</w:t>
      </w:r>
    </w:p>
    <w:p w14:paraId="0D3EB195"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项目内容：</w:t>
      </w:r>
    </w:p>
    <w:p w14:paraId="681CE25E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根据现行最新的《建筑物防雷设计规范》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《建筑物防雷装置检测技术规范》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等规范，对所花都院区建筑的接闪器、接地装置、浪涌保护器（SPD）、等电位连接等防雷装置进行检测，并出具检测合格报告和定期检测合格登记证。</w:t>
      </w:r>
    </w:p>
    <w:p w14:paraId="364296E4">
      <w:pPr>
        <w:spacing w:line="440" w:lineRule="exact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检测清单如下：</w:t>
      </w:r>
    </w:p>
    <w:tbl>
      <w:tblPr>
        <w:tblStyle w:val="3"/>
        <w:tblW w:w="5076" w:type="pct"/>
        <w:tblInd w:w="-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54"/>
        <w:gridCol w:w="1032"/>
        <w:gridCol w:w="1640"/>
        <w:gridCol w:w="829"/>
        <w:gridCol w:w="1000"/>
        <w:gridCol w:w="1012"/>
        <w:gridCol w:w="1387"/>
      </w:tblGrid>
      <w:tr w14:paraId="30C8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建（构）筑物名称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天面面积（平方米）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测点数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检测次数（次）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含税单价（元/次）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含税总价（元）</w:t>
            </w:r>
          </w:p>
        </w:tc>
      </w:tr>
      <w:tr w14:paraId="79CF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6C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1#医技楼（8层）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屋面接闪器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EA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B6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电梯接地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A8B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6B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69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2A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等电位连接（天面金属物接地）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水塔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52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1E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DA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BC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广告牌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0B5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49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CB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42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2#住院楼（11层）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屋面接闪器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2BC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5F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电梯接地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0CA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EB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8F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1F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等电位连接（天面金属物接地）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2A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57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4A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3#行政楼（13层）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屋面接闪器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ED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电梯接地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B7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浪涌保护器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B0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等电位连接（天面金属物接地）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DB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4#液氧站（单层）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屋面接闪器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C2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5#高压氧舱（单层）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屋面接闪器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E2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1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金额金额（元，含税）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D8988AB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上表所列测点数为参考数量，具体以经甲方确认的现场数量为准。医技楼、住院楼、行政楼每1年为一个检测周期，液氧站、高压氧舱每半年为1个检测周期。在一个检测周期内，对于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首次检测不合格项，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承包人通知发包人，由发包人组织相关单位整改后，成交人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>提供‌2次免费复检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。</w:t>
      </w:r>
    </w:p>
    <w:p w14:paraId="0BE6B8C4"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相关要求：</w:t>
      </w:r>
    </w:p>
    <w:p w14:paraId="1F248E08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1.承包人具备政府气象部门颁布的雷电防护装置检测甲级资质证书。</w:t>
      </w:r>
    </w:p>
    <w:p w14:paraId="749B827C"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2.供应商必须具有质量技术监督部门颁发的CMA计量认证合格证书，且证书在有效期内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 w14:paraId="1331BFC5">
      <w:pPr>
        <w:spacing w:line="440" w:lineRule="exact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本项目不接受联合体响应，响应人在中标后不得将本项目以任何形式进行转包或分包。</w:t>
      </w:r>
    </w:p>
    <w:p w14:paraId="3EC76D6E">
      <w:pPr>
        <w:pStyle w:val="2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  <w:t>4.实行综合单价包干，综合单价已包含安全施工、文明施工、检测人员人身安全等一系列成本，服务期限内发生所有与防雷检测相关的风险与费用均由响应人承担。</w:t>
      </w:r>
    </w:p>
    <w:p w14:paraId="7274F561">
      <w:pPr>
        <w:pStyle w:val="2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  <w:t>5.涉及‌</w:t>
      </w:r>
      <w:r>
        <w:rPr>
          <w:rFonts w:hint="default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  <w:t>爆炸、危化品场所‌时，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  <w:t>承包人</w:t>
      </w:r>
      <w:r>
        <w:rPr>
          <w:rFonts w:hint="default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  <w:t>必须使用防爆检测设备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04285D2E">
      <w:pPr>
        <w:spacing w:line="360" w:lineRule="auto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  <w:t>6.成交人在检测期间应严格遵守政府、采购单位的规章制度及相关规定，做到安全施工、文明施工。在合同期内如果发生人员安全、设备安全问题及其它相关问题，成交人承担全部责任。本项目成交人负责且承担响应文件中采购人要求的一切事宜及责任。</w:t>
      </w:r>
    </w:p>
    <w:p w14:paraId="08838CB6">
      <w:pPr>
        <w:numPr>
          <w:ilvl w:val="0"/>
          <w:numId w:val="1"/>
        </w:numPr>
        <w:spacing w:line="440" w:lineRule="exact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支付</w:t>
      </w:r>
    </w:p>
    <w:p w14:paraId="1D6E158F">
      <w:pPr>
        <w:pStyle w:val="2"/>
        <w:spacing w:line="360" w:lineRule="auto"/>
        <w:ind w:firstLine="480" w:firstLineChars="200"/>
        <w:rPr>
          <w:rFonts w:hint="default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lang w:val="en-US" w:eastAsia="zh-CN" w:bidi="ar-SA"/>
        </w:rPr>
        <w:t>承包人完成当期检测并提供检测合格报告和定期检测合格登记证后，发包人支付当期检测费用。具体以合同签订为准。</w:t>
      </w:r>
    </w:p>
    <w:p w14:paraId="40A906B8">
      <w:pPr>
        <w:numPr>
          <w:ilvl w:val="0"/>
          <w:numId w:val="1"/>
        </w:numPr>
        <w:spacing w:line="440" w:lineRule="exact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资料提交、成交方式、评审方式：</w:t>
      </w:r>
    </w:p>
    <w:p w14:paraId="6FA6514D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详见挂网公告。</w:t>
      </w:r>
    </w:p>
    <w:p w14:paraId="31C5018F"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04FC8D76">
      <w:pPr>
        <w:rPr>
          <w:rFonts w:hint="eastAsia"/>
          <w:lang w:val="en-US" w:eastAsia="zh-CN"/>
        </w:rPr>
      </w:pPr>
    </w:p>
    <w:p w14:paraId="37CEB3A3">
      <w:pPr>
        <w:jc w:val="right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中山大学孙逸仙纪念医院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花都院区后勤办公室</w:t>
      </w:r>
    </w:p>
    <w:p w14:paraId="438AF078">
      <w:pPr>
        <w:jc w:val="right"/>
        <w:rPr>
          <w:rFonts w:hint="default"/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2025年8月18日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C06B0"/>
    <w:multiLevelType w:val="singleLevel"/>
    <w:tmpl w:val="2F5C06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50EB1"/>
    <w:rsid w:val="12943FCA"/>
    <w:rsid w:val="12BA1687"/>
    <w:rsid w:val="204926D1"/>
    <w:rsid w:val="25F33792"/>
    <w:rsid w:val="33AD497E"/>
    <w:rsid w:val="35092088"/>
    <w:rsid w:val="35BA15D4"/>
    <w:rsid w:val="3F982986"/>
    <w:rsid w:val="489F543B"/>
    <w:rsid w:val="4D3E343B"/>
    <w:rsid w:val="56344A35"/>
    <w:rsid w:val="61337226"/>
    <w:rsid w:val="6F7E2AA2"/>
    <w:rsid w:val="7E1B791C"/>
    <w:rsid w:val="7E23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weby1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1073</Words>
  <Characters>1130</Characters>
  <Lines>0</Lines>
  <Paragraphs>0</Paragraphs>
  <TotalTime>1</TotalTime>
  <ScaleCrop>false</ScaleCrop>
  <LinksUpToDate>false</LinksUpToDate>
  <CharactersWithSpaces>1130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2025-07-28T05:51:00Z</dcterms:created>
  <dc:creator>Administrator</dc:creator>
  <cp:lastModifiedBy>贤～枫之霖</cp:lastModifiedBy>
  <dcterms:modified xsi:type="dcterms:W3CDTF">2025-08-19T08:57:04Z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eyJoZGlkIjoiN2Y4YjBjYjZiNGU4ZjcyNmY0MjMzNDEzNDFiZWZhZWYiLCJ1c2VySWQiOiI3MjI3MTUyMzUifQ==</vt:lpwstr>
  </property>
  <property fmtid="{D5CDD505-2E9C-101B-9397-08002B2CF9AE}" pid="4" name="ICV">
    <vt:lpwstr>59339A85B854456BADBFBF9F40528B83_12</vt:lpwstr>
  </property>
</Properties>
</file>