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F7EA">
      <w:pPr>
        <w:pStyle w:val="4"/>
        <w:spacing w:before="156" w:beforeLines="50" w:after="156" w:afterLines="50" w:line="377" w:lineRule="auto"/>
        <w:jc w:val="center"/>
        <w:rPr>
          <w:rFonts w:hint="eastAsia" w:ascii="宋体" w:hAnsi="宋体" w:eastAsia="宋体"/>
          <w:color w:val="auto"/>
        </w:rPr>
      </w:pPr>
      <w:bookmarkStart w:id="0" w:name="选择性条款_包组数量_多包组_14"/>
      <w:r>
        <w:rPr>
          <w:rFonts w:hint="eastAsia" w:ascii="宋体" w:hAnsi="宋体" w:eastAsia="宋体"/>
        </w:rPr>
        <w:t>技术商</w:t>
      </w:r>
      <w:r>
        <w:rPr>
          <w:rFonts w:hint="eastAsia" w:ascii="宋体" w:hAnsi="宋体" w:eastAsia="宋体"/>
          <w:color w:val="auto"/>
        </w:rPr>
        <w:t>务评分表</w:t>
      </w:r>
      <w:bookmarkEnd w:id="0"/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52"/>
        <w:gridCol w:w="7318"/>
        <w:gridCol w:w="847"/>
      </w:tblGrid>
      <w:tr w14:paraId="5E7F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87CB9A1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bookmarkStart w:id="1" w:name="方案_综合评分表_1"/>
            <w:bookmarkStart w:id="2" w:name="敏感词检测_综合评分表_1"/>
            <w:r>
              <w:rPr>
                <w:rFonts w:hint="eastAsia" w:ascii="宋体" w:hAnsi="宋体" w:cs="宋体"/>
                <w:b/>
                <w:color w:val="auto"/>
              </w:rPr>
              <w:t>序号</w:t>
            </w:r>
          </w:p>
        </w:tc>
        <w:tc>
          <w:tcPr>
            <w:tcW w:w="609" w:type="pct"/>
            <w:vAlign w:val="center"/>
          </w:tcPr>
          <w:p w14:paraId="53EA255C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评审因素</w:t>
            </w:r>
          </w:p>
        </w:tc>
        <w:tc>
          <w:tcPr>
            <w:tcW w:w="3559" w:type="pct"/>
            <w:vAlign w:val="center"/>
          </w:tcPr>
          <w:p w14:paraId="58A82C63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评分细则</w:t>
            </w:r>
          </w:p>
        </w:tc>
        <w:tc>
          <w:tcPr>
            <w:tcW w:w="412" w:type="pct"/>
            <w:vAlign w:val="center"/>
          </w:tcPr>
          <w:p w14:paraId="46BBB65E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分值（分）</w:t>
            </w:r>
          </w:p>
        </w:tc>
      </w:tr>
      <w:tr w14:paraId="1F9C2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9" w:type="pct"/>
            <w:vAlign w:val="center"/>
          </w:tcPr>
          <w:p w14:paraId="69E2B336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一</w:t>
            </w:r>
          </w:p>
        </w:tc>
        <w:tc>
          <w:tcPr>
            <w:tcW w:w="4580" w:type="pct"/>
            <w:gridSpan w:val="3"/>
            <w:vAlign w:val="center"/>
          </w:tcPr>
          <w:p w14:paraId="44C98D36">
            <w:pPr>
              <w:snapToGrid w:val="0"/>
              <w:spacing w:line="360" w:lineRule="auto"/>
              <w:ind w:left="-89" w:leftChars="-37" w:right="-84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技术部分（合计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分） </w:t>
            </w:r>
          </w:p>
        </w:tc>
      </w:tr>
      <w:tr w14:paraId="600D1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41B0074">
            <w:pPr>
              <w:pStyle w:val="13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宋体" w:hAnsi="宋体"/>
                <w:sz w:val="24"/>
                <w:szCs w:val="21"/>
              </w:rPr>
            </w:pPr>
            <w:bookmarkStart w:id="3" w:name="回填数据_技术评分_标准分值_1" w:colFirst="3" w:colLast="3"/>
            <w:bookmarkStart w:id="4" w:name="回填数据_技术评分_评审规则_1" w:colFirst="2" w:colLast="2"/>
            <w:bookmarkStart w:id="5" w:name="回填数据_技术评分_评审项目_1" w:colFirst="1" w:colLast="1"/>
            <w:bookmarkStart w:id="6" w:name="回填数据_技术评分_序号_自动生成_1" w:colFirst="0" w:colLast="0"/>
            <w:bookmarkStart w:id="7" w:name="回填数据_技术评分_权重_1" w:colFirst="4" w:colLast="4"/>
          </w:p>
        </w:tc>
        <w:tc>
          <w:tcPr>
            <w:tcW w:w="609" w:type="pct"/>
            <w:shd w:val="clear" w:color="auto" w:fill="auto"/>
            <w:vAlign w:val="center"/>
          </w:tcPr>
          <w:p w14:paraId="6AED1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样品展示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5E35B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根据样品外观样式进行综合评价：</w:t>
            </w:r>
          </w:p>
          <w:p w14:paraId="4F03B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1、样品外观样式美观、新颖、时尚，得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49372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2、样品外观样式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美观但不够新颖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、时尚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517A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3、样品外观样式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不美观、普通、过时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 w14:paraId="12AA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(须提供产品宣传彩页等相关证明材料加盖公章，不提供不得分)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B1209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4FAFA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968941C">
            <w:pPr>
              <w:pStyle w:val="13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689E3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样品展示-评价b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B7B94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面料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主要面料需采用高品质、高透气性、快干排汗的功能性针织面料（如聚酯纤维面料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），确保运动时的舒适与干爽。面料应环保无害，符合国</w:t>
            </w:r>
            <w:bookmarkStart w:id="13" w:name="_GoBack"/>
            <w:bookmarkEnd w:id="13"/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最新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纺织品安全标准。</w:t>
            </w:r>
          </w:p>
          <w:p w14:paraId="45FD76A5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完全满足的5分，不满足得0分。</w:t>
            </w:r>
          </w:p>
          <w:p w14:paraId="685929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工艺与质量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：做工精细，无线头、无瑕疵。缝线牢固，主要接缝处应能承受较强的运动拉伸。领口、袖口等部位应不易变形。供应商须提供符合国家标准的合格证及产品检测报告。</w:t>
            </w:r>
          </w:p>
          <w:p w14:paraId="6210442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完全满足的5分，不满足得0分。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9ACE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40441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CCF1B5D">
            <w:pPr>
              <w:pStyle w:val="13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429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售后服务方案</w:t>
            </w:r>
          </w:p>
        </w:tc>
        <w:tc>
          <w:tcPr>
            <w:tcW w:w="3559" w:type="pct"/>
            <w:shd w:val="clear" w:color="auto" w:fill="auto"/>
            <w:vAlign w:val="top"/>
          </w:tcPr>
          <w:p w14:paraId="0157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  <w:szCs w:val="24"/>
                <w:highlight w:val="none"/>
              </w:rPr>
              <w:t>根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 xml:space="preserve">据供应商提供的售后服务方案进行评分： </w:t>
            </w:r>
          </w:p>
          <w:p w14:paraId="3AA65F7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具有完善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具体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可行的售后服务方案，售后服务便捷、响应速度快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投诉处理善后机制完善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能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完全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满足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或优于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采购人需求的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01AFA1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售后服务方案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完善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具体，具有一定可行性，售后服务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便捷、响应速度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快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投诉处理善后机制较为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完整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基本满足采购人需求，得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 xml:space="preserve"> </w:t>
            </w:r>
          </w:p>
          <w:p w14:paraId="3EB9D26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有提供售后服务方案，但可行性不强，售后服务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不够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便捷、响应速度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慢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投诉处理善后机制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较大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缺漏，得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 xml:space="preserve">分； </w:t>
            </w:r>
          </w:p>
          <w:p w14:paraId="0FFE4F9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不提供方案的，得0分。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76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C9C1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ind w:left="286" w:lef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bookmarkEnd w:id="3"/>
      <w:bookmarkEnd w:id="4"/>
      <w:bookmarkEnd w:id="5"/>
      <w:bookmarkEnd w:id="6"/>
      <w:bookmarkEnd w:id="7"/>
      <w:tr w14:paraId="2E9E7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19" w:type="pct"/>
            <w:vAlign w:val="center"/>
          </w:tcPr>
          <w:p w14:paraId="5796FD94">
            <w:pPr>
              <w:snapToGrid w:val="0"/>
              <w:spacing w:line="264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</w:t>
            </w:r>
          </w:p>
        </w:tc>
        <w:tc>
          <w:tcPr>
            <w:tcW w:w="4580" w:type="pct"/>
            <w:gridSpan w:val="3"/>
            <w:vAlign w:val="center"/>
          </w:tcPr>
          <w:p w14:paraId="448A7F0B">
            <w:pPr>
              <w:snapToGrid w:val="0"/>
              <w:spacing w:line="360" w:lineRule="auto"/>
              <w:ind w:left="-89" w:leftChars="-37" w:right="-84" w:rightChars="-3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商务部分（合计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分） </w:t>
            </w:r>
          </w:p>
        </w:tc>
      </w:tr>
      <w:tr w14:paraId="42C50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6C437E9">
            <w:pPr>
              <w:pStyle w:val="13"/>
              <w:numPr>
                <w:ilvl w:val="0"/>
                <w:numId w:val="3"/>
              </w:numPr>
              <w:snapToGrid w:val="0"/>
              <w:spacing w:line="264" w:lineRule="auto"/>
              <w:ind w:left="660" w:leftChars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8" w:name="回填数据_商务评分_权重_1" w:colFirst="4" w:colLast="4"/>
            <w:bookmarkStart w:id="9" w:name="回填数据_商务评分_序号_自动生成_1" w:colFirst="0" w:colLast="0"/>
            <w:bookmarkStart w:id="10" w:name="回填数据_商务评分_评审项目_1" w:colFirst="1" w:colLast="1"/>
            <w:bookmarkStart w:id="11" w:name="回填数据_商务评分_评审规则_1" w:colFirst="2" w:colLast="2"/>
            <w:bookmarkStart w:id="12" w:name="回填数据_商务评分_标准分值_1" w:colFirst="3" w:colLast="3"/>
          </w:p>
        </w:tc>
        <w:tc>
          <w:tcPr>
            <w:tcW w:w="609" w:type="pct"/>
            <w:shd w:val="clear" w:color="auto" w:fill="auto"/>
            <w:vAlign w:val="center"/>
          </w:tcPr>
          <w:p w14:paraId="00A1A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同类项目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C07A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根据供应商自202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年1月1日（以合同签订时间为准）以来，具有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项目业绩进行评分。每提供一份合同，得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分。同一客户单位合同不重复计分。</w:t>
            </w:r>
          </w:p>
          <w:p w14:paraId="2A390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注：提供合同复印件加盖响应人公章，必须体现项目具体服务内容和采购数量。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DDC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bookmarkEnd w:id="8"/>
      <w:bookmarkEnd w:id="9"/>
      <w:bookmarkEnd w:id="10"/>
      <w:bookmarkEnd w:id="11"/>
      <w:bookmarkEnd w:id="12"/>
      <w:tr w14:paraId="370CA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87" w:type="pct"/>
            <w:gridSpan w:val="3"/>
            <w:vAlign w:val="center"/>
          </w:tcPr>
          <w:p w14:paraId="57FF838A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12" w:type="pct"/>
            <w:vAlign w:val="center"/>
          </w:tcPr>
          <w:p w14:paraId="0066172F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/>
              </w:rPr>
              <w:t>分</w:t>
            </w:r>
            <w:r>
              <w:rPr>
                <w:rFonts w:ascii="宋体" w:hAnsi="宋体" w:cs="宋体"/>
                <w:b/>
              </w:rPr>
              <w:t xml:space="preserve"> </w:t>
            </w:r>
          </w:p>
        </w:tc>
      </w:tr>
      <w:bookmarkEnd w:id="1"/>
      <w:bookmarkEnd w:id="2"/>
    </w:tbl>
    <w:p w14:paraId="52FF081D">
      <w:pPr>
        <w:snapToGrid w:val="0"/>
        <w:spacing w:line="360" w:lineRule="auto"/>
        <w:rPr>
          <w:rFonts w:ascii="宋体" w:cs="宋体"/>
          <w:snapToGrid w:val="0"/>
        </w:rPr>
      </w:pPr>
    </w:p>
    <w:p w14:paraId="0E9A2FC8">
      <w:pPr>
        <w:snapToGrid w:val="0"/>
        <w:spacing w:line="360" w:lineRule="auto"/>
        <w:rPr>
          <w:rFonts w:hint="eastAsia" w:ascii="宋体" w:hAnsi="宋体"/>
          <w:bCs/>
          <w:color w:val="FF0000"/>
        </w:rPr>
      </w:pPr>
    </w:p>
    <w:p w14:paraId="4C27BA56">
      <w:pPr>
        <w:snapToGrid w:val="0"/>
        <w:spacing w:line="360" w:lineRule="auto"/>
        <w:ind w:left="240" w:leftChars="100"/>
        <w:rPr>
          <w:rFonts w:hint="eastAsia" w:ascii="宋体" w:hAnsi="宋体"/>
          <w:bCs/>
          <w:color w:val="FF0000"/>
        </w:rPr>
        <w:sectPr>
          <w:pgSz w:w="11906" w:h="16838"/>
          <w:pgMar w:top="1440" w:right="851" w:bottom="1440" w:left="992" w:header="851" w:footer="992" w:gutter="0"/>
          <w:cols w:space="425" w:num="1"/>
          <w:docGrid w:type="lines" w:linePitch="312" w:charSpace="0"/>
        </w:sectPr>
      </w:pPr>
    </w:p>
    <w:p w14:paraId="2B24554D">
      <w:pPr>
        <w:pStyle w:val="4"/>
        <w:spacing w:before="156" w:beforeLines="50" w:after="156" w:afterLines="50" w:line="377" w:lineRule="auto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价格评分表</w:t>
      </w:r>
    </w:p>
    <w:p w14:paraId="79CA637A">
      <w:pPr>
        <w:spacing w:line="360" w:lineRule="auto"/>
        <w:ind w:left="588"/>
        <w:jc w:val="center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  <w:lang w:val="en-US" w:eastAsia="zh-CN"/>
        </w:rPr>
        <w:t>（50</w:t>
      </w:r>
      <w:r>
        <w:rPr>
          <w:rFonts w:hint="eastAsia" w:ascii="宋体" w:hAnsi="宋体"/>
          <w:b/>
          <w:color w:val="auto"/>
        </w:rPr>
        <w:t>分</w:t>
      </w:r>
      <w:r>
        <w:rPr>
          <w:rFonts w:hint="eastAsia" w:ascii="宋体" w:hAnsi="宋体"/>
          <w:b/>
          <w:color w:val="auto"/>
          <w:lang w:val="en-US" w:eastAsia="zh-CN"/>
        </w:rPr>
        <w:t>）</w:t>
      </w:r>
    </w:p>
    <w:p w14:paraId="184CA17F">
      <w:pPr>
        <w:numPr>
          <w:ilvl w:val="0"/>
          <w:numId w:val="0"/>
        </w:numPr>
        <w:autoSpaceDE/>
        <w:autoSpaceDN/>
        <w:adjustRightInd/>
        <w:snapToGrid w:val="0"/>
        <w:spacing w:line="360" w:lineRule="auto"/>
        <w:ind w:left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价格评分：以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作为价格评分的评审依据。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最低的为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评审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基准折扣，其价格分为满分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分。其他供应商的价格分统一按照下列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计算： </w:t>
      </w:r>
    </w:p>
    <w:p w14:paraId="3A1BA8E2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报价得分＝（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所有报价中最低价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单个供应商报价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）×100%×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</w:p>
    <w:p w14:paraId="6F9C40B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021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6187"/>
    <w:multiLevelType w:val="singleLevel"/>
    <w:tmpl w:val="13E161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A61FC5"/>
    <w:multiLevelType w:val="multilevel"/>
    <w:tmpl w:val="46A61FC5"/>
    <w:lvl w:ilvl="0" w:tentative="0">
      <w:start w:val="1"/>
      <w:numFmt w:val="chineseCountingThousand"/>
      <w:lvlText w:val="(%1)"/>
      <w:lvlJc w:val="left"/>
      <w:pPr>
        <w:ind w:left="660" w:hanging="420"/>
      </w:pPr>
      <w:rPr>
        <w:rFonts w:hint="default" w:ascii="宋体" w:hAnsi="宋体" w:eastAsia="宋体"/>
        <w:b w:val="0"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73457C"/>
    <w:multiLevelType w:val="multilevel"/>
    <w:tmpl w:val="6C73457C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 w:ascii="宋体" w:hAnsi="宋体" w:eastAsia="宋体"/>
        <w:b w:val="0"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414D1"/>
    <w:rsid w:val="08F14A19"/>
    <w:rsid w:val="10401C27"/>
    <w:rsid w:val="149414D1"/>
    <w:rsid w:val="22FA00AC"/>
    <w:rsid w:val="320B6956"/>
    <w:rsid w:val="33391BFE"/>
    <w:rsid w:val="3CE143BF"/>
    <w:rsid w:val="46A3725C"/>
    <w:rsid w:val="55594C6A"/>
    <w:rsid w:val="580012C3"/>
    <w:rsid w:val="5E7742CA"/>
    <w:rsid w:val="5FD300A1"/>
    <w:rsid w:val="626A0AFC"/>
    <w:rsid w:val="6BBF45AB"/>
    <w:rsid w:val="752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autoSpaceDE/>
      <w:autoSpaceDN/>
      <w:adjustRightInd/>
      <w:outlineLvl w:val="0"/>
    </w:pPr>
    <w:rPr>
      <w:b/>
      <w:bCs/>
      <w:szCs w:val="24"/>
      <w:lang w:val="zh-CN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annotation text"/>
    <w:basedOn w:val="1"/>
    <w:qFormat/>
    <w:uiPriority w:val="0"/>
    <w:rPr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styleId="13">
    <w:name w:val="List Paragraph"/>
    <w:basedOn w:val="1"/>
    <w:qFormat/>
    <w:uiPriority w:val="99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paragraph" w:customStyle="1" w:styleId="14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846</Characters>
  <Lines>0</Lines>
  <Paragraphs>0</Paragraphs>
  <TotalTime>2</TotalTime>
  <ScaleCrop>false</ScaleCrop>
  <LinksUpToDate>false</LinksUpToDate>
  <CharactersWithSpaces>854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2025-09-28T01:27:00Z</dcterms:created>
  <dc:creator>古皓</dc:creator>
  <cp:lastModifiedBy>Mira</cp:lastModifiedBy>
  <dcterms:modified xsi:type="dcterms:W3CDTF">2025-09-28T03:14:07Z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DD355EBE1BEB49A59A7D6796712D4E82_13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