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F11B8">
      <w:pPr>
        <w:bidi w:val="0"/>
        <w:rPr>
          <w:rFonts w:hint="eastAsia"/>
          <w:color w:val="000000"/>
          <w:highlight w:val="none"/>
          <w:lang w:val="en-US" w:eastAsia="zh-CN"/>
        </w:rPr>
      </w:pPr>
    </w:p>
    <w:p w14:paraId="09B52E3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01CFF071">
      <w:pPr>
        <w:pageBreakBefore w:val="0"/>
        <w:kinsoku/>
        <w:wordWrap/>
        <w:overflowPunct/>
        <w:topLinePunct w:val="0"/>
        <w:bidi w:val="0"/>
        <w:spacing w:line="360" w:lineRule="auto"/>
        <w:ind w:right="0" w:rightChars="0"/>
        <w:jc w:val="center"/>
        <w:rPr>
          <w:rFonts w:hint="eastAsia" w:ascii="宋体" w:hAnsi="宋体" w:cs="宋体"/>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spacing w:val="-30"/>
          <w:sz w:val="72"/>
          <w:szCs w:val="72"/>
          <w:highlight w:val="none"/>
          <w:lang w:val="en-US" w:eastAsia="zh-CN"/>
          <w14:textFill>
            <w14:solidFill>
              <w14:schemeClr w14:val="tx1"/>
            </w14:solidFill>
          </w14:textFill>
        </w:rPr>
        <w:t>院内谈判文件</w:t>
      </w:r>
    </w:p>
    <w:p w14:paraId="731A5078">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themeColor="text1"/>
          <w:highlight w:val="none"/>
          <w14:textFill>
            <w14:solidFill>
              <w14:schemeClr w14:val="tx1"/>
            </w14:solidFill>
          </w14:textFill>
        </w:rPr>
      </w:pPr>
    </w:p>
    <w:p w14:paraId="4712BE84">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themeColor="text1"/>
          <w:sz w:val="36"/>
          <w:szCs w:val="36"/>
          <w:highlight w:val="none"/>
          <w14:textFill>
            <w14:solidFill>
              <w14:schemeClr w14:val="tx1"/>
            </w14:solidFill>
          </w14:textFill>
        </w:rPr>
      </w:pPr>
    </w:p>
    <w:p w14:paraId="2CEA061A">
      <w:pPr>
        <w:pStyle w:val="2"/>
        <w:rPr>
          <w:rFonts w:hint="eastAsia" w:ascii="宋体" w:hAnsi="宋体" w:cs="宋体"/>
          <w:b/>
          <w:bCs w:val="0"/>
          <w:color w:val="000000" w:themeColor="text1"/>
          <w:sz w:val="36"/>
          <w:szCs w:val="36"/>
          <w:highlight w:val="none"/>
          <w14:textFill>
            <w14:solidFill>
              <w14:schemeClr w14:val="tx1"/>
            </w14:solidFill>
          </w14:textFill>
        </w:rPr>
      </w:pPr>
    </w:p>
    <w:p w14:paraId="79DA7166">
      <w:pPr>
        <w:rPr>
          <w:rFonts w:hint="eastAsia"/>
        </w:rPr>
      </w:pPr>
    </w:p>
    <w:p w14:paraId="1CF48261">
      <w:pPr>
        <w:rPr>
          <w:rFonts w:hint="eastAsia"/>
        </w:rPr>
      </w:pPr>
    </w:p>
    <w:p w14:paraId="38DD49B4">
      <w:pPr>
        <w:spacing w:line="360" w:lineRule="auto"/>
        <w:jc w:val="center"/>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项目编号：ZCB-202</w:t>
      </w:r>
      <w:r>
        <w:rPr>
          <w:rFonts w:hint="eastAsia" w:ascii="仿宋" w:hAnsi="仿宋" w:eastAsia="仿宋" w:cs="仿宋"/>
          <w:b/>
          <w:bCs/>
          <w:sz w:val="28"/>
          <w:szCs w:val="28"/>
          <w:highlight w:val="none"/>
          <w:lang w:val="en-US" w:eastAsia="zh-CN"/>
        </w:rPr>
        <w:t>5146</w:t>
      </w:r>
    </w:p>
    <w:p w14:paraId="44057D14">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项目名称：</w:t>
      </w:r>
      <w:r>
        <w:rPr>
          <w:rFonts w:hint="eastAsia" w:ascii="仿宋" w:hAnsi="仿宋" w:eastAsia="仿宋" w:cs="仿宋"/>
          <w:b/>
          <w:bCs/>
          <w:sz w:val="28"/>
          <w:szCs w:val="28"/>
          <w:highlight w:val="none"/>
          <w:u w:val="single"/>
        </w:rPr>
        <w:t>中山大学孙逸仙纪念医院</w:t>
      </w:r>
    </w:p>
    <w:p w14:paraId="2913B52A">
      <w:pPr>
        <w:pageBreakBefore w:val="0"/>
        <w:kinsoku/>
        <w:wordWrap/>
        <w:overflowPunct/>
        <w:topLinePunct w:val="0"/>
        <w:bidi w:val="0"/>
        <w:spacing w:line="360" w:lineRule="auto"/>
        <w:ind w:left="0" w:leftChars="0" w:right="0" w:rightChars="0" w:firstLine="562" w:firstLineChars="200"/>
        <w:jc w:val="cente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2026-2028年公务车辆保险服务采购项目</w:t>
      </w:r>
    </w:p>
    <w:p w14:paraId="576F667D">
      <w:pPr>
        <w:pageBreakBefore w:val="0"/>
        <w:kinsoku/>
        <w:wordWrap/>
        <w:overflowPunct/>
        <w:topLinePunct w:val="0"/>
        <w:bidi w:val="0"/>
        <w:spacing w:line="360" w:lineRule="auto"/>
        <w:ind w:left="0" w:leftChars="0" w:right="0" w:rightChars="0" w:firstLine="422" w:firstLineChars="200"/>
        <w:jc w:val="center"/>
        <w:rPr>
          <w:rFonts w:hint="eastAsia" w:ascii="仿宋" w:hAnsi="仿宋" w:eastAsia="仿宋" w:cs="仿宋"/>
          <w:b/>
          <w:bCs/>
          <w:color w:val="000000" w:themeColor="text1"/>
          <w:highlight w:val="none"/>
          <w14:textFill>
            <w14:solidFill>
              <w14:schemeClr w14:val="tx1"/>
            </w14:solidFill>
          </w14:textFill>
        </w:rPr>
      </w:pPr>
    </w:p>
    <w:p w14:paraId="09139101">
      <w:pPr>
        <w:pageBreakBefore w:val="0"/>
        <w:kinsoku/>
        <w:wordWrap/>
        <w:overflowPunct/>
        <w:topLinePunct w:val="0"/>
        <w:bidi w:val="0"/>
        <w:spacing w:line="360" w:lineRule="auto"/>
        <w:ind w:left="0" w:leftChars="0" w:right="0" w:rightChars="0" w:firstLine="422" w:firstLineChars="200"/>
        <w:jc w:val="center"/>
        <w:rPr>
          <w:rFonts w:hint="eastAsia" w:ascii="仿宋" w:hAnsi="仿宋" w:eastAsia="仿宋" w:cs="仿宋"/>
          <w:b/>
          <w:bCs/>
          <w:color w:val="000000" w:themeColor="text1"/>
          <w:highlight w:val="none"/>
          <w14:textFill>
            <w14:solidFill>
              <w14:schemeClr w14:val="tx1"/>
            </w14:solidFill>
          </w14:textFill>
        </w:rPr>
      </w:pPr>
    </w:p>
    <w:p w14:paraId="03600688">
      <w:pPr>
        <w:pStyle w:val="2"/>
        <w:rPr>
          <w:rFonts w:hint="eastAsia"/>
        </w:rPr>
      </w:pPr>
    </w:p>
    <w:p w14:paraId="399295F0">
      <w:pPr>
        <w:pageBreakBefore w:val="0"/>
        <w:kinsoku/>
        <w:wordWrap/>
        <w:overflowPunct/>
        <w:topLinePunct w:val="0"/>
        <w:bidi w:val="0"/>
        <w:spacing w:line="360" w:lineRule="auto"/>
        <w:ind w:left="0" w:leftChars="0" w:right="0" w:rightChars="0" w:firstLine="422" w:firstLineChars="200"/>
        <w:jc w:val="center"/>
        <w:rPr>
          <w:rFonts w:hint="eastAsia" w:ascii="仿宋" w:hAnsi="仿宋" w:eastAsia="仿宋" w:cs="仿宋"/>
          <w:b/>
          <w:bCs/>
          <w:color w:val="000000" w:themeColor="text1"/>
          <w:highlight w:val="none"/>
          <w14:textFill>
            <w14:solidFill>
              <w14:schemeClr w14:val="tx1"/>
            </w14:solidFill>
          </w14:textFill>
        </w:rPr>
      </w:pPr>
    </w:p>
    <w:p w14:paraId="29DFCD3F">
      <w:pPr>
        <w:pStyle w:val="2"/>
        <w:rPr>
          <w:rFonts w:hint="eastAsia" w:ascii="仿宋" w:hAnsi="仿宋" w:eastAsia="仿宋" w:cs="仿宋"/>
          <w:b/>
          <w:bCs/>
          <w:color w:val="000000" w:themeColor="text1"/>
          <w:highlight w:val="none"/>
          <w14:textFill>
            <w14:solidFill>
              <w14:schemeClr w14:val="tx1"/>
            </w14:solidFill>
          </w14:textFill>
        </w:rPr>
      </w:pPr>
    </w:p>
    <w:p w14:paraId="269ECAAB">
      <w:pPr>
        <w:rPr>
          <w:rFonts w:hint="eastAsia"/>
        </w:rPr>
      </w:pPr>
    </w:p>
    <w:p w14:paraId="16431A7D">
      <w:pPr>
        <w:pStyle w:val="2"/>
        <w:rPr>
          <w:rFonts w:hint="eastAsia" w:ascii="仿宋" w:hAnsi="仿宋" w:eastAsia="仿宋" w:cs="仿宋"/>
          <w:b/>
          <w:bCs/>
          <w:color w:val="000000" w:themeColor="text1"/>
          <w:highlight w:val="none"/>
          <w14:textFill>
            <w14:solidFill>
              <w14:schemeClr w14:val="tx1"/>
            </w14:solidFill>
          </w14:textFill>
        </w:rPr>
      </w:pPr>
    </w:p>
    <w:p w14:paraId="7B7C792F">
      <w:pPr>
        <w:rPr>
          <w:rFonts w:hint="eastAsia"/>
        </w:rPr>
      </w:pPr>
    </w:p>
    <w:p w14:paraId="2BEC147E">
      <w:pPr>
        <w:pageBreakBefore w:val="0"/>
        <w:kinsoku/>
        <w:wordWrap/>
        <w:overflowPunct/>
        <w:topLinePunct w:val="0"/>
        <w:bidi w:val="0"/>
        <w:spacing w:line="360" w:lineRule="auto"/>
        <w:ind w:left="0" w:leftChars="0" w:right="0" w:rightChars="0" w:firstLine="562" w:firstLineChars="200"/>
        <w:jc w:val="center"/>
        <w:rPr>
          <w:rFonts w:hint="eastAsia" w:ascii="仿宋" w:hAnsi="仿宋" w:eastAsia="仿宋" w:cs="仿宋"/>
          <w:b/>
          <w:bCs/>
          <w:color w:val="000000" w:themeColor="text1"/>
          <w:sz w:val="28"/>
          <w:szCs w:val="28"/>
          <w:highlight w:val="none"/>
          <w14:textFill>
            <w14:solidFill>
              <w14:schemeClr w14:val="tx1"/>
            </w14:solidFill>
          </w14:textFill>
        </w:rPr>
      </w:pPr>
    </w:p>
    <w:p w14:paraId="6752E2EA">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中山大学孙逸仙纪念医院</w:t>
      </w:r>
    </w:p>
    <w:p w14:paraId="3733CFCA">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202</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5</w:t>
      </w:r>
      <w:r>
        <w:rPr>
          <w:rFonts w:hint="eastAsia" w:ascii="仿宋" w:hAnsi="仿宋" w:eastAsia="仿宋" w:cs="仿宋"/>
          <w:b/>
          <w:bCs/>
          <w:color w:val="000000" w:themeColor="text1"/>
          <w:sz w:val="28"/>
          <w:szCs w:val="28"/>
          <w:highlight w:val="none"/>
          <w14:textFill>
            <w14:solidFill>
              <w14:schemeClr w14:val="tx1"/>
            </w14:solidFill>
          </w14:textFill>
        </w:rPr>
        <w:t>年</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b/>
          <w:bCs/>
          <w:color w:val="000000" w:themeColor="text1"/>
          <w:sz w:val="28"/>
          <w:szCs w:val="28"/>
          <w:highlight w:val="none"/>
          <w14:textFill>
            <w14:solidFill>
              <w14:schemeClr w14:val="tx1"/>
            </w14:solidFill>
          </w14:textFill>
        </w:rPr>
        <w:t>月</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19日</w:t>
      </w:r>
    </w:p>
    <w:p w14:paraId="2BBCF06A">
      <w:pPr>
        <w:pStyle w:val="26"/>
        <w:rPr>
          <w:rFonts w:hint="eastAsia" w:ascii="宋体" w:hAnsi="宋体" w:cs="宋体"/>
          <w:b/>
          <w:bCs/>
          <w:color w:val="auto"/>
          <w:sz w:val="28"/>
          <w:szCs w:val="28"/>
          <w:highlight w:val="none"/>
        </w:rPr>
      </w:pPr>
    </w:p>
    <w:p w14:paraId="1B57B2C6">
      <w:pPr>
        <w:pStyle w:val="26"/>
        <w:rPr>
          <w:rFonts w:hint="eastAsia" w:ascii="宋体" w:hAnsi="宋体" w:cs="宋体"/>
          <w:b/>
          <w:bCs/>
          <w:color w:val="auto"/>
          <w:sz w:val="28"/>
          <w:szCs w:val="28"/>
          <w:highlight w:val="none"/>
        </w:rPr>
      </w:pPr>
    </w:p>
    <w:p w14:paraId="04DE7C7F">
      <w:pPr>
        <w:pStyle w:val="26"/>
        <w:rPr>
          <w:rFonts w:hint="eastAsia" w:ascii="宋体" w:hAnsi="宋体" w:cs="宋体"/>
          <w:b/>
          <w:bCs/>
          <w:color w:val="auto"/>
          <w:sz w:val="28"/>
          <w:szCs w:val="28"/>
          <w:highlight w:val="none"/>
        </w:rPr>
      </w:pPr>
    </w:p>
    <w:p w14:paraId="7E247553">
      <w:pPr>
        <w:pStyle w:val="26"/>
        <w:rPr>
          <w:rFonts w:hint="eastAsia" w:ascii="宋体" w:hAnsi="宋体" w:cs="宋体"/>
          <w:b/>
          <w:bCs/>
          <w:color w:val="auto"/>
          <w:sz w:val="28"/>
          <w:szCs w:val="28"/>
          <w:highlight w:val="none"/>
        </w:rPr>
      </w:pPr>
    </w:p>
    <w:p w14:paraId="4A894D04">
      <w:pPr>
        <w:pStyle w:val="26"/>
        <w:rPr>
          <w:rFonts w:hint="eastAsia" w:ascii="宋体" w:hAnsi="宋体" w:cs="宋体"/>
          <w:b/>
          <w:bCs/>
          <w:color w:val="auto"/>
          <w:sz w:val="28"/>
          <w:szCs w:val="28"/>
          <w:highlight w:val="none"/>
        </w:rPr>
      </w:pPr>
    </w:p>
    <w:p w14:paraId="084DD094">
      <w:pPr>
        <w:pStyle w:val="26"/>
        <w:rPr>
          <w:rFonts w:hint="eastAsia" w:ascii="宋体" w:hAnsi="宋体" w:cs="宋体"/>
          <w:b/>
          <w:bCs/>
          <w:color w:val="auto"/>
          <w:sz w:val="28"/>
          <w:szCs w:val="28"/>
          <w:highlight w:val="none"/>
        </w:rPr>
      </w:pPr>
    </w:p>
    <w:p w14:paraId="07825709">
      <w:pPr>
        <w:pStyle w:val="26"/>
        <w:rPr>
          <w:rFonts w:hint="eastAsia" w:ascii="宋体" w:hAnsi="宋体" w:cs="宋体"/>
          <w:b/>
          <w:bCs/>
          <w:color w:val="auto"/>
          <w:sz w:val="28"/>
          <w:szCs w:val="28"/>
          <w:highlight w:val="none"/>
        </w:rPr>
      </w:pPr>
    </w:p>
    <w:p w14:paraId="425ECDA2">
      <w:pPr>
        <w:pStyle w:val="26"/>
        <w:rPr>
          <w:rFonts w:hint="eastAsia" w:ascii="宋体" w:hAnsi="宋体" w:cs="宋体"/>
          <w:b/>
          <w:bCs/>
          <w:color w:val="auto"/>
          <w:sz w:val="28"/>
          <w:szCs w:val="28"/>
          <w:highlight w:val="none"/>
        </w:rPr>
      </w:pPr>
    </w:p>
    <w:p w14:paraId="445E59DF">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77D6CBF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r>
        <w:rPr>
          <w:rFonts w:hint="eastAsia" w:ascii="华文中宋" w:hAnsi="华文中宋" w:eastAsia="华文中宋" w:cs="华文中宋"/>
          <w:b/>
          <w:bCs/>
          <w:color w:val="auto"/>
          <w:sz w:val="48"/>
          <w:szCs w:val="48"/>
          <w:highlight w:val="none"/>
        </w:rPr>
        <w:t>目</w:t>
      </w:r>
      <w:r>
        <w:rPr>
          <w:rFonts w:hint="eastAsia" w:ascii="华文中宋" w:hAnsi="华文中宋" w:eastAsia="华文中宋" w:cs="华文中宋"/>
          <w:b/>
          <w:bCs/>
          <w:color w:val="auto"/>
          <w:sz w:val="48"/>
          <w:szCs w:val="48"/>
          <w:highlight w:val="none"/>
          <w:lang w:val="en-US" w:eastAsia="zh-CN"/>
        </w:rPr>
        <w:t xml:space="preserve"> </w:t>
      </w:r>
      <w:r>
        <w:rPr>
          <w:rFonts w:hint="eastAsia" w:ascii="华文中宋" w:hAnsi="华文中宋" w:eastAsia="华文中宋" w:cs="华文中宋"/>
          <w:b/>
          <w:bCs/>
          <w:color w:val="auto"/>
          <w:sz w:val="48"/>
          <w:szCs w:val="48"/>
          <w:highlight w:val="none"/>
        </w:rPr>
        <w:t>录</w:t>
      </w:r>
    </w:p>
    <w:p w14:paraId="5ECB7024">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auto"/>
          <w:sz w:val="30"/>
          <w:szCs w:val="30"/>
          <w:highlight w:val="none"/>
        </w:rPr>
      </w:pPr>
    </w:p>
    <w:p w14:paraId="152EE143">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TOC \o "1-1" \h \z \u </w:instrText>
      </w:r>
      <w:r>
        <w:rPr>
          <w:rFonts w:hint="eastAsia" w:ascii="仿宋" w:hAnsi="仿宋" w:eastAsia="仿宋" w:cs="仿宋"/>
          <w:b/>
          <w:color w:val="auto"/>
          <w:sz w:val="32"/>
          <w:szCs w:val="32"/>
          <w:highlight w:val="none"/>
        </w:rPr>
        <w:fldChar w:fldCharType="separate"/>
      </w: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"_Toc417914517" </w:instrText>
      </w:r>
      <w:r>
        <w:rPr>
          <w:rFonts w:hint="eastAsia" w:ascii="仿宋" w:hAnsi="仿宋" w:eastAsia="仿宋" w:cs="仿宋"/>
          <w:b/>
          <w:color w:val="auto"/>
          <w:sz w:val="32"/>
          <w:szCs w:val="32"/>
          <w:highlight w:val="none"/>
        </w:rPr>
        <w:fldChar w:fldCharType="separate"/>
      </w:r>
      <w:r>
        <w:rPr>
          <w:rStyle w:val="23"/>
          <w:rFonts w:hint="eastAsia" w:ascii="仿宋" w:hAnsi="仿宋" w:eastAsia="仿宋" w:cs="仿宋"/>
          <w:b/>
          <w:color w:val="auto"/>
          <w:sz w:val="32"/>
          <w:szCs w:val="32"/>
          <w:highlight w:val="none"/>
        </w:rPr>
        <w:t>第一章</w:t>
      </w:r>
      <w:r>
        <w:rPr>
          <w:rStyle w:val="23"/>
          <w:rFonts w:hint="eastAsia" w:ascii="仿宋" w:hAnsi="仿宋" w:eastAsia="仿宋" w:cs="仿宋"/>
          <w:b/>
          <w:color w:val="auto"/>
          <w:sz w:val="32"/>
          <w:szCs w:val="32"/>
          <w:highlight w:val="none"/>
          <w:lang w:val="en-US" w:eastAsia="zh-CN"/>
        </w:rPr>
        <w:t xml:space="preserve"> 谈判邀请</w:t>
      </w:r>
      <w:r>
        <w:rPr>
          <w:rStyle w:val="23"/>
          <w:rFonts w:hint="eastAsia" w:ascii="仿宋" w:hAnsi="仿宋" w:eastAsia="仿宋" w:cs="仿宋"/>
          <w:b/>
          <w:color w:val="auto"/>
          <w:sz w:val="32"/>
          <w:szCs w:val="32"/>
          <w:highlight w:val="none"/>
        </w:rPr>
        <w:t>函</w:t>
      </w:r>
      <w:r>
        <w:rPr>
          <w:rFonts w:hint="eastAsia" w:ascii="仿宋" w:hAnsi="仿宋" w:eastAsia="仿宋" w:cs="仿宋"/>
          <w:b/>
          <w:color w:val="auto"/>
          <w:sz w:val="32"/>
          <w:szCs w:val="32"/>
          <w:highlight w:val="none"/>
        </w:rPr>
        <w:fldChar w:fldCharType="end"/>
      </w:r>
    </w:p>
    <w:p w14:paraId="37371AAA">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"_Toc417914518" </w:instrText>
      </w:r>
      <w:r>
        <w:rPr>
          <w:rFonts w:hint="eastAsia" w:ascii="仿宋" w:hAnsi="仿宋" w:eastAsia="仿宋" w:cs="仿宋"/>
          <w:b/>
          <w:color w:val="auto"/>
          <w:sz w:val="32"/>
          <w:szCs w:val="32"/>
          <w:highlight w:val="none"/>
        </w:rPr>
        <w:fldChar w:fldCharType="separate"/>
      </w:r>
      <w:r>
        <w:rPr>
          <w:rStyle w:val="23"/>
          <w:rFonts w:hint="eastAsia" w:ascii="仿宋" w:hAnsi="仿宋" w:eastAsia="仿宋" w:cs="仿宋"/>
          <w:b/>
          <w:color w:val="auto"/>
          <w:sz w:val="32"/>
          <w:szCs w:val="32"/>
          <w:highlight w:val="none"/>
        </w:rPr>
        <w:t>第二章</w:t>
      </w:r>
      <w:r>
        <w:rPr>
          <w:rStyle w:val="23"/>
          <w:rFonts w:hint="eastAsia" w:ascii="仿宋" w:hAnsi="仿宋" w:eastAsia="仿宋" w:cs="仿宋"/>
          <w:b/>
          <w:color w:val="auto"/>
          <w:sz w:val="32"/>
          <w:szCs w:val="32"/>
          <w:highlight w:val="none"/>
          <w:lang w:val="en-US" w:eastAsia="zh-CN"/>
        </w:rPr>
        <w:t xml:space="preserve"> </w:t>
      </w:r>
      <w:r>
        <w:rPr>
          <w:rStyle w:val="23"/>
          <w:rFonts w:hint="eastAsia" w:ascii="仿宋" w:hAnsi="仿宋" w:eastAsia="仿宋" w:cs="仿宋"/>
          <w:b/>
          <w:color w:val="auto"/>
          <w:sz w:val="32"/>
          <w:szCs w:val="32"/>
          <w:highlight w:val="none"/>
          <w:lang w:eastAsia="zh-CN"/>
        </w:rPr>
        <w:t>用户</w:t>
      </w:r>
      <w:r>
        <w:rPr>
          <w:rStyle w:val="23"/>
          <w:rFonts w:hint="eastAsia" w:ascii="仿宋" w:hAnsi="仿宋" w:eastAsia="仿宋" w:cs="仿宋"/>
          <w:b/>
          <w:color w:val="auto"/>
          <w:sz w:val="32"/>
          <w:szCs w:val="32"/>
          <w:highlight w:val="none"/>
        </w:rPr>
        <w:t>需求书</w:t>
      </w:r>
      <w:r>
        <w:rPr>
          <w:rFonts w:hint="eastAsia" w:ascii="仿宋" w:hAnsi="仿宋" w:eastAsia="仿宋" w:cs="仿宋"/>
          <w:b/>
          <w:color w:val="auto"/>
          <w:sz w:val="32"/>
          <w:szCs w:val="32"/>
          <w:highlight w:val="none"/>
        </w:rPr>
        <w:fldChar w:fldCharType="end"/>
      </w:r>
    </w:p>
    <w:p w14:paraId="67A23070">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"_Toc417914519" </w:instrText>
      </w:r>
      <w:r>
        <w:rPr>
          <w:rFonts w:hint="eastAsia" w:ascii="仿宋" w:hAnsi="仿宋" w:eastAsia="仿宋" w:cs="仿宋"/>
          <w:b/>
          <w:color w:val="auto"/>
          <w:sz w:val="32"/>
          <w:szCs w:val="32"/>
          <w:highlight w:val="none"/>
        </w:rPr>
        <w:fldChar w:fldCharType="separate"/>
      </w:r>
      <w:r>
        <w:rPr>
          <w:rStyle w:val="23"/>
          <w:rFonts w:hint="eastAsia" w:ascii="仿宋" w:hAnsi="仿宋" w:eastAsia="仿宋" w:cs="仿宋"/>
          <w:b/>
          <w:color w:val="auto"/>
          <w:sz w:val="32"/>
          <w:szCs w:val="32"/>
          <w:highlight w:val="none"/>
        </w:rPr>
        <w:t>第三章</w:t>
      </w:r>
      <w:r>
        <w:rPr>
          <w:rStyle w:val="23"/>
          <w:rFonts w:hint="eastAsia" w:ascii="仿宋" w:hAnsi="仿宋" w:eastAsia="仿宋" w:cs="仿宋"/>
          <w:b/>
          <w:color w:val="auto"/>
          <w:sz w:val="32"/>
          <w:szCs w:val="32"/>
          <w:highlight w:val="none"/>
          <w:lang w:val="en-US" w:eastAsia="zh-CN"/>
        </w:rPr>
        <w:t xml:space="preserve"> 响应</w:t>
      </w:r>
      <w:r>
        <w:rPr>
          <w:rStyle w:val="23"/>
          <w:rFonts w:hint="eastAsia" w:ascii="仿宋" w:hAnsi="仿宋" w:eastAsia="仿宋" w:cs="仿宋"/>
          <w:b/>
          <w:color w:val="auto"/>
          <w:sz w:val="32"/>
          <w:szCs w:val="32"/>
          <w:highlight w:val="none"/>
          <w:lang w:eastAsia="zh-CN"/>
        </w:rPr>
        <w:t>须知</w:t>
      </w:r>
      <w:r>
        <w:rPr>
          <w:rFonts w:hint="eastAsia" w:ascii="仿宋" w:hAnsi="仿宋" w:eastAsia="仿宋" w:cs="仿宋"/>
          <w:b/>
          <w:color w:val="auto"/>
          <w:sz w:val="32"/>
          <w:szCs w:val="32"/>
          <w:highlight w:val="none"/>
        </w:rPr>
        <w:fldChar w:fldCharType="end"/>
      </w:r>
    </w:p>
    <w:p w14:paraId="2845B02A">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第四章 合同参考文本</w:t>
      </w:r>
    </w:p>
    <w:p w14:paraId="3E0105E5">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第五章 响应文件编制要求</w:t>
      </w:r>
    </w:p>
    <w:p w14:paraId="709D8A59">
      <w:pPr>
        <w:pStyle w:val="26"/>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auto"/>
          <w:sz w:val="28"/>
          <w:szCs w:val="28"/>
          <w:highlight w:val="none"/>
        </w:rPr>
      </w:pPr>
      <w:r>
        <w:rPr>
          <w:rFonts w:hint="eastAsia" w:ascii="仿宋" w:hAnsi="仿宋" w:eastAsia="仿宋" w:cs="仿宋"/>
          <w:b/>
          <w:color w:val="auto"/>
          <w:sz w:val="32"/>
          <w:szCs w:val="32"/>
          <w:highlight w:val="none"/>
        </w:rPr>
        <w:fldChar w:fldCharType="end"/>
      </w:r>
    </w:p>
    <w:p w14:paraId="5A1B38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5910DA7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E9F491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343122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43663B8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FA3DD0B">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D39A44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322EED25">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auto"/>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0CB00CE6">
      <w:pPr>
        <w:rPr>
          <w:color w:val="auto"/>
          <w:highlight w:val="none"/>
        </w:rPr>
      </w:pPr>
    </w:p>
    <w:p w14:paraId="5A9D4925">
      <w:pPr>
        <w:pStyle w:val="26"/>
        <w:rPr>
          <w:color w:val="auto"/>
          <w:highlight w:val="none"/>
        </w:rPr>
      </w:pPr>
    </w:p>
    <w:p w14:paraId="0A15806B">
      <w:pPr>
        <w:pStyle w:val="26"/>
        <w:rPr>
          <w:color w:val="auto"/>
          <w:highlight w:val="none"/>
        </w:rPr>
      </w:pPr>
    </w:p>
    <w:p w14:paraId="3DCA7AD5">
      <w:pPr>
        <w:pStyle w:val="26"/>
        <w:rPr>
          <w:color w:val="auto"/>
          <w:highlight w:val="none"/>
        </w:rPr>
      </w:pPr>
    </w:p>
    <w:p w14:paraId="6E14FAB4">
      <w:pPr>
        <w:pStyle w:val="26"/>
        <w:rPr>
          <w:color w:val="auto"/>
          <w:highlight w:val="none"/>
        </w:rPr>
      </w:pPr>
    </w:p>
    <w:p w14:paraId="64575E93">
      <w:pPr>
        <w:pStyle w:val="26"/>
        <w:rPr>
          <w:color w:val="auto"/>
          <w:highlight w:val="none"/>
        </w:rPr>
      </w:pPr>
    </w:p>
    <w:p w14:paraId="2C222BBF">
      <w:pPr>
        <w:pStyle w:val="26"/>
        <w:rPr>
          <w:color w:val="auto"/>
          <w:highlight w:val="none"/>
        </w:rPr>
      </w:pPr>
    </w:p>
    <w:p w14:paraId="09C05EDD">
      <w:pPr>
        <w:pStyle w:val="26"/>
        <w:rPr>
          <w:color w:val="auto"/>
          <w:highlight w:val="none"/>
        </w:rPr>
      </w:pPr>
    </w:p>
    <w:p w14:paraId="78BEBE66">
      <w:pPr>
        <w:pStyle w:val="26"/>
        <w:rPr>
          <w:color w:val="auto"/>
          <w:highlight w:val="none"/>
        </w:rPr>
      </w:pPr>
    </w:p>
    <w:p w14:paraId="7FFB3F36">
      <w:pPr>
        <w:pStyle w:val="26"/>
        <w:rPr>
          <w:color w:val="auto"/>
          <w:highlight w:val="none"/>
        </w:rPr>
      </w:pPr>
    </w:p>
    <w:p w14:paraId="3DF6BD4F">
      <w:pPr>
        <w:pStyle w:val="26"/>
        <w:rPr>
          <w:color w:val="auto"/>
          <w:highlight w:val="none"/>
        </w:rPr>
      </w:pPr>
    </w:p>
    <w:p w14:paraId="2734705C">
      <w:pPr>
        <w:pStyle w:val="26"/>
        <w:rPr>
          <w:color w:val="auto"/>
          <w:highlight w:val="none"/>
        </w:rPr>
      </w:pPr>
    </w:p>
    <w:p w14:paraId="4314B196">
      <w:pPr>
        <w:pStyle w:val="26"/>
        <w:rPr>
          <w:color w:val="auto"/>
          <w:highlight w:val="none"/>
        </w:rPr>
      </w:pPr>
    </w:p>
    <w:p w14:paraId="3A1D323C">
      <w:pPr>
        <w:pStyle w:val="26"/>
        <w:ind w:left="0" w:leftChars="0" w:firstLine="0" w:firstLineChars="0"/>
        <w:rPr>
          <w:color w:val="auto"/>
          <w:highlight w:val="none"/>
        </w:rPr>
      </w:pPr>
    </w:p>
    <w:p w14:paraId="28873E3D">
      <w:pPr>
        <w:pStyle w:val="26"/>
        <w:rPr>
          <w:color w:val="auto"/>
          <w:highlight w:val="none"/>
        </w:rPr>
      </w:pPr>
    </w:p>
    <w:p w14:paraId="50FA7ED8">
      <w:pPr>
        <w:pStyle w:val="26"/>
        <w:rPr>
          <w:color w:val="auto"/>
          <w:highlight w:val="none"/>
        </w:rPr>
      </w:pPr>
    </w:p>
    <w:p w14:paraId="6B2899CF">
      <w:pPr>
        <w:pStyle w:val="26"/>
        <w:rPr>
          <w:color w:val="auto"/>
          <w:highlight w:val="none"/>
        </w:rPr>
      </w:pPr>
    </w:p>
    <w:p w14:paraId="33C44C0F">
      <w:pPr>
        <w:pStyle w:val="26"/>
        <w:rPr>
          <w:color w:val="auto"/>
          <w:highlight w:val="none"/>
        </w:rPr>
      </w:pPr>
    </w:p>
    <w:p w14:paraId="42E0C72B">
      <w:pPr>
        <w:pStyle w:val="26"/>
        <w:rPr>
          <w:color w:val="auto"/>
          <w:highlight w:val="none"/>
        </w:rPr>
      </w:pPr>
    </w:p>
    <w:p w14:paraId="605B6840">
      <w:pPr>
        <w:pStyle w:val="26"/>
        <w:rPr>
          <w:color w:val="auto"/>
          <w:highlight w:val="none"/>
        </w:rPr>
      </w:pPr>
    </w:p>
    <w:p w14:paraId="67B723F3">
      <w:pPr>
        <w:pStyle w:val="26"/>
        <w:rPr>
          <w:color w:val="auto"/>
          <w:highlight w:val="none"/>
        </w:rPr>
      </w:pPr>
    </w:p>
    <w:p w14:paraId="42B80870">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bookmarkStart w:id="0" w:name="_Toc50736465"/>
      <w:bookmarkStart w:id="1" w:name="_Toc50737285"/>
      <w:bookmarkStart w:id="2" w:name="_Toc385940868"/>
      <w:bookmarkStart w:id="3" w:name="_Toc50737317"/>
      <w:bookmarkStart w:id="4" w:name="_Toc385939527"/>
      <w:bookmarkStart w:id="5" w:name="_Toc50691018"/>
      <w:bookmarkStart w:id="6" w:name="_Toc76354913"/>
      <w:bookmarkStart w:id="7" w:name="_Toc417914517"/>
      <w:r>
        <w:rPr>
          <w:rFonts w:hint="eastAsia" w:ascii="微软雅黑" w:hAnsi="微软雅黑" w:eastAsia="微软雅黑" w:cs="微软雅黑"/>
          <w:color w:val="auto"/>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auto"/>
          <w:highlight w:val="none"/>
          <w:lang w:val="en-US" w:eastAsia="zh-CN"/>
        </w:rPr>
        <w:t xml:space="preserve"> 谈判邀请</w:t>
      </w:r>
      <w:r>
        <w:rPr>
          <w:rFonts w:hint="eastAsia" w:ascii="微软雅黑" w:hAnsi="微软雅黑" w:eastAsia="微软雅黑" w:cs="微软雅黑"/>
          <w:color w:val="auto"/>
          <w:highlight w:val="none"/>
        </w:rPr>
        <w:t>函</w:t>
      </w:r>
      <w:bookmarkEnd w:id="7"/>
    </w:p>
    <w:p w14:paraId="09A011E9">
      <w:pPr>
        <w:pStyle w:val="26"/>
        <w:rPr>
          <w:color w:val="auto"/>
          <w:highlight w:val="none"/>
        </w:rPr>
      </w:pPr>
    </w:p>
    <w:p w14:paraId="0E1E6DAA">
      <w:pPr>
        <w:pStyle w:val="26"/>
        <w:rPr>
          <w:color w:val="auto"/>
          <w:highlight w:val="none"/>
        </w:rPr>
      </w:pPr>
    </w:p>
    <w:p w14:paraId="3BA9C6FC">
      <w:pPr>
        <w:pStyle w:val="26"/>
        <w:rPr>
          <w:color w:val="auto"/>
          <w:highlight w:val="none"/>
        </w:rPr>
      </w:pPr>
    </w:p>
    <w:p w14:paraId="785CAE00">
      <w:pPr>
        <w:pStyle w:val="26"/>
        <w:rPr>
          <w:color w:val="auto"/>
          <w:highlight w:val="none"/>
        </w:rPr>
      </w:pPr>
    </w:p>
    <w:p w14:paraId="39EE392B">
      <w:pPr>
        <w:pStyle w:val="26"/>
        <w:rPr>
          <w:color w:val="auto"/>
          <w:highlight w:val="none"/>
        </w:rPr>
      </w:pPr>
    </w:p>
    <w:p w14:paraId="706178C8">
      <w:pPr>
        <w:pStyle w:val="26"/>
        <w:rPr>
          <w:color w:val="auto"/>
          <w:highlight w:val="none"/>
        </w:rPr>
      </w:pPr>
    </w:p>
    <w:p w14:paraId="772CC2BD">
      <w:pPr>
        <w:pStyle w:val="26"/>
        <w:rPr>
          <w:color w:val="auto"/>
          <w:highlight w:val="none"/>
        </w:rPr>
      </w:pPr>
    </w:p>
    <w:p w14:paraId="67FC31CB">
      <w:pPr>
        <w:pStyle w:val="26"/>
        <w:rPr>
          <w:color w:val="auto"/>
          <w:highlight w:val="none"/>
        </w:rPr>
      </w:pPr>
    </w:p>
    <w:p w14:paraId="386EC698">
      <w:pPr>
        <w:pStyle w:val="26"/>
        <w:rPr>
          <w:color w:val="auto"/>
          <w:highlight w:val="none"/>
        </w:rPr>
      </w:pPr>
    </w:p>
    <w:p w14:paraId="2C1A4281">
      <w:pPr>
        <w:pStyle w:val="26"/>
        <w:rPr>
          <w:color w:val="auto"/>
          <w:highlight w:val="none"/>
        </w:rPr>
      </w:pPr>
    </w:p>
    <w:p w14:paraId="5F86BCBC">
      <w:pPr>
        <w:pStyle w:val="26"/>
        <w:rPr>
          <w:color w:val="auto"/>
          <w:highlight w:val="none"/>
        </w:rPr>
      </w:pPr>
    </w:p>
    <w:p w14:paraId="455E259F">
      <w:pPr>
        <w:pStyle w:val="26"/>
        <w:rPr>
          <w:color w:val="auto"/>
          <w:highlight w:val="none"/>
        </w:rPr>
      </w:pPr>
    </w:p>
    <w:p w14:paraId="2CAB1CE8">
      <w:pPr>
        <w:pStyle w:val="26"/>
        <w:rPr>
          <w:color w:val="auto"/>
          <w:highlight w:val="none"/>
        </w:rPr>
      </w:pPr>
    </w:p>
    <w:p w14:paraId="4886323E">
      <w:pPr>
        <w:pStyle w:val="26"/>
        <w:rPr>
          <w:color w:val="auto"/>
          <w:highlight w:val="none"/>
        </w:rPr>
      </w:pPr>
    </w:p>
    <w:p w14:paraId="70322BB7">
      <w:pPr>
        <w:pStyle w:val="26"/>
        <w:rPr>
          <w:color w:val="auto"/>
          <w:highlight w:val="none"/>
        </w:rPr>
      </w:pPr>
    </w:p>
    <w:p w14:paraId="3AB65DC5">
      <w:pPr>
        <w:pStyle w:val="26"/>
        <w:rPr>
          <w:color w:val="auto"/>
          <w:highlight w:val="none"/>
        </w:rPr>
      </w:pPr>
    </w:p>
    <w:p w14:paraId="35ACE013">
      <w:pPr>
        <w:pStyle w:val="26"/>
        <w:rPr>
          <w:color w:val="auto"/>
          <w:highlight w:val="none"/>
        </w:rPr>
      </w:pPr>
    </w:p>
    <w:p w14:paraId="4ABCB55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12CCCD5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C414E7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6D544DC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7B37B1F">
      <w:pPr>
        <w:keepNext w:val="0"/>
        <w:keepLines w:val="0"/>
        <w:pageBreakBefore w:val="0"/>
        <w:widowControl/>
        <w:kinsoku/>
        <w:wordWrap/>
        <w:overflowPunct/>
        <w:topLinePunct w:val="0"/>
        <w:bidi w:val="0"/>
        <w:adjustRightInd w:val="0"/>
        <w:snapToGrid w:val="0"/>
        <w:spacing w:line="408" w:lineRule="auto"/>
        <w:ind w:left="0" w:leftChars="0" w:right="0" w:rightChars="0" w:firstLine="0" w:firstLineChars="0"/>
        <w:jc w:val="center"/>
        <w:textAlignment w:val="auto"/>
        <w:rPr>
          <w:rFonts w:hint="eastAsia" w:ascii="华文中宋" w:hAnsi="华文中宋" w:eastAsia="华文中宋" w:cs="华文中宋"/>
          <w:b/>
          <w:bCs/>
          <w:color w:val="auto"/>
          <w:kern w:val="44"/>
          <w:sz w:val="36"/>
          <w:szCs w:val="36"/>
          <w:highlight w:val="none"/>
        </w:rPr>
      </w:pPr>
      <w:r>
        <w:rPr>
          <w:rFonts w:hint="eastAsia" w:ascii="华文中宋" w:hAnsi="华文中宋" w:eastAsia="华文中宋" w:cs="华文中宋"/>
          <w:b/>
          <w:bCs/>
          <w:color w:val="auto"/>
          <w:kern w:val="44"/>
          <w:sz w:val="36"/>
          <w:szCs w:val="36"/>
          <w:highlight w:val="none"/>
          <w:lang w:val="en-US" w:eastAsia="zh-CN"/>
        </w:rPr>
        <w:t>谈判邀请</w:t>
      </w:r>
      <w:r>
        <w:rPr>
          <w:rFonts w:hint="eastAsia" w:ascii="华文中宋" w:hAnsi="华文中宋" w:eastAsia="华文中宋" w:cs="华文中宋"/>
          <w:b/>
          <w:bCs/>
          <w:color w:val="auto"/>
          <w:kern w:val="44"/>
          <w:sz w:val="36"/>
          <w:szCs w:val="36"/>
          <w:highlight w:val="none"/>
        </w:rPr>
        <w:t>函</w:t>
      </w:r>
    </w:p>
    <w:p w14:paraId="1627EA99">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各</w:t>
      </w:r>
      <w:r>
        <w:rPr>
          <w:rFonts w:hint="eastAsia" w:ascii="仿宋" w:hAnsi="仿宋" w:eastAsia="仿宋" w:cs="仿宋"/>
          <w:b/>
          <w:bCs w:val="0"/>
          <w:color w:val="auto"/>
          <w:sz w:val="24"/>
          <w:szCs w:val="24"/>
          <w:highlight w:val="none"/>
          <w:lang w:eastAsia="zh-CN"/>
        </w:rPr>
        <w:t>供应商</w:t>
      </w:r>
      <w:r>
        <w:rPr>
          <w:rFonts w:hint="eastAsia" w:ascii="仿宋" w:hAnsi="仿宋" w:eastAsia="仿宋" w:cs="仿宋"/>
          <w:b/>
          <w:bCs w:val="0"/>
          <w:color w:val="auto"/>
          <w:sz w:val="24"/>
          <w:szCs w:val="24"/>
          <w:highlight w:val="none"/>
        </w:rPr>
        <w:t>：</w:t>
      </w:r>
    </w:p>
    <w:p w14:paraId="0BF5537A">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依据我院的需求，现</w:t>
      </w:r>
      <w:r>
        <w:rPr>
          <w:rFonts w:hint="eastAsia" w:ascii="仿宋" w:hAnsi="仿宋" w:eastAsia="仿宋" w:cs="仿宋"/>
          <w:bCs/>
          <w:color w:val="auto"/>
          <w:sz w:val="24"/>
          <w:szCs w:val="24"/>
          <w:highlight w:val="none"/>
        </w:rPr>
        <w:t>对</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我院2026-2028年公务车辆保险服务采购项目</w:t>
      </w:r>
      <w:r>
        <w:rPr>
          <w:rFonts w:hint="eastAsia" w:ascii="仿宋" w:hAnsi="仿宋" w:eastAsia="仿宋" w:cs="仿宋"/>
          <w:bCs/>
          <w:color w:val="000000" w:themeColor="text1"/>
          <w:sz w:val="24"/>
          <w:szCs w:val="24"/>
          <w:highlight w:val="none"/>
          <w:lang w:eastAsia="zh-CN"/>
          <w14:textFill>
            <w14:solidFill>
              <w14:schemeClr w14:val="tx1"/>
            </w14:solidFill>
          </w14:textFill>
        </w:rPr>
        <w:t>进行</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院内</w:t>
      </w:r>
      <w:r>
        <w:rPr>
          <w:rFonts w:hint="eastAsia" w:ascii="仿宋" w:hAnsi="仿宋" w:eastAsia="仿宋" w:cs="仿宋"/>
          <w:bCs/>
          <w:color w:val="000000" w:themeColor="text1"/>
          <w:sz w:val="24"/>
          <w:szCs w:val="24"/>
          <w:highlight w:val="none"/>
          <w:lang w:eastAsia="zh-CN"/>
          <w14:textFill>
            <w14:solidFill>
              <w14:schemeClr w14:val="tx1"/>
            </w14:solidFill>
          </w14:textFill>
        </w:rPr>
        <w:t>谈判采购</w:t>
      </w:r>
      <w:r>
        <w:rPr>
          <w:rFonts w:hint="eastAsia" w:ascii="仿宋" w:hAnsi="仿宋" w:eastAsia="仿宋" w:cs="仿宋"/>
          <w:bCs/>
          <w:color w:val="auto"/>
          <w:sz w:val="24"/>
          <w:szCs w:val="24"/>
          <w:highlight w:val="none"/>
        </w:rPr>
        <w:t>，欢迎符合条件的</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14:paraId="51201932">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default" w:ascii="仿宋" w:hAnsi="仿宋" w:eastAsia="仿宋" w:cs="仿宋"/>
          <w:b/>
          <w:bCs w:val="0"/>
          <w:color w:val="auto"/>
          <w:sz w:val="24"/>
          <w:szCs w:val="24"/>
          <w:highlight w:val="none"/>
          <w:lang w:val="en-US"/>
        </w:rPr>
      </w:pPr>
      <w:r>
        <w:rPr>
          <w:rFonts w:hint="eastAsia" w:ascii="仿宋" w:hAnsi="仿宋" w:eastAsia="仿宋" w:cs="仿宋"/>
          <w:b/>
          <w:bCs w:val="0"/>
          <w:color w:val="auto"/>
          <w:kern w:val="2"/>
          <w:sz w:val="24"/>
          <w:szCs w:val="24"/>
          <w:lang w:val="en-US" w:eastAsia="zh-CN" w:bidi="ar-SA"/>
        </w:rPr>
        <w:t>一、</w:t>
      </w:r>
      <w:r>
        <w:rPr>
          <w:rFonts w:hint="eastAsia" w:ascii="仿宋" w:hAnsi="仿宋" w:eastAsia="仿宋" w:cs="仿宋"/>
          <w:b/>
          <w:bCs w:val="0"/>
          <w:color w:val="auto"/>
          <w:sz w:val="24"/>
          <w:szCs w:val="24"/>
          <w:highlight w:val="none"/>
        </w:rPr>
        <w:t>项目编号：</w:t>
      </w:r>
      <w:r>
        <w:rPr>
          <w:rFonts w:hint="eastAsia" w:ascii="仿宋" w:hAnsi="仿宋" w:eastAsia="仿宋" w:cs="仿宋"/>
          <w:b/>
          <w:bCs/>
          <w:color w:val="auto"/>
          <w:sz w:val="24"/>
          <w:szCs w:val="24"/>
          <w:highlight w:val="none"/>
          <w:u w:val="none"/>
          <w:lang w:val="en-US" w:eastAsia="zh-CN"/>
        </w:rPr>
        <w:t>ZCB-2025146</w:t>
      </w:r>
    </w:p>
    <w:p w14:paraId="0C09B74B">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kern w:val="2"/>
          <w:sz w:val="24"/>
          <w:szCs w:val="24"/>
          <w:lang w:val="en-US" w:eastAsia="zh-CN" w:bidi="ar-SA"/>
        </w:rPr>
        <w:t>二、</w:t>
      </w:r>
      <w:r>
        <w:rPr>
          <w:rFonts w:hint="eastAsia" w:ascii="仿宋" w:hAnsi="仿宋" w:eastAsia="仿宋" w:cs="仿宋"/>
          <w:b/>
          <w:bCs w:val="0"/>
          <w:color w:val="auto"/>
          <w:sz w:val="24"/>
          <w:szCs w:val="24"/>
          <w:highlight w:val="none"/>
        </w:rPr>
        <w:t>项目名称</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中山大学孙逸仙纪念医院2026-2028年公务车辆保险服务采购项目</w:t>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DOCVARIABLE  项目名称  \* MERGEFORMAT </w:instrText>
      </w:r>
      <w:r>
        <w:rPr>
          <w:rFonts w:hint="eastAsia" w:ascii="仿宋" w:hAnsi="仿宋" w:eastAsia="仿宋" w:cs="仿宋"/>
          <w:b/>
          <w:bCs w:val="0"/>
          <w:color w:val="auto"/>
          <w:sz w:val="24"/>
          <w:szCs w:val="24"/>
          <w:highlight w:val="none"/>
        </w:rPr>
        <w:fldChar w:fldCharType="end"/>
      </w:r>
    </w:p>
    <w:p w14:paraId="7CA54714">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kern w:val="2"/>
          <w:sz w:val="24"/>
          <w:szCs w:val="24"/>
          <w:lang w:val="en-US" w:eastAsia="zh-CN" w:bidi="ar-SA"/>
        </w:rPr>
        <w:t>三、</w:t>
      </w:r>
      <w:r>
        <w:rPr>
          <w:rFonts w:hint="eastAsia" w:ascii="仿宋" w:hAnsi="仿宋" w:eastAsia="仿宋" w:cs="仿宋"/>
          <w:b/>
          <w:bCs w:val="0"/>
          <w:color w:val="auto"/>
          <w:sz w:val="24"/>
          <w:szCs w:val="24"/>
          <w:highlight w:val="none"/>
          <w:lang w:eastAsia="zh-CN"/>
        </w:rPr>
        <w:t>项目</w:t>
      </w:r>
      <w:r>
        <w:rPr>
          <w:rFonts w:hint="eastAsia" w:ascii="仿宋" w:hAnsi="仿宋" w:eastAsia="仿宋" w:cs="仿宋"/>
          <w:b/>
          <w:bCs w:val="0"/>
          <w:color w:val="auto"/>
          <w:sz w:val="24"/>
          <w:szCs w:val="24"/>
          <w:highlight w:val="none"/>
        </w:rPr>
        <w:t>内容及需求：</w:t>
      </w:r>
    </w:p>
    <w:tbl>
      <w:tblPr>
        <w:tblStyle w:val="19"/>
        <w:tblpPr w:leftFromText="180" w:rightFromText="180" w:vertAnchor="text" w:horzAnchor="page" w:tblpXSpec="center" w:tblpY="295"/>
        <w:tblOverlap w:val="never"/>
        <w:tblW w:w="6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1764"/>
        <w:gridCol w:w="2152"/>
      </w:tblGrid>
      <w:tr w14:paraId="5F38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920" w:type="dxa"/>
            <w:vAlign w:val="center"/>
          </w:tcPr>
          <w:p w14:paraId="7103D26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zh-CN"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采购内容</w:t>
            </w:r>
          </w:p>
        </w:tc>
        <w:tc>
          <w:tcPr>
            <w:tcW w:w="1764" w:type="dxa"/>
          </w:tcPr>
          <w:p w14:paraId="794A5DB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服务年限</w:t>
            </w:r>
          </w:p>
        </w:tc>
        <w:tc>
          <w:tcPr>
            <w:tcW w:w="2152" w:type="dxa"/>
          </w:tcPr>
          <w:p w14:paraId="339A0EF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项目采购预算</w:t>
            </w:r>
          </w:p>
          <w:p w14:paraId="1148C19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（最高限价）</w:t>
            </w:r>
          </w:p>
        </w:tc>
      </w:tr>
      <w:tr w14:paraId="1CD7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920" w:type="dxa"/>
            <w:vAlign w:val="center"/>
          </w:tcPr>
          <w:p w14:paraId="17F7C2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zh-CN"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14:textFill>
                  <w14:solidFill>
                    <w14:schemeClr w14:val="tx1"/>
                  </w14:solidFill>
                </w14:textFill>
              </w:rPr>
              <w:t>中山大学孙逸仙纪念医院202</w:t>
            </w: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6</w:t>
            </w:r>
            <w:r>
              <w:rPr>
                <w:rFonts w:hint="eastAsia" w:ascii="仿宋" w:hAnsi="仿宋" w:eastAsia="仿宋" w:cs="仿宋"/>
                <w:b w:val="0"/>
                <w:bCs w:val="0"/>
                <w:color w:val="000000" w:themeColor="text1"/>
                <w:sz w:val="22"/>
                <w:szCs w:val="22"/>
                <w:highlight w:val="none"/>
                <w14:textFill>
                  <w14:solidFill>
                    <w14:schemeClr w14:val="tx1"/>
                  </w14:solidFill>
                </w14:textFill>
              </w:rPr>
              <w:t>-202</w:t>
            </w: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8</w:t>
            </w:r>
            <w:r>
              <w:rPr>
                <w:rFonts w:hint="eastAsia" w:ascii="仿宋" w:hAnsi="仿宋" w:eastAsia="仿宋" w:cs="仿宋"/>
                <w:b w:val="0"/>
                <w:bCs w:val="0"/>
                <w:color w:val="000000" w:themeColor="text1"/>
                <w:sz w:val="22"/>
                <w:szCs w:val="22"/>
                <w:highlight w:val="none"/>
                <w14:textFill>
                  <w14:solidFill>
                    <w14:schemeClr w14:val="tx1"/>
                  </w14:solidFill>
                </w14:textFill>
              </w:rPr>
              <w:t>年公务车辆保险服务采购项目</w:t>
            </w:r>
          </w:p>
        </w:tc>
        <w:tc>
          <w:tcPr>
            <w:tcW w:w="1764" w:type="dxa"/>
            <w:vAlign w:val="center"/>
          </w:tcPr>
          <w:p w14:paraId="3E70554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3年</w:t>
            </w:r>
          </w:p>
        </w:tc>
        <w:tc>
          <w:tcPr>
            <w:tcW w:w="2152" w:type="dxa"/>
            <w:vAlign w:val="center"/>
          </w:tcPr>
          <w:p w14:paraId="4599E5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p>
          <w:p w14:paraId="6A56CAA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25万</w:t>
            </w:r>
            <w:r>
              <w:rPr>
                <w:rFonts w:hint="eastAsia" w:ascii="仿宋" w:hAnsi="仿宋" w:eastAsia="仿宋" w:cs="仿宋"/>
                <w:color w:val="000000" w:themeColor="text1"/>
                <w:sz w:val="22"/>
                <w:szCs w:val="22"/>
                <w:highlight w:val="none"/>
                <w:lang w:val="zh-CN"/>
                <w14:textFill>
                  <w14:solidFill>
                    <w14:schemeClr w14:val="tx1"/>
                  </w14:solidFill>
                </w14:textFill>
              </w:rPr>
              <w:t>元</w:t>
            </w:r>
          </w:p>
          <w:p w14:paraId="7F2BE27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r>
    </w:tbl>
    <w:p w14:paraId="69E5C7B8">
      <w:pPr>
        <w:pStyle w:val="2"/>
        <w:rPr>
          <w:rFonts w:hint="eastAsia" w:ascii="仿宋" w:hAnsi="仿宋" w:eastAsia="仿宋" w:cs="仿宋"/>
          <w:b/>
          <w:bCs w:val="0"/>
          <w:color w:val="auto"/>
          <w:sz w:val="24"/>
          <w:szCs w:val="24"/>
          <w:highlight w:val="none"/>
        </w:rPr>
      </w:pPr>
    </w:p>
    <w:p w14:paraId="5C06A262">
      <w:pPr>
        <w:rPr>
          <w:rFonts w:hint="eastAsia"/>
          <w:highlight w:val="none"/>
        </w:rPr>
      </w:pPr>
    </w:p>
    <w:p w14:paraId="57B9E28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p>
    <w:p w14:paraId="530DA36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p>
    <w:p w14:paraId="5D5199B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p>
    <w:p w14:paraId="61F6984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p>
    <w:p w14:paraId="288C421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1.详细技术规范请参阅谈判文件中的“用户需求书”。</w:t>
      </w:r>
    </w:p>
    <w:p w14:paraId="634F7BE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2.服务对象：院方参保车辆共20辆，具体清单见“用户需求书”。</w:t>
      </w:r>
    </w:p>
    <w:p w14:paraId="77EB30F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2"/>
          <w:rFonts w:hint="eastAsia" w:ascii="仿宋" w:hAnsi="仿宋" w:eastAsia="仿宋" w:cs="仿宋"/>
          <w:b/>
          <w:bCs/>
          <w:i w:val="0"/>
          <w:iCs w:val="0"/>
          <w:caps w:val="0"/>
          <w:color w:val="auto"/>
          <w:spacing w:val="0"/>
          <w:sz w:val="24"/>
          <w:szCs w:val="24"/>
          <w:highlight w:val="none"/>
          <w:u w:val="none"/>
          <w:vertAlign w:val="baseline"/>
          <w:lang w:val="en-US" w:eastAsia="zh-CN"/>
        </w:rPr>
        <w:t>四</w:t>
      </w:r>
      <w:r>
        <w:rPr>
          <w:rStyle w:val="22"/>
          <w:rFonts w:hint="eastAsia" w:ascii="仿宋" w:hAnsi="仿宋" w:eastAsia="仿宋" w:cs="仿宋"/>
          <w:b/>
          <w:bCs/>
          <w:i w:val="0"/>
          <w:iCs w:val="0"/>
          <w:caps w:val="0"/>
          <w:color w:val="auto"/>
          <w:spacing w:val="0"/>
          <w:sz w:val="24"/>
          <w:szCs w:val="24"/>
          <w:highlight w:val="none"/>
          <w:u w:val="none"/>
          <w:vertAlign w:val="baseline"/>
        </w:rPr>
        <w:t>、提供资料相关事项</w:t>
      </w:r>
    </w:p>
    <w:p w14:paraId="37E5C0E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auto"/>
          <w:spacing w:val="0"/>
          <w:sz w:val="24"/>
          <w:szCs w:val="24"/>
          <w:highlight w:val="none"/>
          <w:u w:val="none"/>
          <w:vertAlign w:val="baseline"/>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1</w:t>
      </w:r>
      <w:r>
        <w:rPr>
          <w:rStyle w:val="22"/>
          <w:rFonts w:hint="eastAsia" w:ascii="仿宋" w:hAnsi="仿宋" w:eastAsia="仿宋" w:cs="仿宋"/>
          <w:b w:val="0"/>
          <w:bCs w:val="0"/>
          <w:i w:val="0"/>
          <w:iCs w:val="0"/>
          <w:caps w:val="0"/>
          <w:color w:val="auto"/>
          <w:spacing w:val="0"/>
          <w:sz w:val="24"/>
          <w:szCs w:val="24"/>
          <w:highlight w:val="none"/>
          <w:u w:val="none"/>
          <w:vertAlign w:val="baseline"/>
        </w:rPr>
        <w:t>.报名方式：</w:t>
      </w:r>
      <w:r>
        <w:rPr>
          <w:rFonts w:hint="eastAsia" w:ascii="仿宋" w:hAnsi="仿宋" w:eastAsia="仿宋" w:cs="仿宋"/>
          <w:b w:val="0"/>
          <w:bCs w:val="0"/>
          <w:i w:val="0"/>
          <w:iCs w:val="0"/>
          <w:caps w:val="0"/>
          <w:color w:val="auto"/>
          <w:spacing w:val="0"/>
          <w:sz w:val="24"/>
          <w:szCs w:val="24"/>
          <w:highlight w:val="none"/>
          <w:u w:val="none"/>
          <w:vertAlign w:val="baseline"/>
        </w:rPr>
        <w:t>电子邮件报名。</w:t>
      </w:r>
    </w:p>
    <w:p w14:paraId="22E47D7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邮件主题：</w:t>
      </w:r>
      <w:r>
        <w:rPr>
          <w:rFonts w:hint="eastAsia" w:ascii="仿宋" w:hAnsi="仿宋" w:eastAsia="仿宋" w:cs="仿宋"/>
          <w:b w:val="0"/>
          <w:bCs w:val="0"/>
          <w:color w:val="000000" w:themeColor="text1"/>
          <w:sz w:val="24"/>
          <w:szCs w:val="24"/>
          <w:highlight w:val="none"/>
          <w14:textFill>
            <w14:solidFill>
              <w14:schemeClr w14:val="tx1"/>
            </w14:solidFill>
          </w14:textFill>
        </w:rPr>
        <w:t>车辆保险</w:t>
      </w:r>
      <w:r>
        <w:rPr>
          <w:rFonts w:hint="eastAsia" w:ascii="仿宋" w:hAnsi="仿宋" w:eastAsia="仿宋" w:cs="仿宋"/>
          <w:i w:val="0"/>
          <w:iCs w:val="0"/>
          <w:caps w:val="0"/>
          <w:color w:val="000000"/>
          <w:spacing w:val="0"/>
          <w:sz w:val="24"/>
          <w:szCs w:val="24"/>
          <w:highlight w:val="none"/>
          <w:u w:val="none"/>
          <w:vertAlign w:val="baseline"/>
        </w:rPr>
        <w:t>-某某公司</w:t>
      </w:r>
    </w:p>
    <w:p w14:paraId="6723920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3</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邮件正文：公司名称全称、项目联系人、联系电话（手机号码）</w:t>
      </w:r>
    </w:p>
    <w:p w14:paraId="59D3259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4</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报名截止时间：202</w:t>
      </w:r>
      <w:r>
        <w:rPr>
          <w:rFonts w:hint="eastAsia" w:ascii="仿宋" w:hAnsi="仿宋" w:eastAsia="仿宋" w:cs="仿宋"/>
          <w:i w:val="0"/>
          <w:iCs w:val="0"/>
          <w:caps w:val="0"/>
          <w:color w:val="auto"/>
          <w:spacing w:val="0"/>
          <w:sz w:val="24"/>
          <w:szCs w:val="24"/>
          <w:highlight w:val="none"/>
          <w:u w:val="none"/>
          <w:vertAlign w:val="baseline"/>
          <w:lang w:val="en-US" w:eastAsia="zh-CN"/>
        </w:rPr>
        <w:t>5</w:t>
      </w:r>
      <w:r>
        <w:rPr>
          <w:rFonts w:hint="eastAsia" w:ascii="仿宋" w:hAnsi="仿宋" w:eastAsia="仿宋" w:cs="仿宋"/>
          <w:i w:val="0"/>
          <w:iCs w:val="0"/>
          <w:caps w:val="0"/>
          <w:color w:val="auto"/>
          <w:spacing w:val="0"/>
          <w:sz w:val="24"/>
          <w:szCs w:val="24"/>
          <w:highlight w:val="none"/>
          <w:u w:val="none"/>
          <w:vertAlign w:val="baseline"/>
        </w:rPr>
        <w:t>年</w:t>
      </w:r>
      <w:r>
        <w:rPr>
          <w:rFonts w:hint="eastAsia" w:ascii="仿宋" w:hAnsi="仿宋" w:eastAsia="仿宋" w:cs="仿宋"/>
          <w:i w:val="0"/>
          <w:iCs w:val="0"/>
          <w:caps w:val="0"/>
          <w:color w:val="auto"/>
          <w:spacing w:val="0"/>
          <w:sz w:val="24"/>
          <w:szCs w:val="24"/>
          <w:highlight w:val="none"/>
          <w:u w:val="none"/>
          <w:vertAlign w:val="baseline"/>
          <w:lang w:val="en-US" w:eastAsia="zh-CN"/>
        </w:rPr>
        <w:t>11</w:t>
      </w:r>
      <w:r>
        <w:rPr>
          <w:rFonts w:hint="eastAsia" w:ascii="仿宋" w:hAnsi="仿宋" w:eastAsia="仿宋" w:cs="仿宋"/>
          <w:i w:val="0"/>
          <w:iCs w:val="0"/>
          <w:caps w:val="0"/>
          <w:color w:val="auto"/>
          <w:spacing w:val="0"/>
          <w:sz w:val="24"/>
          <w:szCs w:val="24"/>
          <w:highlight w:val="none"/>
          <w:u w:val="none"/>
          <w:vertAlign w:val="baseline"/>
        </w:rPr>
        <w:t>月</w:t>
      </w:r>
      <w:r>
        <w:rPr>
          <w:rFonts w:hint="eastAsia" w:ascii="仿宋" w:hAnsi="仿宋" w:eastAsia="仿宋" w:cs="仿宋"/>
          <w:i w:val="0"/>
          <w:iCs w:val="0"/>
          <w:caps w:val="0"/>
          <w:color w:val="auto"/>
          <w:spacing w:val="0"/>
          <w:sz w:val="24"/>
          <w:szCs w:val="24"/>
          <w:highlight w:val="none"/>
          <w:u w:val="none"/>
          <w:vertAlign w:val="baseline"/>
          <w:lang w:val="en-US" w:eastAsia="zh-CN"/>
        </w:rPr>
        <w:t>25</w:t>
      </w:r>
      <w:r>
        <w:rPr>
          <w:rFonts w:hint="eastAsia" w:ascii="仿宋" w:hAnsi="仿宋" w:eastAsia="仿宋" w:cs="仿宋"/>
          <w:i w:val="0"/>
          <w:iCs w:val="0"/>
          <w:caps w:val="0"/>
          <w:color w:val="auto"/>
          <w:spacing w:val="0"/>
          <w:sz w:val="24"/>
          <w:szCs w:val="24"/>
          <w:highlight w:val="none"/>
          <w:u w:val="none"/>
          <w:vertAlign w:val="baseline"/>
        </w:rPr>
        <w:t>日下午17:00，以邮件接收时间为准，超时视为无效报名。</w:t>
      </w:r>
    </w:p>
    <w:p w14:paraId="233BF83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2"/>
          <w:rFonts w:hint="eastAsia" w:ascii="仿宋" w:hAnsi="仿宋" w:eastAsia="仿宋" w:cs="仿宋"/>
          <w:i w:val="0"/>
          <w:iCs w:val="0"/>
          <w:caps w:val="0"/>
          <w:color w:val="auto"/>
          <w:spacing w:val="0"/>
          <w:sz w:val="24"/>
          <w:szCs w:val="24"/>
          <w:highlight w:val="none"/>
          <w:u w:val="none"/>
          <w:vertAlign w:val="baseline"/>
          <w:lang w:val="en-US" w:eastAsia="zh-CN"/>
        </w:rPr>
        <w:t>5</w:t>
      </w:r>
      <w:r>
        <w:rPr>
          <w:rStyle w:val="22"/>
          <w:rFonts w:hint="eastAsia" w:ascii="仿宋" w:hAnsi="仿宋" w:eastAsia="仿宋" w:cs="仿宋"/>
          <w:i w:val="0"/>
          <w:iCs w:val="0"/>
          <w:caps w:val="0"/>
          <w:color w:val="auto"/>
          <w:spacing w:val="0"/>
          <w:sz w:val="24"/>
          <w:szCs w:val="24"/>
          <w:highlight w:val="none"/>
          <w:u w:val="none"/>
          <w:vertAlign w:val="baseline"/>
        </w:rPr>
        <w:t>.报名所需提供资料及要求</w:t>
      </w:r>
      <w:r>
        <w:rPr>
          <w:rFonts w:hint="eastAsia" w:ascii="仿宋" w:hAnsi="仿宋" w:eastAsia="仿宋" w:cs="仿宋"/>
          <w:i w:val="0"/>
          <w:iCs w:val="0"/>
          <w:caps w:val="0"/>
          <w:color w:val="auto"/>
          <w:spacing w:val="0"/>
          <w:sz w:val="24"/>
          <w:szCs w:val="24"/>
          <w:highlight w:val="none"/>
          <w:u w:val="none"/>
          <w:vertAlign w:val="baseline"/>
        </w:rPr>
        <w:t>：详见附件</w:t>
      </w: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rPr>
        <w:t>报名资料。</w:t>
      </w:r>
    </w:p>
    <w:p w14:paraId="634BD18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auto"/>
          <w:spacing w:val="0"/>
          <w:sz w:val="24"/>
          <w:szCs w:val="24"/>
          <w:highlight w:val="none"/>
          <w:u w:val="none"/>
        </w:rPr>
      </w:pPr>
      <w:r>
        <w:rPr>
          <w:rStyle w:val="22"/>
          <w:rFonts w:hint="eastAsia" w:ascii="仿宋" w:hAnsi="仿宋" w:eastAsia="仿宋" w:cs="仿宋"/>
          <w:b/>
          <w:bCs/>
          <w:i w:val="0"/>
          <w:iCs w:val="0"/>
          <w:caps w:val="0"/>
          <w:color w:val="auto"/>
          <w:spacing w:val="0"/>
          <w:sz w:val="24"/>
          <w:szCs w:val="24"/>
          <w:highlight w:val="none"/>
          <w:u w:val="none"/>
          <w:vertAlign w:val="baseline"/>
        </w:rPr>
        <w:t>*温馨告知：</w:t>
      </w:r>
      <w:r>
        <w:rPr>
          <w:rFonts w:hint="eastAsia" w:ascii="仿宋" w:hAnsi="仿宋" w:eastAsia="仿宋" w:cs="仿宋"/>
          <w:i w:val="0"/>
          <w:iCs w:val="0"/>
          <w:caps w:val="0"/>
          <w:color w:val="auto"/>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auto"/>
          <w:spacing w:val="0"/>
          <w:sz w:val="24"/>
          <w:szCs w:val="24"/>
          <w:highlight w:val="none"/>
          <w:u w:val="none"/>
          <w:vertAlign w:val="baseline"/>
          <w:lang w:val="en-US" w:eastAsia="zh-CN"/>
        </w:rPr>
        <w:t>谈判</w:t>
      </w:r>
      <w:r>
        <w:rPr>
          <w:rFonts w:hint="eastAsia" w:ascii="仿宋" w:hAnsi="仿宋" w:eastAsia="仿宋" w:cs="仿宋"/>
          <w:i w:val="0"/>
          <w:iCs w:val="0"/>
          <w:caps w:val="0"/>
          <w:color w:val="auto"/>
          <w:spacing w:val="0"/>
          <w:sz w:val="24"/>
          <w:szCs w:val="24"/>
          <w:highlight w:val="none"/>
          <w:u w:val="none"/>
          <w:vertAlign w:val="baseline"/>
          <w:lang w:eastAsia="zh-CN"/>
        </w:rPr>
        <w:t>环节</w:t>
      </w:r>
      <w:r>
        <w:rPr>
          <w:rFonts w:hint="eastAsia" w:ascii="仿宋" w:hAnsi="仿宋" w:eastAsia="仿宋" w:cs="仿宋"/>
          <w:i w:val="0"/>
          <w:iCs w:val="0"/>
          <w:caps w:val="0"/>
          <w:color w:val="auto"/>
          <w:spacing w:val="0"/>
          <w:sz w:val="24"/>
          <w:szCs w:val="24"/>
          <w:highlight w:val="none"/>
          <w:u w:val="none"/>
          <w:vertAlign w:val="baseline"/>
        </w:rPr>
        <w:t>等严重后果由供应商自行负责。</w:t>
      </w:r>
    </w:p>
    <w:p w14:paraId="1D812519">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供应商资质要求（提供声明函，模板详见附件2报名资料）</w:t>
      </w:r>
    </w:p>
    <w:p w14:paraId="39F1DC79">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应具备</w:t>
      </w:r>
      <w:r>
        <w:rPr>
          <w:rFonts w:hint="eastAsia" w:ascii="仿宋" w:hAnsi="仿宋" w:eastAsia="仿宋" w:cs="仿宋"/>
          <w:color w:val="auto"/>
          <w:sz w:val="24"/>
          <w:szCs w:val="24"/>
          <w:highlight w:val="none"/>
          <w:lang w:val="en-US" w:eastAsia="zh-CN"/>
        </w:rPr>
        <w:t>以下</w:t>
      </w:r>
      <w:r>
        <w:rPr>
          <w:rFonts w:hint="eastAsia" w:ascii="仿宋" w:hAnsi="仿宋" w:eastAsia="仿宋" w:cs="仿宋"/>
          <w:color w:val="auto"/>
          <w:sz w:val="24"/>
          <w:szCs w:val="24"/>
          <w:highlight w:val="none"/>
        </w:rPr>
        <w:t>条件：</w:t>
      </w:r>
    </w:p>
    <w:p w14:paraId="2B3D066C">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（1）具有良好的商业信誉和健全的财务会计制度；</w:t>
      </w:r>
    </w:p>
    <w:p w14:paraId="6AA72531">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（2）有依法缴纳税收和社会保障资金的良好记录；</w:t>
      </w:r>
    </w:p>
    <w:p w14:paraId="0C7FBADB">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（3）具备履行合同所必需的设备和专业技术能力；</w:t>
      </w:r>
    </w:p>
    <w:p w14:paraId="6BBAF248">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（4）参加本次采购活动前三年内，在经营活动中没有重大违法记录。</w:t>
      </w:r>
    </w:p>
    <w:p w14:paraId="6E5169C6">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5987E14D">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auto"/>
          <w:sz w:val="24"/>
          <w:szCs w:val="24"/>
          <w:highlight w:val="none"/>
          <w:lang w:val="en-US" w:eastAsia="zh-CN"/>
        </w:rPr>
        <w:t>。</w:t>
      </w:r>
    </w:p>
    <w:p w14:paraId="4DE584FD">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4、为本采购项目提供过整体设计、规范编制或者项目管理、监理、检测等服务的供应商及其附属机构，不得再参加本采购项目的响应。</w:t>
      </w:r>
    </w:p>
    <w:p w14:paraId="40ABCFA0">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提供有效的营业执照（或事业法人登记证或身份证等相关证明）副本复印件</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如非“三证合一”证照，同时提供税务登记证副本复印件,加盖公章</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如为分公司</w:t>
      </w:r>
      <w:r>
        <w:rPr>
          <w:rFonts w:hint="eastAsia" w:ascii="仿宋" w:hAnsi="仿宋" w:eastAsia="仿宋" w:cs="仿宋"/>
          <w:color w:val="auto"/>
          <w:sz w:val="24"/>
          <w:szCs w:val="24"/>
          <w:highlight w:val="none"/>
          <w:u w:val="none"/>
          <w:lang w:val="en-US" w:eastAsia="zh-CN"/>
        </w:rPr>
        <w:t>报名</w:t>
      </w:r>
      <w:r>
        <w:rPr>
          <w:rFonts w:hint="eastAsia" w:ascii="仿宋" w:hAnsi="仿宋" w:eastAsia="仿宋" w:cs="仿宋"/>
          <w:color w:val="auto"/>
          <w:sz w:val="24"/>
          <w:szCs w:val="24"/>
          <w:highlight w:val="none"/>
          <w:u w:val="none"/>
        </w:rPr>
        <w:t>，必须</w:t>
      </w:r>
      <w:r>
        <w:rPr>
          <w:rFonts w:hint="eastAsia" w:ascii="仿宋" w:hAnsi="仿宋" w:eastAsia="仿宋" w:cs="仿宋"/>
          <w:color w:val="auto"/>
          <w:sz w:val="24"/>
          <w:szCs w:val="24"/>
          <w:highlight w:val="none"/>
          <w:u w:val="none"/>
          <w:lang w:val="en-US" w:eastAsia="zh-CN"/>
        </w:rPr>
        <w:t>同时</w:t>
      </w:r>
      <w:r>
        <w:rPr>
          <w:rFonts w:hint="eastAsia" w:ascii="仿宋" w:hAnsi="仿宋" w:eastAsia="仿宋" w:cs="仿宋"/>
          <w:color w:val="auto"/>
          <w:sz w:val="24"/>
          <w:szCs w:val="24"/>
          <w:highlight w:val="none"/>
          <w:u w:val="none"/>
        </w:rPr>
        <w:t>提供总公司的营业执照副本复印件及总公司授权书</w:t>
      </w:r>
      <w:r>
        <w:rPr>
          <w:rFonts w:hint="eastAsia" w:ascii="仿宋" w:hAnsi="仿宋" w:eastAsia="仿宋" w:cs="仿宋"/>
          <w:color w:val="auto"/>
          <w:sz w:val="24"/>
          <w:szCs w:val="24"/>
          <w:highlight w:val="none"/>
          <w:u w:val="none"/>
          <w:lang w:eastAsia="zh-CN"/>
        </w:rPr>
        <w:t>。</w:t>
      </w:r>
    </w:p>
    <w:p w14:paraId="4AF73463">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供应商须持有有效的《经营保险业务许可证》或《保险许可证》或《保险公司法人许可证》。同一法人单位只能授权一家分支机构参加本项目响应（总公司与分支机构同时参与响应的，或总公司授权一家以上分支机构同时参与响应的，将同时作无效响应处理）。（提供有效证件复印件加盖供应商公章，原件备查）</w:t>
      </w:r>
    </w:p>
    <w:p w14:paraId="5F6B25CF">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7、本项目不接受联合体响应，成交供应商不得以任何方式转包或分包本项目。</w:t>
      </w:r>
    </w:p>
    <w:p w14:paraId="24EE84B3">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注：供应商若不能同时满足以上条件则视为响应参与无效。（如发现提供虚假材料者，取消其参加谈判资格，并列入采购人失信供应商名单。）</w:t>
      </w:r>
    </w:p>
    <w:p w14:paraId="48A115A5">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六、采购人联系方式</w:t>
      </w:r>
    </w:p>
    <w:p w14:paraId="735C681F">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联系人：梁老师</w:t>
      </w:r>
    </w:p>
    <w:p w14:paraId="032E13EF">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电话：020-81338019、81338035工作日8:30-12:00、15:00-17:00，其余时间请勿电联。</w:t>
      </w:r>
    </w:p>
    <w:p w14:paraId="349F207C">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电子邮箱：liangfj5@mail.sysu.edu.cn</w:t>
      </w:r>
    </w:p>
    <w:p w14:paraId="072128FC">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联系地址：广州市越秀区长堤大马路171号一方长堤健康产业中心907室 中山大学孙逸仙纪念医院招投标与采购管理办公室</w:t>
      </w:r>
    </w:p>
    <w:p w14:paraId="6E13FD17">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邮编：510120</w:t>
      </w:r>
    </w:p>
    <w:p w14:paraId="050AFA83">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七、公告期限</w:t>
      </w:r>
    </w:p>
    <w:p w14:paraId="17AF419A">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14:paraId="2DDD029A">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八</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、响应文件提交的截止时间、地点：</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待定，以报名成功后的邮件通知为准</w:t>
      </w:r>
      <w:r>
        <w:rPr>
          <w:rFonts w:hint="eastAsia" w:ascii="仿宋" w:hAnsi="仿宋" w:eastAsia="仿宋" w:cs="仿宋"/>
          <w:b/>
          <w:bCs/>
          <w:color w:val="000000" w:themeColor="text1"/>
          <w:sz w:val="24"/>
          <w:szCs w:val="24"/>
          <w:highlight w:val="none"/>
          <w14:textFill>
            <w14:solidFill>
              <w14:schemeClr w14:val="tx1"/>
            </w14:solidFill>
          </w14:textFill>
        </w:rPr>
        <w:t>。</w:t>
      </w:r>
    </w:p>
    <w:p w14:paraId="3D814CC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u w:val="single"/>
          <w:lang w:val="en-US" w:eastAsia="zh-CN"/>
        </w:rPr>
        <w:t>响应文件仅受理纸质，纸质材料一式叁份（正本1份/副本2份），具体要求详见格式《院内谈判文件》的第五章响应文件编制要求</w:t>
      </w:r>
      <w:r>
        <w:rPr>
          <w:rFonts w:hint="eastAsia" w:ascii="仿宋" w:hAnsi="仿宋" w:eastAsia="仿宋" w:cs="仿宋"/>
          <w:sz w:val="24"/>
          <w:szCs w:val="24"/>
          <w:highlight w:val="none"/>
          <w:u w:val="single"/>
          <w:lang w:eastAsia="zh-CN"/>
        </w:rPr>
        <w:t>；</w:t>
      </w:r>
    </w:p>
    <w:p w14:paraId="6387C583">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none"/>
          <w:lang w:val="en-US" w:eastAsia="zh-CN"/>
        </w:rPr>
        <w:t>2、</w:t>
      </w:r>
      <w:r>
        <w:rPr>
          <w:rFonts w:hint="eastAsia" w:ascii="仿宋" w:hAnsi="仿宋" w:eastAsia="仿宋" w:cs="仿宋"/>
          <w:sz w:val="24"/>
          <w:szCs w:val="24"/>
          <w:highlight w:val="none"/>
          <w:u w:val="single"/>
          <w:lang w:val="en-US" w:eastAsia="zh-CN"/>
        </w:rPr>
        <w:t>纸质响应文件原则上应由响应人或其授权代表亲自送达。</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754262BA">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九、谈判会议时间、地点：待定。</w:t>
      </w:r>
    </w:p>
    <w:p w14:paraId="692DC1E0">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1、本项目设有现场谈判报价环节。</w:t>
      </w:r>
    </w:p>
    <w:p w14:paraId="2FCD1B72">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2、请报名成功的供应商安排1-2名人员准</w:t>
      </w:r>
      <w:bookmarkStart w:id="21" w:name="_GoBack"/>
      <w:bookmarkEnd w:id="21"/>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时出席谈判会议。</w:t>
      </w:r>
    </w:p>
    <w:p w14:paraId="13D5332B">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auto"/>
          <w:sz w:val="24"/>
          <w:szCs w:val="24"/>
          <w:highlight w:val="none"/>
        </w:rPr>
      </w:pPr>
    </w:p>
    <w:p w14:paraId="43FC838B">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中山大学</w:t>
      </w:r>
      <w:r>
        <w:rPr>
          <w:rFonts w:hint="eastAsia" w:ascii="仿宋" w:hAnsi="仿宋" w:eastAsia="仿宋" w:cs="仿宋"/>
          <w:color w:val="auto"/>
          <w:sz w:val="24"/>
          <w:szCs w:val="24"/>
          <w:highlight w:val="none"/>
          <w:lang w:eastAsia="zh-CN"/>
        </w:rPr>
        <w:t>孙逸仙纪念医院</w:t>
      </w:r>
    </w:p>
    <w:p w14:paraId="3B75403C">
      <w:pPr>
        <w:pStyle w:val="26"/>
        <w:keepNext w:val="0"/>
        <w:keepLines w:val="0"/>
        <w:pageBreakBefore w:val="0"/>
        <w:kinsoku/>
        <w:wordWrap/>
        <w:overflowPunct/>
        <w:topLinePunct w:val="0"/>
        <w:bidi w:val="0"/>
        <w:adjustRightInd w:val="0"/>
        <w:snapToGrid w:val="0"/>
        <w:spacing w:line="360" w:lineRule="exact"/>
        <w:ind w:leftChars="3400" w:firstLine="480" w:firstLineChars="200"/>
        <w:jc w:val="left"/>
        <w:textAlignment w:val="auto"/>
        <w:rPr>
          <w:color w:val="000000"/>
          <w:highlight w:val="none"/>
        </w:rPr>
      </w:pPr>
      <w:r>
        <w:rPr>
          <w:rFonts w:hint="eastAsia" w:ascii="仿宋" w:hAnsi="仿宋" w:eastAsia="仿宋" w:cs="仿宋"/>
          <w:b w:val="0"/>
          <w:bCs w:val="0"/>
          <w:color w:val="auto"/>
          <w:sz w:val="24"/>
          <w:szCs w:val="24"/>
          <w:highlight w:val="none"/>
          <w:lang w:eastAsia="zh-CN"/>
        </w:rPr>
        <w:t>202</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19</w:t>
      </w:r>
      <w:r>
        <w:rPr>
          <w:rFonts w:hint="eastAsia" w:ascii="仿宋" w:hAnsi="仿宋" w:eastAsia="仿宋" w:cs="仿宋"/>
          <w:b w:val="0"/>
          <w:bCs w:val="0"/>
          <w:color w:val="auto"/>
          <w:sz w:val="24"/>
          <w:szCs w:val="24"/>
          <w:highlight w:val="none"/>
          <w:lang w:eastAsia="zh-CN"/>
        </w:rPr>
        <w:t>日</w:t>
      </w:r>
    </w:p>
    <w:p w14:paraId="523B7E81">
      <w:pPr>
        <w:pStyle w:val="26"/>
        <w:rPr>
          <w:color w:val="000000"/>
          <w:highlight w:val="none"/>
        </w:rPr>
      </w:pPr>
    </w:p>
    <w:p w14:paraId="7B08AE2A">
      <w:pPr>
        <w:pStyle w:val="26"/>
        <w:rPr>
          <w:color w:val="000000"/>
          <w:highlight w:val="none"/>
        </w:rPr>
      </w:pPr>
    </w:p>
    <w:p w14:paraId="763C632D">
      <w:pPr>
        <w:pStyle w:val="26"/>
        <w:rPr>
          <w:color w:val="000000"/>
          <w:highlight w:val="none"/>
        </w:rPr>
      </w:pPr>
    </w:p>
    <w:p w14:paraId="1C8374F1">
      <w:pPr>
        <w:pStyle w:val="26"/>
        <w:rPr>
          <w:color w:val="000000"/>
          <w:highlight w:val="none"/>
        </w:rPr>
      </w:pPr>
    </w:p>
    <w:p w14:paraId="73391BE5">
      <w:pPr>
        <w:pStyle w:val="26"/>
        <w:rPr>
          <w:color w:val="000000"/>
          <w:highlight w:val="none"/>
        </w:rPr>
      </w:pPr>
    </w:p>
    <w:p w14:paraId="74C9205F">
      <w:pPr>
        <w:pStyle w:val="26"/>
        <w:rPr>
          <w:color w:val="000000"/>
          <w:highlight w:val="none"/>
        </w:rPr>
      </w:pPr>
    </w:p>
    <w:p w14:paraId="2CFB9821">
      <w:pPr>
        <w:pStyle w:val="26"/>
        <w:rPr>
          <w:color w:val="000000"/>
          <w:highlight w:val="none"/>
        </w:rPr>
      </w:pPr>
    </w:p>
    <w:p w14:paraId="0E775D1F">
      <w:pPr>
        <w:pStyle w:val="26"/>
        <w:rPr>
          <w:color w:val="000000"/>
          <w:highlight w:val="none"/>
        </w:rPr>
      </w:pPr>
    </w:p>
    <w:p w14:paraId="5D95D69A">
      <w:pPr>
        <w:pStyle w:val="26"/>
        <w:rPr>
          <w:color w:val="000000"/>
          <w:highlight w:val="none"/>
        </w:rPr>
      </w:pPr>
    </w:p>
    <w:p w14:paraId="4DE491E1">
      <w:pPr>
        <w:pStyle w:val="26"/>
        <w:rPr>
          <w:color w:val="000000"/>
          <w:highlight w:val="none"/>
        </w:rPr>
      </w:pPr>
    </w:p>
    <w:p w14:paraId="2FFC76BA">
      <w:pPr>
        <w:pStyle w:val="26"/>
        <w:rPr>
          <w:color w:val="000000"/>
          <w:highlight w:val="none"/>
        </w:rPr>
      </w:pPr>
    </w:p>
    <w:p w14:paraId="73BF78BD">
      <w:pPr>
        <w:pStyle w:val="26"/>
        <w:rPr>
          <w:color w:val="000000"/>
          <w:highlight w:val="none"/>
        </w:rPr>
      </w:pPr>
    </w:p>
    <w:p w14:paraId="11CA5D1E">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736468"/>
      <w:bookmarkStart w:id="9" w:name="_Toc50737288"/>
      <w:bookmarkStart w:id="10" w:name="_Toc50691021"/>
      <w:bookmarkStart w:id="11" w:name="_Toc50737320"/>
      <w:bookmarkStart w:id="12" w:name="_Toc76354916"/>
      <w:bookmarkStart w:id="13" w:name="_Toc385940869"/>
      <w:bookmarkStart w:id="14" w:name="_Toc385939528"/>
      <w:bookmarkStart w:id="15" w:name="_Toc417914518"/>
    </w:p>
    <w:p w14:paraId="0D488285">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77DAAC9">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7BC51842">
      <w:pPr>
        <w:pStyle w:val="26"/>
        <w:rPr>
          <w:color w:val="000000"/>
          <w:highlight w:val="none"/>
        </w:rPr>
      </w:pPr>
    </w:p>
    <w:p w14:paraId="7B5409AB">
      <w:pPr>
        <w:pStyle w:val="26"/>
        <w:rPr>
          <w:color w:val="000000"/>
          <w:highlight w:val="none"/>
        </w:rPr>
      </w:pPr>
    </w:p>
    <w:p w14:paraId="579A73DC">
      <w:pPr>
        <w:pStyle w:val="26"/>
        <w:rPr>
          <w:color w:val="000000"/>
          <w:highlight w:val="none"/>
        </w:rPr>
      </w:pPr>
    </w:p>
    <w:p w14:paraId="0105CC83">
      <w:pPr>
        <w:pStyle w:val="26"/>
        <w:rPr>
          <w:color w:val="000000"/>
          <w:highlight w:val="none"/>
        </w:rPr>
      </w:pPr>
    </w:p>
    <w:p w14:paraId="0C7D97FD">
      <w:pPr>
        <w:pStyle w:val="26"/>
        <w:rPr>
          <w:color w:val="000000"/>
          <w:highlight w:val="none"/>
        </w:rPr>
      </w:pPr>
    </w:p>
    <w:p w14:paraId="41FB5545">
      <w:pPr>
        <w:pStyle w:val="26"/>
        <w:rPr>
          <w:color w:val="000000"/>
          <w:highlight w:val="none"/>
        </w:rPr>
      </w:pPr>
    </w:p>
    <w:p w14:paraId="5110413C">
      <w:pPr>
        <w:pStyle w:val="26"/>
        <w:rPr>
          <w:color w:val="000000"/>
          <w:highlight w:val="none"/>
        </w:rPr>
      </w:pPr>
    </w:p>
    <w:p w14:paraId="212397A4">
      <w:pPr>
        <w:pStyle w:val="26"/>
        <w:rPr>
          <w:color w:val="000000"/>
          <w:highlight w:val="none"/>
        </w:rPr>
      </w:pPr>
    </w:p>
    <w:p w14:paraId="39ADDE77">
      <w:pPr>
        <w:pStyle w:val="26"/>
        <w:rPr>
          <w:color w:val="000000"/>
          <w:highlight w:val="none"/>
        </w:rPr>
      </w:pPr>
    </w:p>
    <w:p w14:paraId="1E0BE797">
      <w:pPr>
        <w:pStyle w:val="26"/>
        <w:rPr>
          <w:color w:val="000000"/>
          <w:highlight w:val="none"/>
        </w:rPr>
      </w:pPr>
    </w:p>
    <w:p w14:paraId="7E8721E1">
      <w:pPr>
        <w:pStyle w:val="26"/>
        <w:rPr>
          <w:color w:val="000000"/>
          <w:highlight w:val="none"/>
        </w:rPr>
      </w:pPr>
    </w:p>
    <w:p w14:paraId="3F61F534">
      <w:pPr>
        <w:pStyle w:val="26"/>
        <w:rPr>
          <w:color w:val="000000"/>
          <w:highlight w:val="none"/>
        </w:rPr>
      </w:pPr>
    </w:p>
    <w:p w14:paraId="708FE55D">
      <w:pPr>
        <w:pStyle w:val="26"/>
        <w:rPr>
          <w:color w:val="000000"/>
          <w:highlight w:val="none"/>
        </w:rPr>
      </w:pPr>
    </w:p>
    <w:p w14:paraId="05468A54">
      <w:pPr>
        <w:pStyle w:val="26"/>
        <w:rPr>
          <w:color w:val="000000"/>
          <w:highlight w:val="none"/>
        </w:rPr>
      </w:pPr>
    </w:p>
    <w:p w14:paraId="253A6C82">
      <w:pPr>
        <w:pStyle w:val="26"/>
        <w:rPr>
          <w:color w:val="000000"/>
          <w:highlight w:val="none"/>
        </w:rPr>
      </w:pPr>
    </w:p>
    <w:p w14:paraId="7C6DA5A1">
      <w:pPr>
        <w:pStyle w:val="26"/>
        <w:rPr>
          <w:color w:val="000000"/>
          <w:highlight w:val="none"/>
        </w:rPr>
      </w:pPr>
    </w:p>
    <w:p w14:paraId="7FC74A6A">
      <w:pPr>
        <w:pStyle w:val="26"/>
        <w:rPr>
          <w:color w:val="000000"/>
          <w:highlight w:val="none"/>
        </w:rPr>
      </w:pPr>
    </w:p>
    <w:p w14:paraId="4130B247">
      <w:pPr>
        <w:pStyle w:val="26"/>
        <w:rPr>
          <w:color w:val="000000"/>
          <w:highlight w:val="none"/>
        </w:rPr>
      </w:pPr>
    </w:p>
    <w:p w14:paraId="091D03A4">
      <w:pPr>
        <w:pStyle w:val="26"/>
        <w:rPr>
          <w:color w:val="000000"/>
          <w:highlight w:val="none"/>
        </w:rPr>
      </w:pPr>
    </w:p>
    <w:p w14:paraId="5D7CDA4D">
      <w:pPr>
        <w:pStyle w:val="26"/>
        <w:rPr>
          <w:color w:val="000000"/>
          <w:highlight w:val="none"/>
        </w:rPr>
      </w:pPr>
    </w:p>
    <w:p w14:paraId="62D34784">
      <w:pPr>
        <w:pStyle w:val="26"/>
        <w:rPr>
          <w:color w:val="000000"/>
          <w:highlight w:val="none"/>
        </w:rPr>
      </w:pPr>
    </w:p>
    <w:p w14:paraId="253F0BCA">
      <w:pPr>
        <w:pStyle w:val="26"/>
        <w:rPr>
          <w:color w:val="000000"/>
          <w:highlight w:val="none"/>
        </w:rPr>
      </w:pPr>
    </w:p>
    <w:p w14:paraId="3B55D060">
      <w:pPr>
        <w:pStyle w:val="26"/>
        <w:rPr>
          <w:color w:val="000000"/>
          <w:highlight w:val="none"/>
        </w:rPr>
      </w:pPr>
    </w:p>
    <w:p w14:paraId="62ABDEA0">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E9C363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4C7A567">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14:paraId="6AC07D1F">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4212C7D7">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779B2F11">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083605E5">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57366BB4">
      <w:pPr>
        <w:keepNext w:val="0"/>
        <w:keepLines w:val="0"/>
        <w:widowControl/>
        <w:suppressLineNumbers w:val="0"/>
        <w:jc w:val="left"/>
        <w:rPr>
          <w:b/>
          <w:bCs/>
          <w:color w:val="000000"/>
          <w:highlight w:val="none"/>
        </w:rPr>
      </w:pPr>
    </w:p>
    <w:p w14:paraId="50CAE63B">
      <w:pPr>
        <w:pStyle w:val="26"/>
        <w:rPr>
          <w:rFonts w:hint="eastAsia"/>
          <w:color w:val="000000"/>
          <w:highlight w:val="none"/>
        </w:rPr>
      </w:pPr>
    </w:p>
    <w:p w14:paraId="25A969A7">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bookmarkStart w:id="16" w:name="_Toc417914519"/>
      <w:bookmarkStart w:id="17" w:name="_Toc385939529"/>
      <w:bookmarkStart w:id="18" w:name="_Toc385940875"/>
      <w:r>
        <w:rPr>
          <w:rFonts w:hint="eastAsia" w:ascii="仿宋" w:hAnsi="仿宋" w:eastAsia="仿宋" w:cs="仿宋"/>
          <w:b/>
          <w:color w:val="000000"/>
          <w:kern w:val="2"/>
          <w:sz w:val="24"/>
          <w:szCs w:val="24"/>
          <w:lang w:val="en-US" w:eastAsia="zh-CN" w:bidi="ar-SA"/>
        </w:rPr>
        <w:t>一、</w:t>
      </w:r>
      <w:r>
        <w:rPr>
          <w:rFonts w:hint="eastAsia" w:ascii="仿宋" w:hAnsi="仿宋" w:eastAsia="仿宋" w:cs="仿宋"/>
          <w:b/>
          <w:color w:val="000000"/>
          <w:sz w:val="24"/>
          <w:szCs w:val="24"/>
          <w:highlight w:val="none"/>
          <w:lang w:val="en-US" w:eastAsia="zh-CN"/>
        </w:rPr>
        <w:t>采购项目内容</w:t>
      </w:r>
    </w:p>
    <w:tbl>
      <w:tblPr>
        <w:tblStyle w:val="19"/>
        <w:tblpPr w:leftFromText="180" w:rightFromText="180" w:vertAnchor="text" w:horzAnchor="page" w:tblpXSpec="center" w:tblpY="295"/>
        <w:tblOverlap w:val="never"/>
        <w:tblW w:w="6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1108"/>
        <w:gridCol w:w="2804"/>
      </w:tblGrid>
      <w:tr w14:paraId="51A3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864" w:type="dxa"/>
            <w:vAlign w:val="center"/>
          </w:tcPr>
          <w:p w14:paraId="5967A4FA">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zh-CN"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采购内容</w:t>
            </w:r>
          </w:p>
        </w:tc>
        <w:tc>
          <w:tcPr>
            <w:tcW w:w="1108" w:type="dxa"/>
          </w:tcPr>
          <w:p w14:paraId="74707BE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服务年限</w:t>
            </w:r>
          </w:p>
        </w:tc>
        <w:tc>
          <w:tcPr>
            <w:tcW w:w="2804" w:type="dxa"/>
          </w:tcPr>
          <w:p w14:paraId="1E59F69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项目采购预算（最高限价）</w:t>
            </w:r>
          </w:p>
        </w:tc>
      </w:tr>
      <w:tr w14:paraId="220B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864" w:type="dxa"/>
            <w:vAlign w:val="center"/>
          </w:tcPr>
          <w:p w14:paraId="0C4C296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zh-CN"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14:textFill>
                  <w14:solidFill>
                    <w14:schemeClr w14:val="tx1"/>
                  </w14:solidFill>
                </w14:textFill>
              </w:rPr>
              <w:t>202</w:t>
            </w: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6</w:t>
            </w:r>
            <w:r>
              <w:rPr>
                <w:rFonts w:hint="eastAsia" w:ascii="仿宋" w:hAnsi="仿宋" w:eastAsia="仿宋" w:cs="仿宋"/>
                <w:b w:val="0"/>
                <w:bCs w:val="0"/>
                <w:color w:val="000000" w:themeColor="text1"/>
                <w:sz w:val="22"/>
                <w:szCs w:val="22"/>
                <w:highlight w:val="none"/>
                <w14:textFill>
                  <w14:solidFill>
                    <w14:schemeClr w14:val="tx1"/>
                  </w14:solidFill>
                </w14:textFill>
              </w:rPr>
              <w:t>-202</w:t>
            </w: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8</w:t>
            </w:r>
            <w:r>
              <w:rPr>
                <w:rFonts w:hint="eastAsia" w:ascii="仿宋" w:hAnsi="仿宋" w:eastAsia="仿宋" w:cs="仿宋"/>
                <w:b w:val="0"/>
                <w:bCs w:val="0"/>
                <w:color w:val="000000" w:themeColor="text1"/>
                <w:sz w:val="22"/>
                <w:szCs w:val="22"/>
                <w:highlight w:val="none"/>
                <w14:textFill>
                  <w14:solidFill>
                    <w14:schemeClr w14:val="tx1"/>
                  </w14:solidFill>
                </w14:textFill>
              </w:rPr>
              <w:t>年公务车辆保险服务采购项目</w:t>
            </w:r>
          </w:p>
        </w:tc>
        <w:tc>
          <w:tcPr>
            <w:tcW w:w="1108" w:type="dxa"/>
            <w:vAlign w:val="center"/>
          </w:tcPr>
          <w:p w14:paraId="5735031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3年</w:t>
            </w:r>
          </w:p>
        </w:tc>
        <w:tc>
          <w:tcPr>
            <w:tcW w:w="2804" w:type="dxa"/>
            <w:vAlign w:val="center"/>
          </w:tcPr>
          <w:p w14:paraId="67B59E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p>
          <w:p w14:paraId="630A261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25万</w:t>
            </w:r>
            <w:r>
              <w:rPr>
                <w:rFonts w:hint="eastAsia" w:ascii="仿宋" w:hAnsi="仿宋" w:eastAsia="仿宋" w:cs="仿宋"/>
                <w:color w:val="000000" w:themeColor="text1"/>
                <w:sz w:val="22"/>
                <w:szCs w:val="22"/>
                <w:highlight w:val="none"/>
                <w:lang w:val="zh-CN"/>
                <w14:textFill>
                  <w14:solidFill>
                    <w14:schemeClr w14:val="tx1"/>
                  </w14:solidFill>
                </w14:textFill>
              </w:rPr>
              <w:t>元</w:t>
            </w:r>
          </w:p>
          <w:p w14:paraId="299E7D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r>
    </w:tbl>
    <w:p w14:paraId="4D2F8515">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sz w:val="24"/>
          <w:szCs w:val="24"/>
          <w:highlight w:val="none"/>
        </w:rPr>
      </w:pPr>
    </w:p>
    <w:p w14:paraId="4F90F590">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sz w:val="24"/>
          <w:szCs w:val="24"/>
          <w:highlight w:val="none"/>
        </w:rPr>
      </w:pPr>
    </w:p>
    <w:p w14:paraId="47D70AA0">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sz w:val="24"/>
          <w:szCs w:val="24"/>
          <w:highlight w:val="none"/>
        </w:rPr>
      </w:pPr>
    </w:p>
    <w:p w14:paraId="096D384C">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sz w:val="24"/>
          <w:szCs w:val="24"/>
          <w:highlight w:val="none"/>
        </w:rPr>
      </w:pPr>
    </w:p>
    <w:p w14:paraId="6545CAFA">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sz w:val="24"/>
          <w:szCs w:val="24"/>
          <w:highlight w:val="none"/>
        </w:rPr>
      </w:pPr>
    </w:p>
    <w:p w14:paraId="36F86EC2">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val="en-US" w:eastAsia="zh-CN"/>
        </w:rPr>
        <w:t>谈判</w:t>
      </w:r>
      <w:r>
        <w:rPr>
          <w:rFonts w:hint="eastAsia" w:ascii="仿宋" w:hAnsi="仿宋" w:eastAsia="仿宋" w:cs="仿宋"/>
          <w:color w:val="000000"/>
          <w:sz w:val="24"/>
          <w:szCs w:val="24"/>
          <w:highlight w:val="none"/>
        </w:rPr>
        <w:t>文件中的“用户需求书”。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w:t>
      </w:r>
      <w:r>
        <w:rPr>
          <w:rFonts w:hint="eastAsia" w:ascii="仿宋" w:hAnsi="仿宋" w:eastAsia="仿宋" w:cs="仿宋"/>
          <w:color w:val="000000" w:themeColor="text1"/>
          <w:sz w:val="24"/>
          <w:szCs w:val="24"/>
          <w:highlight w:val="none"/>
          <w14:textFill>
            <w14:solidFill>
              <w14:schemeClr w14:val="tx1"/>
            </w14:solidFill>
          </w14:textFill>
        </w:rPr>
        <w:t>（最高限价）</w:t>
      </w:r>
      <w:r>
        <w:rPr>
          <w:rFonts w:hint="eastAsia" w:ascii="仿宋" w:hAnsi="仿宋" w:eastAsia="仿宋" w:cs="仿宋"/>
          <w:color w:val="000000"/>
          <w:sz w:val="24"/>
          <w:szCs w:val="24"/>
          <w:highlight w:val="none"/>
        </w:rPr>
        <w:t>，将导致响应无效</w:t>
      </w:r>
      <w:r>
        <w:rPr>
          <w:rFonts w:hint="eastAsia" w:ascii="仿宋" w:hAnsi="仿宋" w:eastAsia="仿宋" w:cs="仿宋"/>
          <w:color w:val="000000"/>
          <w:sz w:val="24"/>
          <w:szCs w:val="24"/>
          <w:highlight w:val="none"/>
          <w:lang w:eastAsia="zh-CN"/>
        </w:rPr>
        <w:t>。</w:t>
      </w:r>
    </w:p>
    <w:p w14:paraId="6EDA34B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2、项目服务期限为自合同生效之日起3年或本项目支付达到25万元为止。以实际出单车辆数为准，保险费按实际发生业务量据实计算。本次服务范围为本单位所有车辆及合同期内新增或减少的车辆。</w:t>
      </w:r>
    </w:p>
    <w:p w14:paraId="6C3AEFA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2" w:firstLineChars="200"/>
        <w:jc w:val="lef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二、采购范围</w:t>
      </w:r>
    </w:p>
    <w:p w14:paraId="4A28C20F">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rPr>
        <w:t>1</w:t>
      </w:r>
      <w:r>
        <w:rPr>
          <w:rFonts w:hint="eastAsia" w:ascii="仿宋" w:hAnsi="仿宋" w:eastAsia="仿宋" w:cs="仿宋"/>
          <w:color w:val="auto"/>
          <w:sz w:val="24"/>
          <w:szCs w:val="24"/>
          <w:highlight w:val="none"/>
          <w:lang w:val="zh-TW" w:eastAsia="zh-CN"/>
        </w:rPr>
        <w:t>、</w:t>
      </w:r>
      <w:r>
        <w:rPr>
          <w:rFonts w:hint="eastAsia" w:ascii="仿宋" w:hAnsi="仿宋" w:eastAsia="仿宋" w:cs="仿宋"/>
          <w:color w:val="auto"/>
          <w:sz w:val="24"/>
          <w:szCs w:val="24"/>
          <w:highlight w:val="none"/>
          <w:lang w:val="zh-TW"/>
        </w:rPr>
        <w:t>本项目采购的保险服务需包括中山大学孙逸仙纪念医院</w:t>
      </w:r>
      <w:r>
        <w:rPr>
          <w:rFonts w:hint="eastAsia" w:ascii="仿宋" w:hAnsi="仿宋" w:eastAsia="仿宋" w:cs="仿宋"/>
          <w:color w:val="auto"/>
          <w:sz w:val="24"/>
          <w:szCs w:val="24"/>
          <w:highlight w:val="none"/>
          <w:lang w:val="en-US" w:eastAsia="zh-CN"/>
        </w:rPr>
        <w:t>直接管理</w:t>
      </w:r>
      <w:r>
        <w:rPr>
          <w:rFonts w:hint="eastAsia" w:ascii="仿宋" w:hAnsi="仿宋" w:eastAsia="仿宋" w:cs="仿宋"/>
          <w:color w:val="auto"/>
          <w:sz w:val="24"/>
          <w:szCs w:val="24"/>
          <w:highlight w:val="none"/>
          <w:lang w:val="zh-TW"/>
        </w:rPr>
        <w:t>的</w:t>
      </w:r>
      <w:r>
        <w:rPr>
          <w:rFonts w:hint="eastAsia" w:ascii="仿宋" w:hAnsi="仿宋" w:eastAsia="仿宋" w:cs="仿宋"/>
          <w:color w:val="auto"/>
          <w:sz w:val="24"/>
          <w:szCs w:val="24"/>
          <w:highlight w:val="none"/>
          <w:lang w:val="en-US" w:eastAsia="zh-CN"/>
        </w:rPr>
        <w:t>20台</w:t>
      </w:r>
      <w:r>
        <w:rPr>
          <w:rFonts w:hint="eastAsia" w:ascii="仿宋" w:hAnsi="仿宋" w:eastAsia="仿宋" w:cs="仿宋"/>
          <w:color w:val="auto"/>
          <w:sz w:val="24"/>
          <w:szCs w:val="24"/>
          <w:highlight w:val="none"/>
          <w:lang w:val="zh-TW"/>
        </w:rPr>
        <w:t>车辆（考虑到车辆</w:t>
      </w:r>
      <w:r>
        <w:rPr>
          <w:rFonts w:hint="eastAsia" w:ascii="仿宋" w:hAnsi="仿宋" w:eastAsia="仿宋" w:cs="仿宋"/>
          <w:b w:val="0"/>
          <w:bCs/>
          <w:color w:val="auto"/>
          <w:sz w:val="24"/>
          <w:szCs w:val="24"/>
          <w:highlight w:val="none"/>
          <w:lang w:val="en-US" w:eastAsia="zh-CN"/>
        </w:rPr>
        <w:t>增购</w:t>
      </w:r>
      <w:r>
        <w:rPr>
          <w:rFonts w:hint="eastAsia" w:ascii="仿宋" w:hAnsi="仿宋" w:eastAsia="仿宋" w:cs="仿宋"/>
          <w:color w:val="auto"/>
          <w:sz w:val="24"/>
          <w:szCs w:val="24"/>
          <w:highlight w:val="none"/>
          <w:lang w:val="zh-TW"/>
        </w:rPr>
        <w:t>、调拨和报废的情况变化，最终的数量和车辆信息</w:t>
      </w:r>
      <w:r>
        <w:rPr>
          <w:rFonts w:hint="eastAsia" w:ascii="仿宋" w:hAnsi="仿宋" w:eastAsia="仿宋" w:cs="仿宋"/>
          <w:b w:val="0"/>
          <w:bCs/>
          <w:color w:val="auto"/>
          <w:sz w:val="24"/>
          <w:szCs w:val="24"/>
          <w:highlight w:val="none"/>
          <w:lang w:val="en-US" w:eastAsia="zh-CN"/>
        </w:rPr>
        <w:t>随实际增购、报废情况变动</w:t>
      </w:r>
      <w:r>
        <w:rPr>
          <w:rFonts w:hint="eastAsia" w:ascii="仿宋" w:hAnsi="仿宋" w:eastAsia="仿宋" w:cs="仿宋"/>
          <w:color w:val="auto"/>
          <w:sz w:val="24"/>
          <w:szCs w:val="24"/>
          <w:highlight w:val="none"/>
          <w:lang w:val="zh-TW"/>
        </w:rPr>
        <w:t>）</w:t>
      </w:r>
      <w:r>
        <w:rPr>
          <w:rFonts w:hint="eastAsia" w:ascii="仿宋" w:hAnsi="仿宋" w:eastAsia="仿宋" w:cs="仿宋"/>
          <w:b w:val="0"/>
          <w:bCs/>
          <w:color w:val="auto"/>
          <w:sz w:val="24"/>
          <w:szCs w:val="24"/>
          <w:highlight w:val="none"/>
          <w:lang w:val="en-US" w:eastAsia="zh-CN"/>
        </w:rPr>
        <w:t>。</w:t>
      </w:r>
    </w:p>
    <w:p w14:paraId="1BA52D9E">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TW" w:eastAsia="zh-CN"/>
        </w:rPr>
        <w:t>、</w:t>
      </w:r>
      <w:r>
        <w:rPr>
          <w:rFonts w:hint="eastAsia" w:ascii="仿宋" w:hAnsi="仿宋" w:eastAsia="仿宋" w:cs="仿宋"/>
          <w:color w:val="auto"/>
          <w:sz w:val="24"/>
          <w:szCs w:val="24"/>
          <w:highlight w:val="none"/>
          <w:lang w:val="zh-TW"/>
        </w:rPr>
        <w:t>在合同有效期内，采购人于该供应商处出单承保，供应商依据采购人所选择投保的险种，按照国家金融监督管理总局（原为中国银行保险监督管理委员会）的相关规定统一执行。</w:t>
      </w:r>
    </w:p>
    <w:p w14:paraId="5CFDD24F">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3、参保车辆明细</w:t>
      </w:r>
    </w:p>
    <w:tbl>
      <w:tblPr>
        <w:tblStyle w:val="40"/>
        <w:tblW w:w="4998" w:type="pct"/>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1136"/>
        <w:gridCol w:w="3108"/>
        <w:gridCol w:w="1551"/>
        <w:gridCol w:w="661"/>
        <w:gridCol w:w="1507"/>
        <w:gridCol w:w="1385"/>
      </w:tblGrid>
      <w:tr w14:paraId="6E60A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743" w:type="dxa"/>
            <w:gridSpan w:val="7"/>
            <w:vAlign w:val="center"/>
          </w:tcPr>
          <w:p w14:paraId="3DB4BD5D">
            <w:pPr>
              <w:pStyle w:val="39"/>
              <w:spacing w:before="131" w:line="240" w:lineRule="auto"/>
              <w:jc w:val="center"/>
              <w:rPr>
                <w:rFonts w:hint="default" w:ascii="仿宋" w:hAnsi="仿宋" w:eastAsia="仿宋" w:cs="仿宋"/>
                <w:b/>
                <w:bCs/>
                <w:color w:val="auto"/>
                <w:spacing w:val="1"/>
                <w:highlight w:val="none"/>
                <w:lang w:val="en-US" w:eastAsia="zh-CN"/>
              </w:rPr>
            </w:pPr>
            <w:r>
              <w:rPr>
                <w:rFonts w:hint="eastAsia" w:ascii="仿宋" w:hAnsi="仿宋" w:eastAsia="仿宋" w:cs="仿宋"/>
                <w:b/>
                <w:bCs/>
                <w:color w:val="auto"/>
                <w:spacing w:val="1"/>
                <w:sz w:val="21"/>
                <w:szCs w:val="21"/>
                <w:highlight w:val="none"/>
                <w:lang w:val="en-US" w:eastAsia="zh-CN"/>
              </w:rPr>
              <w:t>中山大学孙逸仙纪念医院参保车辆明细表</w:t>
            </w:r>
          </w:p>
        </w:tc>
      </w:tr>
      <w:tr w14:paraId="75324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13" w:type="dxa"/>
            <w:vAlign w:val="center"/>
          </w:tcPr>
          <w:p w14:paraId="2F8AB0D7">
            <w:pPr>
              <w:pStyle w:val="39"/>
              <w:spacing w:before="131" w:line="221" w:lineRule="auto"/>
              <w:ind w:left="117" w:leftChars="0"/>
              <w:jc w:val="center"/>
              <w:rPr>
                <w:rFonts w:hint="eastAsia" w:ascii="仿宋" w:hAnsi="仿宋" w:eastAsia="仿宋" w:cs="仿宋"/>
                <w:color w:val="auto"/>
                <w:sz w:val="19"/>
                <w:szCs w:val="19"/>
                <w:highlight w:val="none"/>
              </w:rPr>
            </w:pPr>
            <w:r>
              <w:rPr>
                <w:rFonts w:hint="eastAsia" w:ascii="仿宋" w:hAnsi="仿宋" w:eastAsia="仿宋" w:cs="仿宋"/>
                <w:b/>
                <w:bCs/>
                <w:color w:val="auto"/>
                <w:spacing w:val="-4"/>
                <w:highlight w:val="none"/>
              </w:rPr>
              <w:t>序号</w:t>
            </w:r>
          </w:p>
        </w:tc>
        <w:tc>
          <w:tcPr>
            <w:tcW w:w="1097" w:type="dxa"/>
            <w:vAlign w:val="center"/>
          </w:tcPr>
          <w:p w14:paraId="742A62EB">
            <w:pPr>
              <w:pStyle w:val="39"/>
              <w:spacing w:before="130" w:line="219" w:lineRule="auto"/>
              <w:ind w:left="153" w:leftChars="0"/>
              <w:jc w:val="center"/>
              <w:rPr>
                <w:rFonts w:hint="eastAsia" w:ascii="仿宋" w:hAnsi="仿宋" w:eastAsia="仿宋" w:cs="仿宋"/>
                <w:color w:val="auto"/>
                <w:spacing w:val="-1"/>
                <w:sz w:val="19"/>
                <w:szCs w:val="19"/>
                <w:highlight w:val="none"/>
              </w:rPr>
            </w:pPr>
            <w:r>
              <w:rPr>
                <w:rFonts w:hint="eastAsia" w:ascii="仿宋" w:hAnsi="仿宋" w:eastAsia="仿宋" w:cs="仿宋"/>
                <w:b/>
                <w:bCs/>
                <w:color w:val="auto"/>
                <w:spacing w:val="-4"/>
                <w:highlight w:val="none"/>
              </w:rPr>
              <w:t>车牌号码</w:t>
            </w:r>
          </w:p>
        </w:tc>
        <w:tc>
          <w:tcPr>
            <w:tcW w:w="3002" w:type="dxa"/>
            <w:vAlign w:val="center"/>
          </w:tcPr>
          <w:p w14:paraId="41605B94">
            <w:pPr>
              <w:pStyle w:val="39"/>
              <w:spacing w:before="130" w:line="219" w:lineRule="auto"/>
              <w:jc w:val="center"/>
              <w:rPr>
                <w:rFonts w:hint="eastAsia" w:ascii="仿宋" w:hAnsi="仿宋" w:eastAsia="仿宋" w:cs="仿宋"/>
                <w:color w:val="auto"/>
                <w:spacing w:val="-1"/>
                <w:sz w:val="19"/>
                <w:szCs w:val="19"/>
                <w:highlight w:val="none"/>
              </w:rPr>
            </w:pPr>
            <w:r>
              <w:rPr>
                <w:rFonts w:hint="eastAsia" w:ascii="仿宋" w:hAnsi="仿宋" w:eastAsia="仿宋" w:cs="仿宋"/>
                <w:b/>
                <w:bCs/>
                <w:color w:val="auto"/>
                <w:spacing w:val="-4"/>
                <w:highlight w:val="none"/>
              </w:rPr>
              <w:t>规格型号</w:t>
            </w:r>
          </w:p>
        </w:tc>
        <w:tc>
          <w:tcPr>
            <w:tcW w:w="1499" w:type="dxa"/>
            <w:vAlign w:val="center"/>
          </w:tcPr>
          <w:p w14:paraId="3140AE73">
            <w:pPr>
              <w:pStyle w:val="39"/>
              <w:spacing w:before="130" w:line="219" w:lineRule="auto"/>
              <w:jc w:val="center"/>
              <w:rPr>
                <w:rFonts w:hint="eastAsia" w:ascii="仿宋" w:hAnsi="仿宋" w:eastAsia="仿宋" w:cs="仿宋"/>
                <w:color w:val="auto"/>
                <w:spacing w:val="3"/>
                <w:sz w:val="19"/>
                <w:szCs w:val="19"/>
                <w:highlight w:val="none"/>
              </w:rPr>
            </w:pPr>
            <w:r>
              <w:rPr>
                <w:rFonts w:hint="eastAsia" w:ascii="仿宋" w:hAnsi="仿宋" w:eastAsia="仿宋" w:cs="仿宋"/>
                <w:b/>
                <w:bCs/>
                <w:color w:val="auto"/>
                <w:spacing w:val="-4"/>
                <w:highlight w:val="none"/>
              </w:rPr>
              <w:t>车辆类型</w:t>
            </w:r>
          </w:p>
        </w:tc>
        <w:tc>
          <w:tcPr>
            <w:tcW w:w="638" w:type="dxa"/>
            <w:vAlign w:val="center"/>
          </w:tcPr>
          <w:p w14:paraId="446F4769">
            <w:pPr>
              <w:pStyle w:val="39"/>
              <w:spacing w:before="131" w:line="221" w:lineRule="auto"/>
              <w:ind w:left="50" w:leftChars="0"/>
              <w:jc w:val="center"/>
              <w:rPr>
                <w:rFonts w:hint="eastAsia" w:ascii="仿宋" w:hAnsi="仿宋" w:eastAsia="仿宋" w:cs="仿宋"/>
                <w:color w:val="auto"/>
                <w:sz w:val="19"/>
                <w:szCs w:val="19"/>
                <w:highlight w:val="none"/>
              </w:rPr>
            </w:pPr>
            <w:r>
              <w:rPr>
                <w:rFonts w:hint="eastAsia" w:ascii="仿宋" w:hAnsi="仿宋" w:eastAsia="仿宋" w:cs="仿宋"/>
                <w:b/>
                <w:bCs/>
                <w:color w:val="auto"/>
                <w:spacing w:val="-5"/>
                <w:highlight w:val="none"/>
              </w:rPr>
              <w:t>座位</w:t>
            </w:r>
          </w:p>
        </w:tc>
        <w:tc>
          <w:tcPr>
            <w:tcW w:w="1456" w:type="dxa"/>
            <w:vAlign w:val="center"/>
          </w:tcPr>
          <w:p w14:paraId="0EBB8506">
            <w:pPr>
              <w:pStyle w:val="39"/>
              <w:spacing w:before="130" w:line="219" w:lineRule="auto"/>
              <w:ind w:left="51" w:leftChars="0"/>
              <w:jc w:val="center"/>
              <w:rPr>
                <w:rFonts w:hint="eastAsia" w:ascii="仿宋" w:hAnsi="仿宋" w:eastAsia="仿宋" w:cs="仿宋"/>
                <w:color w:val="auto"/>
                <w:spacing w:val="-2"/>
                <w:sz w:val="19"/>
                <w:szCs w:val="19"/>
                <w:highlight w:val="none"/>
              </w:rPr>
            </w:pPr>
            <w:r>
              <w:rPr>
                <w:rFonts w:hint="eastAsia" w:ascii="仿宋" w:hAnsi="仿宋" w:eastAsia="仿宋" w:cs="仿宋"/>
                <w:b/>
                <w:bCs/>
                <w:color w:val="auto"/>
                <w:spacing w:val="3"/>
                <w:highlight w:val="none"/>
              </w:rPr>
              <w:t>车辆排量</w:t>
            </w:r>
            <w:r>
              <w:rPr>
                <w:rFonts w:hint="eastAsia" w:ascii="仿宋" w:hAnsi="仿宋" w:eastAsia="仿宋" w:cs="仿宋"/>
                <w:b/>
                <w:bCs/>
                <w:color w:val="auto"/>
                <w:spacing w:val="3"/>
                <w:highlight w:val="none"/>
                <w:lang w:eastAsia="zh-CN"/>
              </w:rPr>
              <w:t>（</w:t>
            </w:r>
            <w:r>
              <w:rPr>
                <w:rFonts w:hint="eastAsia" w:ascii="仿宋" w:hAnsi="仿宋" w:eastAsia="仿宋" w:cs="仿宋"/>
                <w:b/>
                <w:bCs/>
                <w:color w:val="auto"/>
                <w:spacing w:val="3"/>
                <w:highlight w:val="none"/>
              </w:rPr>
              <w:t>L</w:t>
            </w:r>
            <w:r>
              <w:rPr>
                <w:rFonts w:hint="eastAsia" w:ascii="仿宋" w:hAnsi="仿宋" w:eastAsia="仿宋" w:cs="仿宋"/>
                <w:b/>
                <w:bCs/>
                <w:color w:val="auto"/>
                <w:spacing w:val="3"/>
                <w:highlight w:val="none"/>
                <w:lang w:eastAsia="zh-CN"/>
              </w:rPr>
              <w:t>）</w:t>
            </w:r>
          </w:p>
        </w:tc>
        <w:tc>
          <w:tcPr>
            <w:tcW w:w="1338" w:type="dxa"/>
            <w:vAlign w:val="center"/>
          </w:tcPr>
          <w:p w14:paraId="26B85522">
            <w:pPr>
              <w:pStyle w:val="39"/>
              <w:spacing w:before="131" w:line="220" w:lineRule="auto"/>
              <w:jc w:val="center"/>
              <w:rPr>
                <w:rFonts w:hint="eastAsia" w:ascii="仿宋" w:hAnsi="仿宋" w:eastAsia="仿宋" w:cs="仿宋"/>
                <w:color w:val="auto"/>
                <w:spacing w:val="-1"/>
                <w:sz w:val="19"/>
                <w:szCs w:val="19"/>
                <w:highlight w:val="none"/>
              </w:rPr>
            </w:pPr>
            <w:r>
              <w:rPr>
                <w:rFonts w:hint="eastAsia" w:ascii="仿宋" w:hAnsi="仿宋" w:eastAsia="仿宋" w:cs="仿宋"/>
                <w:b/>
                <w:bCs/>
                <w:color w:val="auto"/>
                <w:spacing w:val="1"/>
                <w:highlight w:val="none"/>
              </w:rPr>
              <w:t>购置时间</w:t>
            </w:r>
          </w:p>
        </w:tc>
      </w:tr>
      <w:tr w14:paraId="25C22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3" w:type="dxa"/>
            <w:vAlign w:val="center"/>
          </w:tcPr>
          <w:p w14:paraId="02091ED3">
            <w:pPr>
              <w:pStyle w:val="39"/>
              <w:spacing w:before="161" w:line="241" w:lineRule="auto"/>
              <w:ind w:left="264" w:leftChars="0"/>
              <w:jc w:val="both"/>
              <w:rPr>
                <w:rFonts w:hint="eastAsia" w:ascii="仿宋" w:hAnsi="仿宋" w:eastAsia="仿宋" w:cs="仿宋"/>
                <w:color w:val="auto"/>
                <w:sz w:val="19"/>
                <w:szCs w:val="19"/>
                <w:highlight w:val="none"/>
              </w:rPr>
            </w:pPr>
            <w:r>
              <w:rPr>
                <w:rFonts w:hint="eastAsia" w:ascii="仿宋" w:hAnsi="仿宋" w:eastAsia="仿宋" w:cs="仿宋"/>
                <w:color w:val="auto"/>
                <w:highlight w:val="none"/>
              </w:rPr>
              <w:t>1</w:t>
            </w:r>
          </w:p>
        </w:tc>
        <w:tc>
          <w:tcPr>
            <w:tcW w:w="1097" w:type="dxa"/>
            <w:vAlign w:val="center"/>
          </w:tcPr>
          <w:p w14:paraId="013CB433">
            <w:pPr>
              <w:pStyle w:val="39"/>
              <w:spacing w:before="141" w:line="220" w:lineRule="auto"/>
              <w:ind w:left="150" w:leftChars="0"/>
              <w:jc w:val="both"/>
              <w:rPr>
                <w:rFonts w:hint="eastAsia" w:ascii="仿宋" w:hAnsi="仿宋" w:eastAsia="仿宋" w:cs="仿宋"/>
                <w:color w:val="auto"/>
                <w:spacing w:val="-1"/>
                <w:sz w:val="19"/>
                <w:szCs w:val="19"/>
                <w:highlight w:val="none"/>
              </w:rPr>
            </w:pPr>
            <w:r>
              <w:rPr>
                <w:rFonts w:hint="eastAsia" w:ascii="仿宋" w:hAnsi="仿宋" w:eastAsia="仿宋" w:cs="仿宋"/>
                <w:color w:val="auto"/>
                <w:spacing w:val="1"/>
                <w:highlight w:val="none"/>
              </w:rPr>
              <w:t>粤A98905</w:t>
            </w:r>
          </w:p>
        </w:tc>
        <w:tc>
          <w:tcPr>
            <w:tcW w:w="3002" w:type="dxa"/>
            <w:vAlign w:val="center"/>
          </w:tcPr>
          <w:p w14:paraId="7188294C">
            <w:pPr>
              <w:pStyle w:val="39"/>
              <w:spacing w:before="21" w:line="208" w:lineRule="auto"/>
              <w:jc w:val="center"/>
              <w:rPr>
                <w:rFonts w:hint="eastAsia" w:ascii="仿宋" w:hAnsi="仿宋" w:eastAsia="仿宋" w:cs="仿宋"/>
                <w:color w:val="auto"/>
                <w:spacing w:val="-1"/>
                <w:sz w:val="19"/>
                <w:szCs w:val="19"/>
                <w:highlight w:val="none"/>
              </w:rPr>
            </w:pPr>
            <w:r>
              <w:rPr>
                <w:rFonts w:hint="eastAsia" w:ascii="仿宋" w:hAnsi="仿宋" w:eastAsia="仿宋" w:cs="仿宋"/>
                <w:color w:val="auto"/>
                <w:spacing w:val="-2"/>
                <w:highlight w:val="none"/>
              </w:rPr>
              <w:t>奔驰北地牌</w:t>
            </w:r>
            <w:r>
              <w:rPr>
                <w:rFonts w:hint="eastAsia" w:ascii="仿宋" w:hAnsi="仿宋" w:eastAsia="仿宋" w:cs="仿宋"/>
                <w:color w:val="auto"/>
                <w:highlight w:val="none"/>
              </w:rPr>
              <w:t>WD5043XM/27297930986</w:t>
            </w:r>
            <w:r>
              <w:rPr>
                <w:rFonts w:hint="eastAsia" w:ascii="仿宋" w:hAnsi="仿宋" w:eastAsia="仿宋" w:cs="仿宋"/>
                <w:color w:val="auto"/>
                <w:spacing w:val="-1"/>
                <w:highlight w:val="none"/>
              </w:rPr>
              <w:t>368</w:t>
            </w:r>
          </w:p>
        </w:tc>
        <w:tc>
          <w:tcPr>
            <w:tcW w:w="1499" w:type="dxa"/>
            <w:vAlign w:val="center"/>
          </w:tcPr>
          <w:p w14:paraId="7F104309">
            <w:pPr>
              <w:pStyle w:val="39"/>
              <w:spacing w:before="141" w:line="219" w:lineRule="auto"/>
              <w:ind w:left="134" w:leftChars="0"/>
              <w:jc w:val="center"/>
              <w:rPr>
                <w:rFonts w:hint="eastAsia" w:ascii="仿宋" w:hAnsi="仿宋" w:eastAsia="仿宋" w:cs="仿宋"/>
                <w:color w:val="auto"/>
                <w:spacing w:val="3"/>
                <w:sz w:val="19"/>
                <w:szCs w:val="19"/>
                <w:highlight w:val="none"/>
              </w:rPr>
            </w:pPr>
            <w:r>
              <w:rPr>
                <w:rFonts w:hint="eastAsia" w:ascii="仿宋" w:hAnsi="仿宋" w:eastAsia="仿宋" w:cs="仿宋"/>
                <w:color w:val="auto"/>
                <w:spacing w:val="3"/>
                <w:highlight w:val="none"/>
              </w:rPr>
              <w:t>小型专用客车</w:t>
            </w:r>
            <w:r>
              <w:rPr>
                <w:rFonts w:hint="eastAsia" w:ascii="仿宋" w:hAnsi="仿宋" w:eastAsia="仿宋" w:cs="仿宋"/>
                <w:color w:val="auto"/>
                <w:spacing w:val="3"/>
                <w:highlight w:val="none"/>
                <w:lang w:eastAsia="zh-CN"/>
              </w:rPr>
              <w:t>（</w:t>
            </w:r>
            <w:r>
              <w:rPr>
                <w:rFonts w:hint="eastAsia" w:ascii="仿宋" w:hAnsi="仿宋" w:eastAsia="仿宋" w:cs="仿宋"/>
                <w:color w:val="auto"/>
                <w:spacing w:val="3"/>
                <w:highlight w:val="none"/>
              </w:rPr>
              <w:t>救护车</w:t>
            </w:r>
            <w:r>
              <w:rPr>
                <w:rFonts w:hint="eastAsia" w:ascii="仿宋" w:hAnsi="仿宋" w:eastAsia="仿宋" w:cs="仿宋"/>
                <w:color w:val="auto"/>
                <w:spacing w:val="3"/>
                <w:highlight w:val="none"/>
                <w:lang w:eastAsia="zh-CN"/>
              </w:rPr>
              <w:t>）</w:t>
            </w:r>
          </w:p>
        </w:tc>
        <w:tc>
          <w:tcPr>
            <w:tcW w:w="638" w:type="dxa"/>
            <w:vAlign w:val="center"/>
          </w:tcPr>
          <w:p w14:paraId="6657C1A3">
            <w:pPr>
              <w:pStyle w:val="39"/>
              <w:spacing w:before="160"/>
              <w:jc w:val="center"/>
              <w:rPr>
                <w:rFonts w:hint="eastAsia" w:ascii="仿宋" w:hAnsi="仿宋" w:eastAsia="仿宋" w:cs="仿宋"/>
                <w:color w:val="auto"/>
                <w:sz w:val="19"/>
                <w:szCs w:val="19"/>
                <w:highlight w:val="none"/>
              </w:rPr>
            </w:pPr>
            <w:r>
              <w:rPr>
                <w:rFonts w:hint="eastAsia" w:ascii="仿宋" w:hAnsi="仿宋" w:eastAsia="仿宋" w:cs="仿宋"/>
                <w:color w:val="auto"/>
                <w:highlight w:val="none"/>
              </w:rPr>
              <w:t>7</w:t>
            </w:r>
          </w:p>
        </w:tc>
        <w:tc>
          <w:tcPr>
            <w:tcW w:w="1456" w:type="dxa"/>
            <w:vAlign w:val="center"/>
          </w:tcPr>
          <w:p w14:paraId="3773EDDB">
            <w:pPr>
              <w:pStyle w:val="39"/>
              <w:spacing w:before="161" w:line="239" w:lineRule="auto"/>
              <w:jc w:val="center"/>
              <w:rPr>
                <w:rFonts w:hint="eastAsia" w:ascii="仿宋" w:hAnsi="仿宋" w:eastAsia="仿宋" w:cs="仿宋"/>
                <w:color w:val="auto"/>
                <w:spacing w:val="-2"/>
                <w:sz w:val="19"/>
                <w:szCs w:val="19"/>
                <w:highlight w:val="none"/>
              </w:rPr>
            </w:pPr>
            <w:r>
              <w:rPr>
                <w:rFonts w:hint="eastAsia" w:ascii="仿宋" w:hAnsi="仿宋" w:eastAsia="仿宋" w:cs="仿宋"/>
                <w:color w:val="auto"/>
                <w:spacing w:val="-2"/>
                <w:highlight w:val="none"/>
              </w:rPr>
              <w:t>3.4980</w:t>
            </w:r>
          </w:p>
        </w:tc>
        <w:tc>
          <w:tcPr>
            <w:tcW w:w="1338" w:type="dxa"/>
            <w:vAlign w:val="center"/>
          </w:tcPr>
          <w:p w14:paraId="0A962A19">
            <w:pPr>
              <w:pStyle w:val="39"/>
              <w:spacing w:before="161" w:line="239" w:lineRule="auto"/>
              <w:jc w:val="center"/>
              <w:rPr>
                <w:rFonts w:hint="eastAsia" w:ascii="仿宋" w:hAnsi="仿宋" w:eastAsia="仿宋" w:cs="仿宋"/>
                <w:color w:val="auto"/>
                <w:spacing w:val="-1"/>
                <w:sz w:val="19"/>
                <w:szCs w:val="19"/>
                <w:highlight w:val="none"/>
              </w:rPr>
            </w:pPr>
            <w:r>
              <w:rPr>
                <w:rFonts w:hint="eastAsia" w:ascii="仿宋" w:hAnsi="仿宋" w:eastAsia="仿宋" w:cs="仿宋"/>
                <w:color w:val="auto"/>
                <w:spacing w:val="-2"/>
                <w:highlight w:val="none"/>
              </w:rPr>
              <w:t>2009.3.30</w:t>
            </w:r>
          </w:p>
        </w:tc>
      </w:tr>
      <w:tr w14:paraId="7BAB5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3" w:type="dxa"/>
            <w:vAlign w:val="center"/>
          </w:tcPr>
          <w:p w14:paraId="1838638C">
            <w:pPr>
              <w:pStyle w:val="39"/>
              <w:spacing w:before="145" w:line="241" w:lineRule="auto"/>
              <w:ind w:left="264" w:leftChars="0"/>
              <w:jc w:val="both"/>
              <w:rPr>
                <w:rFonts w:hint="eastAsia" w:ascii="仿宋" w:hAnsi="仿宋" w:eastAsia="仿宋" w:cs="仿宋"/>
                <w:color w:val="auto"/>
                <w:sz w:val="19"/>
                <w:szCs w:val="19"/>
                <w:highlight w:val="none"/>
              </w:rPr>
            </w:pPr>
            <w:r>
              <w:rPr>
                <w:rFonts w:hint="eastAsia" w:ascii="仿宋" w:hAnsi="仿宋" w:eastAsia="仿宋" w:cs="仿宋"/>
                <w:color w:val="auto"/>
                <w:highlight w:val="none"/>
              </w:rPr>
              <w:t>2</w:t>
            </w:r>
          </w:p>
        </w:tc>
        <w:tc>
          <w:tcPr>
            <w:tcW w:w="1097" w:type="dxa"/>
            <w:vAlign w:val="center"/>
          </w:tcPr>
          <w:p w14:paraId="6C50D27B">
            <w:pPr>
              <w:pStyle w:val="39"/>
              <w:spacing w:before="125" w:line="220" w:lineRule="auto"/>
              <w:ind w:left="150" w:leftChars="0"/>
              <w:jc w:val="both"/>
              <w:rPr>
                <w:rFonts w:hint="eastAsia" w:ascii="仿宋" w:hAnsi="仿宋" w:eastAsia="仿宋" w:cs="仿宋"/>
                <w:color w:val="auto"/>
                <w:spacing w:val="-1"/>
                <w:sz w:val="19"/>
                <w:szCs w:val="19"/>
                <w:highlight w:val="none"/>
              </w:rPr>
            </w:pPr>
            <w:r>
              <w:rPr>
                <w:rFonts w:hint="eastAsia" w:ascii="仿宋" w:hAnsi="仿宋" w:eastAsia="仿宋" w:cs="仿宋"/>
                <w:color w:val="auto"/>
                <w:spacing w:val="-1"/>
                <w:highlight w:val="none"/>
              </w:rPr>
              <w:t>粤AW7F88</w:t>
            </w:r>
          </w:p>
        </w:tc>
        <w:tc>
          <w:tcPr>
            <w:tcW w:w="3002" w:type="dxa"/>
            <w:vAlign w:val="center"/>
          </w:tcPr>
          <w:p w14:paraId="54039DE4">
            <w:pPr>
              <w:pStyle w:val="39"/>
              <w:spacing w:before="123" w:line="218" w:lineRule="auto"/>
              <w:jc w:val="center"/>
              <w:rPr>
                <w:rFonts w:hint="eastAsia" w:ascii="仿宋" w:hAnsi="仿宋" w:eastAsia="仿宋" w:cs="仿宋"/>
                <w:color w:val="auto"/>
                <w:spacing w:val="-1"/>
                <w:sz w:val="19"/>
                <w:szCs w:val="19"/>
                <w:highlight w:val="none"/>
              </w:rPr>
            </w:pPr>
            <w:r>
              <w:rPr>
                <w:rFonts w:hint="eastAsia" w:ascii="仿宋" w:hAnsi="仿宋" w:eastAsia="仿宋" w:cs="仿宋"/>
                <w:color w:val="auto"/>
                <w:spacing w:val="-1"/>
                <w:highlight w:val="none"/>
              </w:rPr>
              <w:t>奔驰北地牌ND5043XJH</w:t>
            </w:r>
          </w:p>
        </w:tc>
        <w:tc>
          <w:tcPr>
            <w:tcW w:w="1499" w:type="dxa"/>
            <w:vAlign w:val="center"/>
          </w:tcPr>
          <w:p w14:paraId="648F5FFB">
            <w:pPr>
              <w:pStyle w:val="39"/>
              <w:spacing w:before="125" w:line="219" w:lineRule="auto"/>
              <w:ind w:left="134" w:leftChars="0"/>
              <w:jc w:val="center"/>
              <w:rPr>
                <w:rFonts w:hint="eastAsia" w:ascii="仿宋" w:hAnsi="仿宋" w:eastAsia="仿宋" w:cs="仿宋"/>
                <w:color w:val="auto"/>
                <w:spacing w:val="3"/>
                <w:sz w:val="19"/>
                <w:szCs w:val="19"/>
                <w:highlight w:val="none"/>
              </w:rPr>
            </w:pPr>
            <w:r>
              <w:rPr>
                <w:rFonts w:hint="eastAsia" w:ascii="仿宋" w:hAnsi="仿宋" w:eastAsia="仿宋" w:cs="仿宋"/>
                <w:color w:val="auto"/>
                <w:spacing w:val="3"/>
                <w:highlight w:val="none"/>
              </w:rPr>
              <w:t>小型专用客车</w:t>
            </w:r>
            <w:r>
              <w:rPr>
                <w:rFonts w:hint="eastAsia" w:ascii="仿宋" w:hAnsi="仿宋" w:eastAsia="仿宋" w:cs="仿宋"/>
                <w:color w:val="auto"/>
                <w:spacing w:val="3"/>
                <w:highlight w:val="none"/>
                <w:lang w:eastAsia="zh-CN"/>
              </w:rPr>
              <w:t>（</w:t>
            </w:r>
            <w:r>
              <w:rPr>
                <w:rFonts w:hint="eastAsia" w:ascii="仿宋" w:hAnsi="仿宋" w:eastAsia="仿宋" w:cs="仿宋"/>
                <w:color w:val="auto"/>
                <w:spacing w:val="3"/>
                <w:highlight w:val="none"/>
              </w:rPr>
              <w:t>救护车</w:t>
            </w:r>
            <w:r>
              <w:rPr>
                <w:rFonts w:hint="eastAsia" w:ascii="仿宋" w:hAnsi="仿宋" w:eastAsia="仿宋" w:cs="仿宋"/>
                <w:color w:val="auto"/>
                <w:spacing w:val="3"/>
                <w:highlight w:val="none"/>
                <w:lang w:eastAsia="zh-CN"/>
              </w:rPr>
              <w:t>）</w:t>
            </w:r>
          </w:p>
        </w:tc>
        <w:tc>
          <w:tcPr>
            <w:tcW w:w="638" w:type="dxa"/>
            <w:vAlign w:val="center"/>
          </w:tcPr>
          <w:p w14:paraId="0FABCA5A">
            <w:pPr>
              <w:pStyle w:val="39"/>
              <w:spacing w:before="144"/>
              <w:jc w:val="center"/>
              <w:rPr>
                <w:rFonts w:hint="eastAsia" w:ascii="仿宋" w:hAnsi="仿宋" w:eastAsia="仿宋" w:cs="仿宋"/>
                <w:color w:val="auto"/>
                <w:sz w:val="19"/>
                <w:szCs w:val="19"/>
                <w:highlight w:val="none"/>
              </w:rPr>
            </w:pPr>
            <w:r>
              <w:rPr>
                <w:rFonts w:hint="eastAsia" w:ascii="仿宋" w:hAnsi="仿宋" w:eastAsia="仿宋" w:cs="仿宋"/>
                <w:color w:val="auto"/>
                <w:highlight w:val="none"/>
              </w:rPr>
              <w:t>7</w:t>
            </w:r>
          </w:p>
        </w:tc>
        <w:tc>
          <w:tcPr>
            <w:tcW w:w="1456" w:type="dxa"/>
            <w:vAlign w:val="center"/>
          </w:tcPr>
          <w:p w14:paraId="19647335">
            <w:pPr>
              <w:pStyle w:val="39"/>
              <w:spacing w:before="145" w:line="239" w:lineRule="auto"/>
              <w:jc w:val="center"/>
              <w:rPr>
                <w:rFonts w:hint="eastAsia" w:ascii="仿宋" w:hAnsi="仿宋" w:eastAsia="仿宋" w:cs="仿宋"/>
                <w:color w:val="auto"/>
                <w:spacing w:val="-2"/>
                <w:sz w:val="19"/>
                <w:szCs w:val="19"/>
                <w:highlight w:val="none"/>
              </w:rPr>
            </w:pPr>
            <w:r>
              <w:rPr>
                <w:rFonts w:hint="eastAsia" w:ascii="仿宋" w:hAnsi="仿宋" w:eastAsia="仿宋" w:cs="仿宋"/>
                <w:color w:val="auto"/>
                <w:spacing w:val="-2"/>
                <w:highlight w:val="none"/>
              </w:rPr>
              <w:t>3.4980</w:t>
            </w:r>
          </w:p>
        </w:tc>
        <w:tc>
          <w:tcPr>
            <w:tcW w:w="1338" w:type="dxa"/>
            <w:vAlign w:val="center"/>
          </w:tcPr>
          <w:p w14:paraId="0A7445AF">
            <w:pPr>
              <w:pStyle w:val="39"/>
              <w:spacing w:before="145" w:line="239" w:lineRule="auto"/>
              <w:jc w:val="center"/>
              <w:rPr>
                <w:rFonts w:hint="eastAsia" w:ascii="仿宋" w:hAnsi="仿宋" w:eastAsia="仿宋" w:cs="仿宋"/>
                <w:color w:val="auto"/>
                <w:spacing w:val="-1"/>
                <w:sz w:val="19"/>
                <w:szCs w:val="19"/>
                <w:highlight w:val="none"/>
              </w:rPr>
            </w:pPr>
            <w:r>
              <w:rPr>
                <w:rFonts w:hint="eastAsia" w:ascii="仿宋" w:hAnsi="仿宋" w:eastAsia="仿宋" w:cs="仿宋"/>
                <w:color w:val="auto"/>
                <w:spacing w:val="-2"/>
                <w:highlight w:val="none"/>
              </w:rPr>
              <w:t>2013.6.25</w:t>
            </w:r>
          </w:p>
        </w:tc>
      </w:tr>
      <w:tr w14:paraId="44366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3" w:type="dxa"/>
            <w:vAlign w:val="center"/>
          </w:tcPr>
          <w:p w14:paraId="27BF823E">
            <w:pPr>
              <w:pStyle w:val="39"/>
              <w:spacing w:before="131"/>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3</w:t>
            </w:r>
          </w:p>
        </w:tc>
        <w:tc>
          <w:tcPr>
            <w:tcW w:w="1097" w:type="dxa"/>
            <w:vAlign w:val="center"/>
          </w:tcPr>
          <w:p w14:paraId="6FE8B0AF">
            <w:pPr>
              <w:pStyle w:val="39"/>
              <w:spacing w:before="113"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粤AF120B</w:t>
            </w:r>
          </w:p>
        </w:tc>
        <w:tc>
          <w:tcPr>
            <w:tcW w:w="3002" w:type="dxa"/>
            <w:vAlign w:val="center"/>
          </w:tcPr>
          <w:p w14:paraId="731CFA7B">
            <w:pPr>
              <w:pStyle w:val="39"/>
              <w:spacing w:before="111" w:line="218"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奔驰北地牌ND5043XJH</w:t>
            </w:r>
          </w:p>
        </w:tc>
        <w:tc>
          <w:tcPr>
            <w:tcW w:w="1499" w:type="dxa"/>
            <w:vAlign w:val="center"/>
          </w:tcPr>
          <w:p w14:paraId="78C10930">
            <w:pPr>
              <w:pStyle w:val="39"/>
              <w:spacing w:before="112"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5D8DEEF2">
            <w:pPr>
              <w:pStyle w:val="39"/>
              <w:spacing w:before="131"/>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456" w:type="dxa"/>
            <w:vAlign w:val="center"/>
          </w:tcPr>
          <w:p w14:paraId="13821D47">
            <w:pPr>
              <w:pStyle w:val="39"/>
              <w:spacing w:before="131"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3.4980</w:t>
            </w:r>
          </w:p>
        </w:tc>
        <w:tc>
          <w:tcPr>
            <w:tcW w:w="1338" w:type="dxa"/>
            <w:vAlign w:val="center"/>
          </w:tcPr>
          <w:p w14:paraId="40EEB165">
            <w:pPr>
              <w:pStyle w:val="39"/>
              <w:spacing w:before="131"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2014.11.18</w:t>
            </w:r>
          </w:p>
        </w:tc>
      </w:tr>
      <w:tr w14:paraId="30AA7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13" w:type="dxa"/>
            <w:vAlign w:val="center"/>
          </w:tcPr>
          <w:p w14:paraId="002814A4">
            <w:pPr>
              <w:pStyle w:val="39"/>
              <w:spacing w:before="116" w:line="241" w:lineRule="auto"/>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4</w:t>
            </w:r>
          </w:p>
        </w:tc>
        <w:tc>
          <w:tcPr>
            <w:tcW w:w="1097" w:type="dxa"/>
            <w:vAlign w:val="center"/>
          </w:tcPr>
          <w:p w14:paraId="6DAA53E0">
            <w:pPr>
              <w:pStyle w:val="39"/>
              <w:spacing w:before="98"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粤A0MC45</w:t>
            </w:r>
          </w:p>
        </w:tc>
        <w:tc>
          <w:tcPr>
            <w:tcW w:w="3002" w:type="dxa"/>
            <w:vAlign w:val="center"/>
          </w:tcPr>
          <w:p w14:paraId="142ECC00">
            <w:pPr>
              <w:pStyle w:val="39"/>
              <w:spacing w:before="96" w:line="218"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奔驰北地牌ND5044XJH</w:t>
            </w:r>
          </w:p>
        </w:tc>
        <w:tc>
          <w:tcPr>
            <w:tcW w:w="1499" w:type="dxa"/>
            <w:vAlign w:val="center"/>
          </w:tcPr>
          <w:p w14:paraId="6205FAAA">
            <w:pPr>
              <w:pStyle w:val="39"/>
              <w:spacing w:before="97"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75028737">
            <w:pPr>
              <w:pStyle w:val="39"/>
              <w:spacing w:before="116"/>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456" w:type="dxa"/>
            <w:vAlign w:val="center"/>
          </w:tcPr>
          <w:p w14:paraId="7C197BDA">
            <w:pPr>
              <w:pStyle w:val="39"/>
              <w:spacing w:before="116"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3.4980</w:t>
            </w:r>
          </w:p>
        </w:tc>
        <w:tc>
          <w:tcPr>
            <w:tcW w:w="1338" w:type="dxa"/>
            <w:vAlign w:val="center"/>
          </w:tcPr>
          <w:p w14:paraId="7643BAF1">
            <w:pPr>
              <w:pStyle w:val="39"/>
              <w:spacing w:before="116"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2015.7.15</w:t>
            </w:r>
          </w:p>
        </w:tc>
      </w:tr>
      <w:tr w14:paraId="41123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13" w:type="dxa"/>
            <w:vAlign w:val="center"/>
          </w:tcPr>
          <w:p w14:paraId="1E9A728B">
            <w:pPr>
              <w:pStyle w:val="39"/>
              <w:spacing w:before="147"/>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5</w:t>
            </w:r>
          </w:p>
        </w:tc>
        <w:tc>
          <w:tcPr>
            <w:tcW w:w="1097" w:type="dxa"/>
            <w:vAlign w:val="center"/>
          </w:tcPr>
          <w:p w14:paraId="3030DF7E">
            <w:pPr>
              <w:pStyle w:val="39"/>
              <w:spacing w:before="129"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粤A1U6E3</w:t>
            </w:r>
          </w:p>
        </w:tc>
        <w:tc>
          <w:tcPr>
            <w:tcW w:w="3002" w:type="dxa"/>
            <w:vAlign w:val="center"/>
          </w:tcPr>
          <w:p w14:paraId="359C3F65">
            <w:pPr>
              <w:pStyle w:val="39"/>
              <w:spacing w:before="127" w:line="218"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奔驰北地牌ND5044XJH-3H</w:t>
            </w:r>
          </w:p>
        </w:tc>
        <w:tc>
          <w:tcPr>
            <w:tcW w:w="1499" w:type="dxa"/>
            <w:vAlign w:val="center"/>
          </w:tcPr>
          <w:p w14:paraId="2F6D18D3">
            <w:pPr>
              <w:pStyle w:val="39"/>
              <w:spacing w:before="128"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5967D1EA">
            <w:pPr>
              <w:pStyle w:val="39"/>
              <w:spacing w:before="147"/>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456" w:type="dxa"/>
            <w:vAlign w:val="center"/>
          </w:tcPr>
          <w:p w14:paraId="451D03E2">
            <w:pPr>
              <w:pStyle w:val="39"/>
              <w:spacing w:before="147"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3.4980</w:t>
            </w:r>
          </w:p>
        </w:tc>
        <w:tc>
          <w:tcPr>
            <w:tcW w:w="1338" w:type="dxa"/>
            <w:vAlign w:val="center"/>
          </w:tcPr>
          <w:p w14:paraId="7F43774C">
            <w:pPr>
              <w:pStyle w:val="39"/>
              <w:spacing w:before="147"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2018.2.2</w:t>
            </w:r>
          </w:p>
        </w:tc>
      </w:tr>
      <w:tr w14:paraId="06DF7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13" w:type="dxa"/>
            <w:vAlign w:val="center"/>
          </w:tcPr>
          <w:p w14:paraId="49FA849E">
            <w:pPr>
              <w:pStyle w:val="39"/>
              <w:spacing w:before="138"/>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6</w:t>
            </w:r>
          </w:p>
        </w:tc>
        <w:tc>
          <w:tcPr>
            <w:tcW w:w="1097" w:type="dxa"/>
            <w:vAlign w:val="center"/>
          </w:tcPr>
          <w:p w14:paraId="6A4E91C7">
            <w:pPr>
              <w:pStyle w:val="39"/>
              <w:spacing w:before="120"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粤</w:t>
            </w:r>
            <w:r>
              <w:rPr>
                <w:rFonts w:hint="eastAsia" w:ascii="仿宋" w:hAnsi="仿宋" w:eastAsia="仿宋" w:cs="仿宋"/>
                <w:color w:val="auto"/>
                <w:sz w:val="19"/>
                <w:szCs w:val="19"/>
                <w:highlight w:val="none"/>
              </w:rPr>
              <w:t>AE</w:t>
            </w:r>
            <w:r>
              <w:rPr>
                <w:rFonts w:hint="eastAsia" w:ascii="仿宋" w:hAnsi="仿宋" w:eastAsia="仿宋" w:cs="仿宋"/>
                <w:color w:val="auto"/>
                <w:spacing w:val="3"/>
                <w:sz w:val="19"/>
                <w:szCs w:val="19"/>
                <w:highlight w:val="none"/>
              </w:rPr>
              <w:t>7301</w:t>
            </w:r>
          </w:p>
        </w:tc>
        <w:tc>
          <w:tcPr>
            <w:tcW w:w="3002" w:type="dxa"/>
            <w:vAlign w:val="center"/>
          </w:tcPr>
          <w:p w14:paraId="5E268746">
            <w:pPr>
              <w:pStyle w:val="39"/>
              <w:spacing w:before="118"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金杯</w:t>
            </w:r>
            <w:r>
              <w:rPr>
                <w:rFonts w:hint="eastAsia" w:ascii="仿宋" w:hAnsi="仿宋" w:eastAsia="仿宋" w:cs="仿宋"/>
                <w:color w:val="auto"/>
                <w:sz w:val="19"/>
                <w:szCs w:val="19"/>
                <w:highlight w:val="none"/>
              </w:rPr>
              <w:t>SY</w:t>
            </w:r>
            <w:r>
              <w:rPr>
                <w:rFonts w:hint="eastAsia" w:ascii="仿宋" w:hAnsi="仿宋" w:eastAsia="仿宋" w:cs="仿宋"/>
                <w:color w:val="auto"/>
                <w:spacing w:val="1"/>
                <w:sz w:val="19"/>
                <w:szCs w:val="19"/>
                <w:highlight w:val="none"/>
              </w:rPr>
              <w:t>6521G2S3</w:t>
            </w:r>
            <w:r>
              <w:rPr>
                <w:rFonts w:hint="eastAsia" w:ascii="仿宋" w:hAnsi="仿宋" w:eastAsia="仿宋" w:cs="仿宋"/>
                <w:color w:val="auto"/>
                <w:sz w:val="19"/>
                <w:szCs w:val="19"/>
                <w:highlight w:val="none"/>
              </w:rPr>
              <w:t>BG</w:t>
            </w:r>
            <w:r>
              <w:rPr>
                <w:rFonts w:hint="eastAsia" w:ascii="仿宋" w:hAnsi="仿宋" w:eastAsia="仿宋" w:cs="仿宋"/>
                <w:color w:val="auto"/>
                <w:spacing w:val="1"/>
                <w:sz w:val="19"/>
                <w:szCs w:val="19"/>
                <w:highlight w:val="none"/>
              </w:rPr>
              <w:t>/8236051</w:t>
            </w:r>
          </w:p>
        </w:tc>
        <w:tc>
          <w:tcPr>
            <w:tcW w:w="1499" w:type="dxa"/>
            <w:vAlign w:val="center"/>
          </w:tcPr>
          <w:p w14:paraId="6D1AA3A9">
            <w:pPr>
              <w:pStyle w:val="39"/>
              <w:spacing w:before="119"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中型普通客车</w:t>
            </w:r>
          </w:p>
        </w:tc>
        <w:tc>
          <w:tcPr>
            <w:tcW w:w="638" w:type="dxa"/>
            <w:vAlign w:val="center"/>
          </w:tcPr>
          <w:p w14:paraId="790ACFF0">
            <w:pPr>
              <w:pStyle w:val="39"/>
              <w:spacing w:before="138" w:line="241"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11</w:t>
            </w:r>
          </w:p>
        </w:tc>
        <w:tc>
          <w:tcPr>
            <w:tcW w:w="1456" w:type="dxa"/>
            <w:vAlign w:val="center"/>
          </w:tcPr>
          <w:p w14:paraId="0F047CFD">
            <w:pPr>
              <w:pStyle w:val="39"/>
              <w:spacing w:before="138"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2.6930</w:t>
            </w:r>
          </w:p>
        </w:tc>
        <w:tc>
          <w:tcPr>
            <w:tcW w:w="1338" w:type="dxa"/>
            <w:vAlign w:val="center"/>
          </w:tcPr>
          <w:p w14:paraId="3C94550A">
            <w:pPr>
              <w:pStyle w:val="39"/>
              <w:spacing w:before="138"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2010.2.24</w:t>
            </w:r>
          </w:p>
        </w:tc>
      </w:tr>
      <w:tr w14:paraId="2DC6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13" w:type="dxa"/>
            <w:vAlign w:val="center"/>
          </w:tcPr>
          <w:p w14:paraId="3701BD44">
            <w:pPr>
              <w:pStyle w:val="39"/>
              <w:spacing w:before="148"/>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097" w:type="dxa"/>
            <w:vAlign w:val="center"/>
          </w:tcPr>
          <w:p w14:paraId="270F8CFB">
            <w:pPr>
              <w:pStyle w:val="39"/>
              <w:spacing w:before="130"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粤AD0043</w:t>
            </w:r>
          </w:p>
        </w:tc>
        <w:tc>
          <w:tcPr>
            <w:tcW w:w="3002" w:type="dxa"/>
            <w:vAlign w:val="center"/>
          </w:tcPr>
          <w:p w14:paraId="718CFF8F">
            <w:pPr>
              <w:pStyle w:val="39"/>
              <w:spacing w:before="19"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丰田柯斯达</w:t>
            </w:r>
          </w:p>
          <w:p w14:paraId="3A7507B6">
            <w:pPr>
              <w:pStyle w:val="39"/>
              <w:spacing w:before="9" w:line="17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SCT6702TRB53LE/8196095</w:t>
            </w:r>
          </w:p>
        </w:tc>
        <w:tc>
          <w:tcPr>
            <w:tcW w:w="1499" w:type="dxa"/>
            <w:vAlign w:val="center"/>
          </w:tcPr>
          <w:p w14:paraId="7C92930D">
            <w:pPr>
              <w:pStyle w:val="39"/>
              <w:spacing w:before="129"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大型普通客车</w:t>
            </w:r>
          </w:p>
        </w:tc>
        <w:tc>
          <w:tcPr>
            <w:tcW w:w="638" w:type="dxa"/>
            <w:vAlign w:val="center"/>
          </w:tcPr>
          <w:p w14:paraId="3CB796EA">
            <w:pPr>
              <w:pStyle w:val="39"/>
              <w:spacing w:before="148"/>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23</w:t>
            </w:r>
          </w:p>
        </w:tc>
        <w:tc>
          <w:tcPr>
            <w:tcW w:w="1456" w:type="dxa"/>
            <w:vAlign w:val="center"/>
          </w:tcPr>
          <w:p w14:paraId="14A79CE5">
            <w:pPr>
              <w:pStyle w:val="39"/>
              <w:spacing w:before="148"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2.6940</w:t>
            </w:r>
          </w:p>
        </w:tc>
        <w:tc>
          <w:tcPr>
            <w:tcW w:w="1338" w:type="dxa"/>
            <w:vAlign w:val="center"/>
          </w:tcPr>
          <w:p w14:paraId="68114A4B">
            <w:pPr>
              <w:pStyle w:val="39"/>
              <w:spacing w:before="148"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2009.5.26</w:t>
            </w:r>
          </w:p>
        </w:tc>
      </w:tr>
      <w:tr w14:paraId="1053E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13" w:type="dxa"/>
            <w:vAlign w:val="center"/>
          </w:tcPr>
          <w:p w14:paraId="1148396E">
            <w:pPr>
              <w:pStyle w:val="39"/>
              <w:spacing w:before="139"/>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8</w:t>
            </w:r>
          </w:p>
        </w:tc>
        <w:tc>
          <w:tcPr>
            <w:tcW w:w="1097" w:type="dxa"/>
            <w:vAlign w:val="center"/>
          </w:tcPr>
          <w:p w14:paraId="0ADB1B9F">
            <w:pPr>
              <w:pStyle w:val="39"/>
              <w:spacing w:before="121"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粤A9DN80</w:t>
            </w:r>
          </w:p>
        </w:tc>
        <w:tc>
          <w:tcPr>
            <w:tcW w:w="3002" w:type="dxa"/>
            <w:vAlign w:val="center"/>
          </w:tcPr>
          <w:p w14:paraId="7EEFD0D5">
            <w:pPr>
              <w:pStyle w:val="39"/>
              <w:spacing w:before="120"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别克SGM6520UYAA</w:t>
            </w:r>
          </w:p>
        </w:tc>
        <w:tc>
          <w:tcPr>
            <w:tcW w:w="1499" w:type="dxa"/>
            <w:vAlign w:val="center"/>
          </w:tcPr>
          <w:p w14:paraId="2B6A6514">
            <w:pPr>
              <w:pStyle w:val="39"/>
              <w:spacing w:before="120"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小型普通客车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商务车</w:t>
            </w:r>
            <w:r>
              <w:rPr>
                <w:rFonts w:hint="eastAsia" w:ascii="仿宋" w:hAnsi="仿宋" w:eastAsia="仿宋" w:cs="仿宋"/>
                <w:color w:val="auto"/>
                <w:spacing w:val="3"/>
                <w:sz w:val="19"/>
                <w:szCs w:val="19"/>
                <w:highlight w:val="none"/>
                <w:lang w:eastAsia="zh-CN"/>
              </w:rPr>
              <w:t>）</w:t>
            </w:r>
          </w:p>
        </w:tc>
        <w:tc>
          <w:tcPr>
            <w:tcW w:w="638" w:type="dxa"/>
            <w:vAlign w:val="center"/>
          </w:tcPr>
          <w:p w14:paraId="7F1AB34E">
            <w:pPr>
              <w:pStyle w:val="39"/>
              <w:spacing w:before="139"/>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456" w:type="dxa"/>
            <w:vAlign w:val="center"/>
          </w:tcPr>
          <w:p w14:paraId="3184AF66">
            <w:pPr>
              <w:pStyle w:val="39"/>
              <w:spacing w:before="139"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2.3840</w:t>
            </w:r>
          </w:p>
        </w:tc>
        <w:tc>
          <w:tcPr>
            <w:tcW w:w="1338" w:type="dxa"/>
            <w:vAlign w:val="center"/>
          </w:tcPr>
          <w:p w14:paraId="2E2F97B8">
            <w:pPr>
              <w:pStyle w:val="39"/>
              <w:spacing w:before="139"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2014.5.19</w:t>
            </w:r>
          </w:p>
        </w:tc>
      </w:tr>
      <w:tr w14:paraId="3539E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13" w:type="dxa"/>
            <w:vAlign w:val="center"/>
          </w:tcPr>
          <w:p w14:paraId="18F08207">
            <w:pPr>
              <w:pStyle w:val="39"/>
              <w:spacing w:before="149"/>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9</w:t>
            </w:r>
          </w:p>
        </w:tc>
        <w:tc>
          <w:tcPr>
            <w:tcW w:w="1097" w:type="dxa"/>
            <w:vAlign w:val="center"/>
          </w:tcPr>
          <w:p w14:paraId="7DC81C53">
            <w:pPr>
              <w:pStyle w:val="39"/>
              <w:spacing w:before="131"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粤AX2V46</w:t>
            </w:r>
          </w:p>
        </w:tc>
        <w:tc>
          <w:tcPr>
            <w:tcW w:w="3002" w:type="dxa"/>
            <w:vAlign w:val="center"/>
          </w:tcPr>
          <w:p w14:paraId="0A28F265">
            <w:pPr>
              <w:pStyle w:val="39"/>
              <w:spacing w:before="129" w:line="218"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奔驰北地牌ND5043XJH</w:t>
            </w:r>
          </w:p>
        </w:tc>
        <w:tc>
          <w:tcPr>
            <w:tcW w:w="1499" w:type="dxa"/>
            <w:vAlign w:val="center"/>
          </w:tcPr>
          <w:p w14:paraId="67A937A0">
            <w:pPr>
              <w:pStyle w:val="39"/>
              <w:spacing w:before="131"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342C7902">
            <w:pPr>
              <w:pStyle w:val="39"/>
              <w:spacing w:before="149"/>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456" w:type="dxa"/>
            <w:vAlign w:val="center"/>
          </w:tcPr>
          <w:p w14:paraId="30E69382">
            <w:pPr>
              <w:pStyle w:val="39"/>
              <w:spacing w:before="149"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3.4980</w:t>
            </w:r>
          </w:p>
        </w:tc>
        <w:tc>
          <w:tcPr>
            <w:tcW w:w="1338" w:type="dxa"/>
            <w:vAlign w:val="center"/>
          </w:tcPr>
          <w:p w14:paraId="2A776201">
            <w:pPr>
              <w:pStyle w:val="39"/>
              <w:spacing w:before="149"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2012.12.24</w:t>
            </w:r>
          </w:p>
        </w:tc>
      </w:tr>
      <w:tr w14:paraId="5947A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3" w:type="dxa"/>
            <w:vAlign w:val="center"/>
          </w:tcPr>
          <w:p w14:paraId="06F2AA72">
            <w:pPr>
              <w:pStyle w:val="39"/>
              <w:spacing w:before="159"/>
              <w:jc w:val="center"/>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10</w:t>
            </w:r>
          </w:p>
        </w:tc>
        <w:tc>
          <w:tcPr>
            <w:tcW w:w="1097" w:type="dxa"/>
            <w:vAlign w:val="center"/>
          </w:tcPr>
          <w:p w14:paraId="13C02C83">
            <w:pPr>
              <w:pStyle w:val="39"/>
              <w:spacing w:before="141"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粤A808NN</w:t>
            </w:r>
          </w:p>
        </w:tc>
        <w:tc>
          <w:tcPr>
            <w:tcW w:w="3002" w:type="dxa"/>
            <w:vAlign w:val="center"/>
          </w:tcPr>
          <w:p w14:paraId="1C6FFD61">
            <w:pPr>
              <w:pStyle w:val="39"/>
              <w:spacing w:before="11"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奔驰宾士北地牌</w:t>
            </w:r>
          </w:p>
          <w:p w14:paraId="5C59F4AA">
            <w:pPr>
              <w:pStyle w:val="39"/>
              <w:spacing w:before="22" w:line="194" w:lineRule="auto"/>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ND5043XJH/27297931404</w:t>
            </w:r>
            <w:r>
              <w:rPr>
                <w:rFonts w:hint="eastAsia" w:ascii="仿宋" w:hAnsi="仿宋" w:eastAsia="仿宋" w:cs="仿宋"/>
                <w:color w:val="auto"/>
                <w:spacing w:val="-1"/>
                <w:sz w:val="19"/>
                <w:szCs w:val="19"/>
                <w:highlight w:val="none"/>
              </w:rPr>
              <w:t>038</w:t>
            </w:r>
          </w:p>
        </w:tc>
        <w:tc>
          <w:tcPr>
            <w:tcW w:w="1499" w:type="dxa"/>
            <w:vAlign w:val="center"/>
          </w:tcPr>
          <w:p w14:paraId="5448AE06">
            <w:pPr>
              <w:pStyle w:val="39"/>
              <w:spacing w:before="141"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6C33A36D">
            <w:pPr>
              <w:pStyle w:val="39"/>
              <w:spacing w:before="159"/>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456" w:type="dxa"/>
            <w:vAlign w:val="center"/>
          </w:tcPr>
          <w:p w14:paraId="0CE1FAE3">
            <w:pPr>
              <w:pStyle w:val="39"/>
              <w:spacing w:before="159"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3.4980</w:t>
            </w:r>
          </w:p>
        </w:tc>
        <w:tc>
          <w:tcPr>
            <w:tcW w:w="1338" w:type="dxa"/>
            <w:vAlign w:val="center"/>
          </w:tcPr>
          <w:p w14:paraId="6DA6B83E">
            <w:pPr>
              <w:pStyle w:val="39"/>
              <w:spacing w:before="159"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2011.1.26</w:t>
            </w:r>
          </w:p>
        </w:tc>
      </w:tr>
      <w:tr w14:paraId="294E0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13" w:type="dxa"/>
            <w:vAlign w:val="center"/>
          </w:tcPr>
          <w:p w14:paraId="00ABF81A">
            <w:pPr>
              <w:pStyle w:val="39"/>
              <w:spacing w:before="140" w:line="241" w:lineRule="auto"/>
              <w:jc w:val="center"/>
              <w:rPr>
                <w:rFonts w:hint="eastAsia" w:ascii="仿宋" w:hAnsi="仿宋" w:eastAsia="仿宋" w:cs="仿宋"/>
                <w:color w:val="auto"/>
                <w:sz w:val="19"/>
                <w:szCs w:val="19"/>
                <w:highlight w:val="none"/>
                <w:lang w:val="en-US" w:eastAsia="zh-CN"/>
              </w:rPr>
            </w:pPr>
            <w:r>
              <w:rPr>
                <w:rFonts w:hint="eastAsia" w:ascii="仿宋" w:hAnsi="仿宋" w:eastAsia="仿宋" w:cs="仿宋"/>
                <w:color w:val="auto"/>
                <w:spacing w:val="-6"/>
                <w:sz w:val="19"/>
                <w:szCs w:val="19"/>
                <w:highlight w:val="none"/>
              </w:rPr>
              <w:t>1</w:t>
            </w:r>
            <w:r>
              <w:rPr>
                <w:rFonts w:hint="eastAsia" w:ascii="仿宋" w:hAnsi="仿宋" w:eastAsia="仿宋" w:cs="仿宋"/>
                <w:color w:val="auto"/>
                <w:spacing w:val="-6"/>
                <w:sz w:val="19"/>
                <w:szCs w:val="19"/>
                <w:highlight w:val="none"/>
                <w:lang w:val="en-US" w:eastAsia="zh-CN"/>
              </w:rPr>
              <w:t>1</w:t>
            </w:r>
          </w:p>
        </w:tc>
        <w:tc>
          <w:tcPr>
            <w:tcW w:w="1097" w:type="dxa"/>
            <w:vAlign w:val="center"/>
          </w:tcPr>
          <w:p w14:paraId="682635DB">
            <w:pPr>
              <w:pStyle w:val="39"/>
              <w:spacing w:before="122"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粤A1MC30</w:t>
            </w:r>
          </w:p>
        </w:tc>
        <w:tc>
          <w:tcPr>
            <w:tcW w:w="3002" w:type="dxa"/>
            <w:vAlign w:val="center"/>
          </w:tcPr>
          <w:p w14:paraId="2BE45FDC">
            <w:pPr>
              <w:pStyle w:val="39"/>
              <w:spacing w:before="120" w:line="218"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奔驰北地牌ND5044XJH</w:t>
            </w:r>
          </w:p>
        </w:tc>
        <w:tc>
          <w:tcPr>
            <w:tcW w:w="1499" w:type="dxa"/>
            <w:vAlign w:val="center"/>
          </w:tcPr>
          <w:p w14:paraId="713DB539">
            <w:pPr>
              <w:pStyle w:val="39"/>
              <w:spacing w:before="121"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7F2A6ECA">
            <w:pPr>
              <w:pStyle w:val="39"/>
              <w:spacing w:before="140"/>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456" w:type="dxa"/>
            <w:vAlign w:val="center"/>
          </w:tcPr>
          <w:p w14:paraId="28D18540">
            <w:pPr>
              <w:pStyle w:val="39"/>
              <w:spacing w:before="140"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3.4980</w:t>
            </w:r>
          </w:p>
        </w:tc>
        <w:tc>
          <w:tcPr>
            <w:tcW w:w="1338" w:type="dxa"/>
            <w:vAlign w:val="center"/>
          </w:tcPr>
          <w:p w14:paraId="04B62F0B">
            <w:pPr>
              <w:pStyle w:val="39"/>
              <w:spacing w:before="140"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2015.7.15</w:t>
            </w:r>
          </w:p>
        </w:tc>
      </w:tr>
      <w:tr w14:paraId="49AC2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13" w:type="dxa"/>
            <w:vAlign w:val="center"/>
          </w:tcPr>
          <w:p w14:paraId="0DB73301">
            <w:pPr>
              <w:pStyle w:val="39"/>
              <w:spacing w:before="140"/>
              <w:jc w:val="center"/>
              <w:rPr>
                <w:rFonts w:hint="eastAsia" w:ascii="仿宋" w:hAnsi="仿宋" w:eastAsia="仿宋" w:cs="仿宋"/>
                <w:color w:val="auto"/>
                <w:sz w:val="19"/>
                <w:szCs w:val="19"/>
                <w:highlight w:val="none"/>
                <w:lang w:val="en-US" w:eastAsia="zh-CN"/>
              </w:rPr>
            </w:pPr>
            <w:r>
              <w:rPr>
                <w:rFonts w:hint="eastAsia" w:ascii="仿宋" w:hAnsi="仿宋" w:eastAsia="仿宋" w:cs="仿宋"/>
                <w:color w:val="auto"/>
                <w:spacing w:val="-6"/>
                <w:sz w:val="19"/>
                <w:szCs w:val="19"/>
                <w:highlight w:val="none"/>
              </w:rPr>
              <w:t>1</w:t>
            </w:r>
            <w:r>
              <w:rPr>
                <w:rFonts w:hint="eastAsia" w:ascii="仿宋" w:hAnsi="仿宋" w:eastAsia="仿宋" w:cs="仿宋"/>
                <w:color w:val="auto"/>
                <w:spacing w:val="-6"/>
                <w:sz w:val="19"/>
                <w:szCs w:val="19"/>
                <w:highlight w:val="none"/>
                <w:lang w:val="en-US" w:eastAsia="zh-CN"/>
              </w:rPr>
              <w:t>2</w:t>
            </w:r>
          </w:p>
        </w:tc>
        <w:tc>
          <w:tcPr>
            <w:tcW w:w="1097" w:type="dxa"/>
            <w:vAlign w:val="center"/>
          </w:tcPr>
          <w:p w14:paraId="7D60C403">
            <w:pPr>
              <w:pStyle w:val="39"/>
              <w:spacing w:before="122"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粤A7W5S7</w:t>
            </w:r>
          </w:p>
        </w:tc>
        <w:tc>
          <w:tcPr>
            <w:tcW w:w="3002" w:type="dxa"/>
            <w:vAlign w:val="center"/>
          </w:tcPr>
          <w:p w14:paraId="4913B1AC">
            <w:pPr>
              <w:pStyle w:val="39"/>
              <w:spacing w:before="120" w:line="218"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奔驰北地牌ND5044XJH-3H</w:t>
            </w:r>
          </w:p>
        </w:tc>
        <w:tc>
          <w:tcPr>
            <w:tcW w:w="1499" w:type="dxa"/>
            <w:vAlign w:val="center"/>
          </w:tcPr>
          <w:p w14:paraId="58965A4F">
            <w:pPr>
              <w:pStyle w:val="39"/>
              <w:spacing w:before="121"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227F33F7">
            <w:pPr>
              <w:pStyle w:val="39"/>
              <w:spacing w:before="140"/>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456" w:type="dxa"/>
            <w:vAlign w:val="center"/>
          </w:tcPr>
          <w:p w14:paraId="1D55C0FD">
            <w:pPr>
              <w:pStyle w:val="39"/>
              <w:spacing w:before="140"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3.4980</w:t>
            </w:r>
          </w:p>
        </w:tc>
        <w:tc>
          <w:tcPr>
            <w:tcW w:w="1338" w:type="dxa"/>
            <w:vAlign w:val="center"/>
          </w:tcPr>
          <w:p w14:paraId="3654BC43">
            <w:pPr>
              <w:pStyle w:val="39"/>
              <w:spacing w:before="140"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2018.2.2</w:t>
            </w:r>
          </w:p>
        </w:tc>
      </w:tr>
      <w:tr w14:paraId="2241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13" w:type="dxa"/>
            <w:vAlign w:val="center"/>
          </w:tcPr>
          <w:p w14:paraId="47EB42C0">
            <w:pPr>
              <w:pStyle w:val="39"/>
              <w:spacing w:before="151" w:line="241" w:lineRule="auto"/>
              <w:jc w:val="center"/>
              <w:rPr>
                <w:rFonts w:hint="eastAsia" w:ascii="仿宋" w:hAnsi="仿宋" w:eastAsia="仿宋" w:cs="仿宋"/>
                <w:color w:val="auto"/>
                <w:sz w:val="19"/>
                <w:szCs w:val="19"/>
                <w:highlight w:val="none"/>
                <w:lang w:val="en-US" w:eastAsia="zh-CN"/>
              </w:rPr>
            </w:pPr>
            <w:r>
              <w:rPr>
                <w:rFonts w:hint="eastAsia" w:ascii="仿宋" w:hAnsi="仿宋" w:eastAsia="仿宋" w:cs="仿宋"/>
                <w:color w:val="auto"/>
                <w:spacing w:val="-6"/>
                <w:sz w:val="19"/>
                <w:szCs w:val="19"/>
                <w:highlight w:val="none"/>
              </w:rPr>
              <w:t>1</w:t>
            </w:r>
            <w:r>
              <w:rPr>
                <w:rFonts w:hint="eastAsia" w:ascii="仿宋" w:hAnsi="仿宋" w:eastAsia="仿宋" w:cs="仿宋"/>
                <w:color w:val="auto"/>
                <w:spacing w:val="-6"/>
                <w:sz w:val="19"/>
                <w:szCs w:val="19"/>
                <w:highlight w:val="none"/>
                <w:lang w:val="en-US" w:eastAsia="zh-CN"/>
              </w:rPr>
              <w:t>3</w:t>
            </w:r>
          </w:p>
        </w:tc>
        <w:tc>
          <w:tcPr>
            <w:tcW w:w="1097" w:type="dxa"/>
            <w:vAlign w:val="center"/>
          </w:tcPr>
          <w:p w14:paraId="77839C42">
            <w:pPr>
              <w:pStyle w:val="39"/>
              <w:spacing w:before="133"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粤A5A56B</w:t>
            </w:r>
          </w:p>
        </w:tc>
        <w:tc>
          <w:tcPr>
            <w:tcW w:w="3002" w:type="dxa"/>
            <w:vAlign w:val="center"/>
          </w:tcPr>
          <w:p w14:paraId="26DB40CA">
            <w:pPr>
              <w:pStyle w:val="39"/>
              <w:spacing w:before="131" w:line="218"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奔驰北地牌ND5040XJH-3H</w:t>
            </w:r>
          </w:p>
        </w:tc>
        <w:tc>
          <w:tcPr>
            <w:tcW w:w="1499" w:type="dxa"/>
            <w:vAlign w:val="center"/>
          </w:tcPr>
          <w:p w14:paraId="4B370A04">
            <w:pPr>
              <w:pStyle w:val="39"/>
              <w:spacing w:before="132"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58083CBE">
            <w:pPr>
              <w:pStyle w:val="39"/>
              <w:spacing w:before="151"/>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456" w:type="dxa"/>
            <w:vAlign w:val="center"/>
          </w:tcPr>
          <w:p w14:paraId="24DECAB0">
            <w:pPr>
              <w:pStyle w:val="39"/>
              <w:spacing w:before="151"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3.4980</w:t>
            </w:r>
          </w:p>
        </w:tc>
        <w:tc>
          <w:tcPr>
            <w:tcW w:w="1338" w:type="dxa"/>
            <w:vAlign w:val="center"/>
          </w:tcPr>
          <w:p w14:paraId="5151ABCF">
            <w:pPr>
              <w:pStyle w:val="39"/>
              <w:spacing w:before="151"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2019.2.28</w:t>
            </w:r>
          </w:p>
        </w:tc>
      </w:tr>
      <w:tr w14:paraId="53866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13" w:type="dxa"/>
            <w:vAlign w:val="center"/>
          </w:tcPr>
          <w:p w14:paraId="277E296D">
            <w:pPr>
              <w:pStyle w:val="39"/>
              <w:spacing w:before="162"/>
              <w:jc w:val="center"/>
              <w:rPr>
                <w:rFonts w:hint="eastAsia" w:ascii="仿宋" w:hAnsi="仿宋" w:eastAsia="仿宋" w:cs="仿宋"/>
                <w:color w:val="auto"/>
                <w:sz w:val="19"/>
                <w:szCs w:val="19"/>
                <w:highlight w:val="none"/>
                <w:lang w:val="en-US" w:eastAsia="zh-CN"/>
              </w:rPr>
            </w:pPr>
            <w:r>
              <w:rPr>
                <w:rFonts w:hint="eastAsia" w:ascii="仿宋" w:hAnsi="仿宋" w:eastAsia="仿宋" w:cs="仿宋"/>
                <w:color w:val="auto"/>
                <w:spacing w:val="-6"/>
                <w:sz w:val="19"/>
                <w:szCs w:val="19"/>
                <w:highlight w:val="none"/>
              </w:rPr>
              <w:t>1</w:t>
            </w:r>
            <w:r>
              <w:rPr>
                <w:rFonts w:hint="eastAsia" w:ascii="仿宋" w:hAnsi="仿宋" w:eastAsia="仿宋" w:cs="仿宋"/>
                <w:color w:val="auto"/>
                <w:spacing w:val="-6"/>
                <w:sz w:val="19"/>
                <w:szCs w:val="19"/>
                <w:highlight w:val="none"/>
                <w:lang w:val="en-US" w:eastAsia="zh-CN"/>
              </w:rPr>
              <w:t>4</w:t>
            </w:r>
          </w:p>
        </w:tc>
        <w:tc>
          <w:tcPr>
            <w:tcW w:w="1097" w:type="dxa"/>
            <w:vAlign w:val="center"/>
          </w:tcPr>
          <w:p w14:paraId="1C6BBB50">
            <w:pPr>
              <w:pStyle w:val="39"/>
              <w:spacing w:before="144"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粤A72MW3</w:t>
            </w:r>
          </w:p>
        </w:tc>
        <w:tc>
          <w:tcPr>
            <w:tcW w:w="3002" w:type="dxa"/>
            <w:vAlign w:val="center"/>
          </w:tcPr>
          <w:p w14:paraId="7D0D7361">
            <w:pPr>
              <w:pStyle w:val="39"/>
              <w:spacing w:before="23"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红旗牌</w:t>
            </w:r>
          </w:p>
          <w:p w14:paraId="4806E558">
            <w:pPr>
              <w:pStyle w:val="39"/>
              <w:spacing w:line="205" w:lineRule="auto"/>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XML-5032BXJH/491qed02</w:t>
            </w:r>
            <w:r>
              <w:rPr>
                <w:rFonts w:hint="eastAsia" w:ascii="仿宋" w:hAnsi="仿宋" w:eastAsia="仿宋" w:cs="仿宋"/>
                <w:color w:val="auto"/>
                <w:spacing w:val="-1"/>
                <w:sz w:val="19"/>
                <w:szCs w:val="19"/>
                <w:highlight w:val="none"/>
              </w:rPr>
              <w:t>1262721</w:t>
            </w:r>
          </w:p>
        </w:tc>
        <w:tc>
          <w:tcPr>
            <w:tcW w:w="1499" w:type="dxa"/>
            <w:vAlign w:val="center"/>
          </w:tcPr>
          <w:p w14:paraId="107EBCD6">
            <w:pPr>
              <w:pStyle w:val="39"/>
              <w:spacing w:before="143"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小型普通客车</w:t>
            </w:r>
          </w:p>
        </w:tc>
        <w:tc>
          <w:tcPr>
            <w:tcW w:w="638" w:type="dxa"/>
            <w:vAlign w:val="center"/>
          </w:tcPr>
          <w:p w14:paraId="67E468B8">
            <w:pPr>
              <w:pStyle w:val="39"/>
              <w:spacing w:before="162"/>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5</w:t>
            </w:r>
          </w:p>
        </w:tc>
        <w:tc>
          <w:tcPr>
            <w:tcW w:w="1456" w:type="dxa"/>
            <w:vAlign w:val="center"/>
          </w:tcPr>
          <w:p w14:paraId="66F169FE">
            <w:pPr>
              <w:pStyle w:val="39"/>
              <w:spacing w:before="162"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5"/>
                <w:sz w:val="19"/>
                <w:szCs w:val="19"/>
                <w:highlight w:val="none"/>
              </w:rPr>
              <w:t>1.8</w:t>
            </w:r>
          </w:p>
        </w:tc>
        <w:tc>
          <w:tcPr>
            <w:tcW w:w="1338" w:type="dxa"/>
            <w:vAlign w:val="center"/>
          </w:tcPr>
          <w:p w14:paraId="2D9F1736">
            <w:pPr>
              <w:pStyle w:val="39"/>
              <w:spacing w:before="162"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2021.8.20</w:t>
            </w:r>
          </w:p>
        </w:tc>
      </w:tr>
      <w:tr w14:paraId="7A430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13" w:type="dxa"/>
            <w:vAlign w:val="center"/>
          </w:tcPr>
          <w:p w14:paraId="272A1D14">
            <w:pPr>
              <w:pStyle w:val="39"/>
              <w:spacing w:before="162"/>
              <w:jc w:val="center"/>
              <w:rPr>
                <w:rFonts w:hint="eastAsia" w:ascii="仿宋" w:hAnsi="仿宋" w:eastAsia="仿宋" w:cs="仿宋"/>
                <w:color w:val="auto"/>
                <w:sz w:val="19"/>
                <w:szCs w:val="19"/>
                <w:highlight w:val="none"/>
                <w:lang w:val="en-US" w:eastAsia="zh-CN"/>
              </w:rPr>
            </w:pPr>
            <w:r>
              <w:rPr>
                <w:rFonts w:hint="eastAsia" w:ascii="仿宋" w:hAnsi="仿宋" w:eastAsia="仿宋" w:cs="仿宋"/>
                <w:color w:val="auto"/>
                <w:spacing w:val="-6"/>
                <w:sz w:val="19"/>
                <w:szCs w:val="19"/>
                <w:highlight w:val="none"/>
              </w:rPr>
              <w:t>1</w:t>
            </w:r>
            <w:r>
              <w:rPr>
                <w:rFonts w:hint="eastAsia" w:ascii="仿宋" w:hAnsi="仿宋" w:eastAsia="仿宋" w:cs="仿宋"/>
                <w:color w:val="auto"/>
                <w:spacing w:val="-6"/>
                <w:sz w:val="19"/>
                <w:szCs w:val="19"/>
                <w:highlight w:val="none"/>
                <w:lang w:val="en-US" w:eastAsia="zh-CN"/>
              </w:rPr>
              <w:t>5</w:t>
            </w:r>
          </w:p>
        </w:tc>
        <w:tc>
          <w:tcPr>
            <w:tcW w:w="1097" w:type="dxa"/>
            <w:vAlign w:val="center"/>
          </w:tcPr>
          <w:p w14:paraId="1EBA405C">
            <w:pPr>
              <w:pStyle w:val="39"/>
              <w:spacing w:before="144"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粤AS5203</w:t>
            </w:r>
          </w:p>
        </w:tc>
        <w:tc>
          <w:tcPr>
            <w:tcW w:w="3002" w:type="dxa"/>
            <w:vAlign w:val="center"/>
          </w:tcPr>
          <w:p w14:paraId="40A2F488">
            <w:pPr>
              <w:pStyle w:val="39"/>
              <w:spacing w:before="143"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金龙XMQ5140AXYL</w:t>
            </w:r>
          </w:p>
        </w:tc>
        <w:tc>
          <w:tcPr>
            <w:tcW w:w="1499" w:type="dxa"/>
            <w:vAlign w:val="center"/>
          </w:tcPr>
          <w:p w14:paraId="4081B957">
            <w:pPr>
              <w:pStyle w:val="39"/>
              <w:spacing w:before="13" w:line="204"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大型专用客车</w:t>
            </w:r>
            <w:r>
              <w:rPr>
                <w:rFonts w:hint="eastAsia" w:ascii="仿宋" w:hAnsi="仿宋" w:eastAsia="仿宋" w:cs="仿宋"/>
                <w:color w:val="auto"/>
                <w:spacing w:val="1"/>
                <w:sz w:val="19"/>
                <w:szCs w:val="19"/>
                <w:highlight w:val="none"/>
                <w:lang w:eastAsia="zh-CN"/>
              </w:rPr>
              <w:t>（</w:t>
            </w:r>
            <w:r>
              <w:rPr>
                <w:rFonts w:hint="eastAsia" w:ascii="仿宋" w:hAnsi="仿宋" w:eastAsia="仿宋" w:cs="仿宋"/>
                <w:color w:val="auto"/>
                <w:spacing w:val="1"/>
                <w:sz w:val="19"/>
                <w:szCs w:val="19"/>
                <w:highlight w:val="none"/>
              </w:rPr>
              <w:t>乳腺普查</w:t>
            </w:r>
            <w:r>
              <w:rPr>
                <w:rFonts w:hint="eastAsia" w:ascii="仿宋" w:hAnsi="仿宋" w:eastAsia="仿宋" w:cs="仿宋"/>
                <w:color w:val="auto"/>
                <w:spacing w:val="-5"/>
                <w:sz w:val="19"/>
                <w:szCs w:val="19"/>
                <w:highlight w:val="none"/>
              </w:rPr>
              <w:t>车</w:t>
            </w:r>
            <w:r>
              <w:rPr>
                <w:rFonts w:hint="eastAsia" w:ascii="仿宋" w:hAnsi="仿宋" w:eastAsia="仿宋" w:cs="仿宋"/>
                <w:color w:val="auto"/>
                <w:spacing w:val="-42"/>
                <w:sz w:val="19"/>
                <w:szCs w:val="19"/>
                <w:highlight w:val="none"/>
              </w:rPr>
              <w:t xml:space="preserve"> </w:t>
            </w:r>
            <w:r>
              <w:rPr>
                <w:rFonts w:hint="eastAsia" w:ascii="仿宋" w:hAnsi="仿宋" w:eastAsia="仿宋" w:cs="仿宋"/>
                <w:color w:val="auto"/>
                <w:spacing w:val="-42"/>
                <w:sz w:val="19"/>
                <w:szCs w:val="19"/>
                <w:highlight w:val="none"/>
                <w:lang w:eastAsia="zh-CN"/>
              </w:rPr>
              <w:t>）</w:t>
            </w:r>
          </w:p>
        </w:tc>
        <w:tc>
          <w:tcPr>
            <w:tcW w:w="638" w:type="dxa"/>
            <w:vAlign w:val="center"/>
          </w:tcPr>
          <w:p w14:paraId="2892EE37">
            <w:pPr>
              <w:pStyle w:val="39"/>
              <w:spacing w:before="162"/>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6</w:t>
            </w:r>
          </w:p>
        </w:tc>
        <w:tc>
          <w:tcPr>
            <w:tcW w:w="1456" w:type="dxa"/>
            <w:vAlign w:val="center"/>
          </w:tcPr>
          <w:p w14:paraId="762AD295">
            <w:pPr>
              <w:pStyle w:val="39"/>
              <w:spacing w:before="162"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6.4940</w:t>
            </w:r>
          </w:p>
        </w:tc>
        <w:tc>
          <w:tcPr>
            <w:tcW w:w="1338" w:type="dxa"/>
            <w:vAlign w:val="center"/>
          </w:tcPr>
          <w:p w14:paraId="41EEC335">
            <w:pPr>
              <w:pStyle w:val="39"/>
              <w:spacing w:before="162"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2015.5.28</w:t>
            </w:r>
          </w:p>
        </w:tc>
      </w:tr>
      <w:tr w14:paraId="3FADB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13" w:type="dxa"/>
            <w:vAlign w:val="center"/>
          </w:tcPr>
          <w:p w14:paraId="1A0D514A">
            <w:pPr>
              <w:pStyle w:val="39"/>
              <w:spacing w:before="145"/>
              <w:jc w:val="center"/>
              <w:rPr>
                <w:rFonts w:hint="default" w:ascii="仿宋" w:hAnsi="仿宋" w:eastAsia="仿宋" w:cs="仿宋"/>
                <w:color w:val="auto"/>
                <w:sz w:val="19"/>
                <w:szCs w:val="19"/>
                <w:highlight w:val="none"/>
                <w:lang w:val="en-US" w:eastAsia="zh-CN"/>
              </w:rPr>
            </w:pPr>
            <w:r>
              <w:rPr>
                <w:rFonts w:hint="eastAsia" w:ascii="仿宋" w:hAnsi="仿宋" w:eastAsia="仿宋" w:cs="仿宋"/>
                <w:color w:val="auto"/>
                <w:sz w:val="19"/>
                <w:szCs w:val="19"/>
                <w:highlight w:val="none"/>
                <w:lang w:val="en-US" w:eastAsia="zh-CN"/>
              </w:rPr>
              <w:t>16</w:t>
            </w:r>
          </w:p>
        </w:tc>
        <w:tc>
          <w:tcPr>
            <w:tcW w:w="1097" w:type="dxa"/>
            <w:vAlign w:val="center"/>
          </w:tcPr>
          <w:p w14:paraId="505505F6">
            <w:pPr>
              <w:pStyle w:val="39"/>
              <w:spacing w:before="127"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粤A69KX5</w:t>
            </w:r>
          </w:p>
        </w:tc>
        <w:tc>
          <w:tcPr>
            <w:tcW w:w="3002" w:type="dxa"/>
            <w:vAlign w:val="center"/>
          </w:tcPr>
          <w:p w14:paraId="39B69814">
            <w:pPr>
              <w:pStyle w:val="39"/>
              <w:spacing w:before="125" w:line="218"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北地牌</w:t>
            </w:r>
            <w:r>
              <w:rPr>
                <w:rFonts w:hint="eastAsia" w:ascii="仿宋" w:hAnsi="仿宋" w:eastAsia="仿宋" w:cs="仿宋"/>
                <w:color w:val="auto"/>
                <w:sz w:val="19"/>
                <w:szCs w:val="19"/>
                <w:highlight w:val="none"/>
              </w:rPr>
              <w:t>ND</w:t>
            </w:r>
            <w:r>
              <w:rPr>
                <w:rFonts w:hint="eastAsia" w:ascii="仿宋" w:hAnsi="仿宋" w:eastAsia="仿宋" w:cs="仿宋"/>
                <w:color w:val="auto"/>
                <w:spacing w:val="1"/>
                <w:sz w:val="19"/>
                <w:szCs w:val="19"/>
                <w:highlight w:val="none"/>
              </w:rPr>
              <w:t>5040</w:t>
            </w:r>
            <w:r>
              <w:rPr>
                <w:rFonts w:hint="eastAsia" w:ascii="仿宋" w:hAnsi="仿宋" w:eastAsia="仿宋" w:cs="仿宋"/>
                <w:color w:val="auto"/>
                <w:sz w:val="19"/>
                <w:szCs w:val="19"/>
                <w:highlight w:val="none"/>
              </w:rPr>
              <w:t>XJH</w:t>
            </w:r>
            <w:r>
              <w:rPr>
                <w:rFonts w:hint="eastAsia" w:ascii="仿宋" w:hAnsi="仿宋" w:eastAsia="仿宋" w:cs="仿宋"/>
                <w:color w:val="auto"/>
                <w:spacing w:val="1"/>
                <w:sz w:val="19"/>
                <w:szCs w:val="19"/>
                <w:highlight w:val="none"/>
              </w:rPr>
              <w:t>-</w:t>
            </w:r>
            <w:r>
              <w:rPr>
                <w:rFonts w:hint="eastAsia" w:ascii="仿宋" w:hAnsi="仿宋" w:eastAsia="仿宋" w:cs="仿宋"/>
                <w:color w:val="auto"/>
                <w:sz w:val="19"/>
                <w:szCs w:val="19"/>
                <w:highlight w:val="none"/>
              </w:rPr>
              <w:t>EV</w:t>
            </w:r>
            <w:r>
              <w:rPr>
                <w:rFonts w:hint="eastAsia" w:ascii="仿宋" w:hAnsi="仿宋" w:eastAsia="仿宋" w:cs="仿宋"/>
                <w:color w:val="auto"/>
                <w:spacing w:val="1"/>
                <w:sz w:val="19"/>
                <w:szCs w:val="19"/>
                <w:highlight w:val="none"/>
              </w:rPr>
              <w:t>6</w:t>
            </w:r>
          </w:p>
        </w:tc>
        <w:tc>
          <w:tcPr>
            <w:tcW w:w="1499" w:type="dxa"/>
            <w:vAlign w:val="center"/>
          </w:tcPr>
          <w:p w14:paraId="651C759D">
            <w:pPr>
              <w:pStyle w:val="39"/>
              <w:spacing w:before="126"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19D3994F">
            <w:pPr>
              <w:pStyle w:val="39"/>
              <w:spacing w:before="145"/>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8</w:t>
            </w:r>
          </w:p>
        </w:tc>
        <w:tc>
          <w:tcPr>
            <w:tcW w:w="1456" w:type="dxa"/>
            <w:vAlign w:val="center"/>
          </w:tcPr>
          <w:p w14:paraId="027C9E8B">
            <w:pPr>
              <w:pStyle w:val="39"/>
              <w:spacing w:before="145"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2.0</w:t>
            </w:r>
          </w:p>
        </w:tc>
        <w:tc>
          <w:tcPr>
            <w:tcW w:w="1338" w:type="dxa"/>
            <w:vAlign w:val="center"/>
          </w:tcPr>
          <w:p w14:paraId="27518D21">
            <w:pPr>
              <w:pStyle w:val="39"/>
              <w:spacing w:before="145"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2021.8.27</w:t>
            </w:r>
          </w:p>
        </w:tc>
      </w:tr>
      <w:tr w14:paraId="00E32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13" w:type="dxa"/>
            <w:vAlign w:val="center"/>
          </w:tcPr>
          <w:p w14:paraId="2DB8AD90">
            <w:pPr>
              <w:pStyle w:val="39"/>
              <w:spacing w:before="146" w:line="241" w:lineRule="auto"/>
              <w:jc w:val="center"/>
              <w:rPr>
                <w:rFonts w:hint="default" w:ascii="仿宋" w:hAnsi="仿宋" w:eastAsia="仿宋" w:cs="仿宋"/>
                <w:color w:val="auto"/>
                <w:sz w:val="19"/>
                <w:szCs w:val="19"/>
                <w:highlight w:val="none"/>
                <w:lang w:val="en-US" w:eastAsia="zh-CN"/>
              </w:rPr>
            </w:pPr>
            <w:r>
              <w:rPr>
                <w:rFonts w:hint="eastAsia" w:ascii="仿宋" w:hAnsi="仿宋" w:eastAsia="仿宋" w:cs="仿宋"/>
                <w:color w:val="auto"/>
                <w:sz w:val="19"/>
                <w:szCs w:val="19"/>
                <w:highlight w:val="none"/>
                <w:lang w:val="en-US" w:eastAsia="zh-CN"/>
              </w:rPr>
              <w:t>17</w:t>
            </w:r>
          </w:p>
        </w:tc>
        <w:tc>
          <w:tcPr>
            <w:tcW w:w="1097" w:type="dxa"/>
            <w:vAlign w:val="center"/>
          </w:tcPr>
          <w:p w14:paraId="111080AC">
            <w:pPr>
              <w:pStyle w:val="39"/>
              <w:spacing w:before="128"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粤A6H6K9</w:t>
            </w:r>
          </w:p>
        </w:tc>
        <w:tc>
          <w:tcPr>
            <w:tcW w:w="3002" w:type="dxa"/>
            <w:vAlign w:val="center"/>
          </w:tcPr>
          <w:p w14:paraId="624A30EB">
            <w:pPr>
              <w:pStyle w:val="39"/>
              <w:spacing w:before="126" w:line="218"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北地牌</w:t>
            </w:r>
            <w:r>
              <w:rPr>
                <w:rFonts w:hint="eastAsia" w:ascii="仿宋" w:hAnsi="仿宋" w:eastAsia="仿宋" w:cs="仿宋"/>
                <w:color w:val="auto"/>
                <w:sz w:val="19"/>
                <w:szCs w:val="19"/>
                <w:highlight w:val="none"/>
              </w:rPr>
              <w:t>ND</w:t>
            </w:r>
            <w:r>
              <w:rPr>
                <w:rFonts w:hint="eastAsia" w:ascii="仿宋" w:hAnsi="仿宋" w:eastAsia="仿宋" w:cs="仿宋"/>
                <w:color w:val="auto"/>
                <w:spacing w:val="1"/>
                <w:sz w:val="19"/>
                <w:szCs w:val="19"/>
                <w:highlight w:val="none"/>
              </w:rPr>
              <w:t>5042</w:t>
            </w:r>
            <w:r>
              <w:rPr>
                <w:rFonts w:hint="eastAsia" w:ascii="仿宋" w:hAnsi="仿宋" w:eastAsia="仿宋" w:cs="仿宋"/>
                <w:color w:val="auto"/>
                <w:sz w:val="19"/>
                <w:szCs w:val="19"/>
                <w:highlight w:val="none"/>
              </w:rPr>
              <w:t>XJH</w:t>
            </w:r>
            <w:r>
              <w:rPr>
                <w:rFonts w:hint="eastAsia" w:ascii="仿宋" w:hAnsi="仿宋" w:eastAsia="仿宋" w:cs="仿宋"/>
                <w:color w:val="auto"/>
                <w:spacing w:val="1"/>
                <w:sz w:val="19"/>
                <w:szCs w:val="19"/>
                <w:highlight w:val="none"/>
              </w:rPr>
              <w:t>-</w:t>
            </w:r>
            <w:r>
              <w:rPr>
                <w:rFonts w:hint="eastAsia" w:ascii="仿宋" w:hAnsi="仿宋" w:eastAsia="仿宋" w:cs="仿宋"/>
                <w:color w:val="auto"/>
                <w:sz w:val="19"/>
                <w:szCs w:val="19"/>
                <w:highlight w:val="none"/>
              </w:rPr>
              <w:t>EC</w:t>
            </w:r>
            <w:r>
              <w:rPr>
                <w:rFonts w:hint="eastAsia" w:ascii="仿宋" w:hAnsi="仿宋" w:eastAsia="仿宋" w:cs="仿宋"/>
                <w:color w:val="auto"/>
                <w:spacing w:val="1"/>
                <w:sz w:val="19"/>
                <w:szCs w:val="19"/>
                <w:highlight w:val="none"/>
              </w:rPr>
              <w:t>5</w:t>
            </w:r>
          </w:p>
        </w:tc>
        <w:tc>
          <w:tcPr>
            <w:tcW w:w="1499" w:type="dxa"/>
            <w:vAlign w:val="center"/>
          </w:tcPr>
          <w:p w14:paraId="5DC92341">
            <w:pPr>
              <w:pStyle w:val="39"/>
              <w:spacing w:before="127"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7D23749D">
            <w:pPr>
              <w:pStyle w:val="39"/>
              <w:spacing w:before="146"/>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8</w:t>
            </w:r>
          </w:p>
        </w:tc>
        <w:tc>
          <w:tcPr>
            <w:tcW w:w="1456" w:type="dxa"/>
            <w:vAlign w:val="center"/>
          </w:tcPr>
          <w:p w14:paraId="71E73A40">
            <w:pPr>
              <w:pStyle w:val="39"/>
              <w:spacing w:before="146"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2.0</w:t>
            </w:r>
          </w:p>
        </w:tc>
        <w:tc>
          <w:tcPr>
            <w:tcW w:w="1338" w:type="dxa"/>
            <w:vAlign w:val="center"/>
          </w:tcPr>
          <w:p w14:paraId="49B3E938">
            <w:pPr>
              <w:pStyle w:val="39"/>
              <w:spacing w:before="146"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2021.2.10</w:t>
            </w:r>
          </w:p>
        </w:tc>
      </w:tr>
      <w:tr w14:paraId="49FA8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3" w:type="dxa"/>
            <w:vAlign w:val="center"/>
          </w:tcPr>
          <w:p w14:paraId="574E7F53">
            <w:pPr>
              <w:pStyle w:val="39"/>
              <w:spacing w:before="128" w:line="220" w:lineRule="auto"/>
              <w:jc w:val="center"/>
              <w:rPr>
                <w:rFonts w:hint="default" w:ascii="仿宋" w:hAnsi="仿宋" w:eastAsia="仿宋" w:cs="仿宋"/>
                <w:color w:val="auto"/>
                <w:spacing w:val="-1"/>
                <w:sz w:val="19"/>
                <w:szCs w:val="19"/>
                <w:highlight w:val="none"/>
                <w:lang w:val="en-US" w:eastAsia="zh-CN"/>
              </w:rPr>
            </w:pPr>
            <w:r>
              <w:rPr>
                <w:rFonts w:hint="eastAsia" w:ascii="仿宋" w:hAnsi="仿宋" w:eastAsia="仿宋" w:cs="仿宋"/>
                <w:color w:val="auto"/>
                <w:spacing w:val="-1"/>
                <w:sz w:val="19"/>
                <w:szCs w:val="19"/>
                <w:highlight w:val="none"/>
                <w:lang w:val="en-US" w:eastAsia="zh-CN"/>
              </w:rPr>
              <w:t>18</w:t>
            </w:r>
          </w:p>
        </w:tc>
        <w:tc>
          <w:tcPr>
            <w:tcW w:w="1097" w:type="dxa"/>
            <w:shd w:val="clear" w:color="auto" w:fill="FFFFFF"/>
            <w:vAlign w:val="center"/>
          </w:tcPr>
          <w:p w14:paraId="6CC53A63">
            <w:pPr>
              <w:pStyle w:val="39"/>
              <w:spacing w:before="128" w:line="220" w:lineRule="auto"/>
              <w:jc w:val="center"/>
              <w:rPr>
                <w:rFonts w:hint="eastAsia" w:ascii="仿宋" w:hAnsi="仿宋" w:eastAsia="仿宋" w:cs="仿宋"/>
                <w:color w:val="auto"/>
                <w:spacing w:val="-1"/>
                <w:kern w:val="2"/>
                <w:sz w:val="19"/>
                <w:szCs w:val="19"/>
                <w:highlight w:val="none"/>
                <w:lang w:val="en-US" w:eastAsia="zh-CN" w:bidi="ar-SA"/>
              </w:rPr>
            </w:pPr>
            <w:r>
              <w:rPr>
                <w:rFonts w:hint="eastAsia" w:ascii="仿宋" w:hAnsi="仿宋" w:eastAsia="仿宋" w:cs="仿宋"/>
                <w:color w:val="auto"/>
                <w:spacing w:val="-1"/>
                <w:sz w:val="19"/>
                <w:szCs w:val="19"/>
                <w:highlight w:val="none"/>
                <w:lang w:val="en-US" w:eastAsia="zh-CN"/>
              </w:rPr>
              <w:t>粤AKN703</w:t>
            </w:r>
          </w:p>
        </w:tc>
        <w:tc>
          <w:tcPr>
            <w:tcW w:w="3002" w:type="dxa"/>
            <w:shd w:val="clear" w:color="auto" w:fill="auto"/>
            <w:vAlign w:val="center"/>
          </w:tcPr>
          <w:p w14:paraId="0F5FA8B4">
            <w:pPr>
              <w:pStyle w:val="39"/>
              <w:spacing w:before="128" w:line="220" w:lineRule="auto"/>
              <w:jc w:val="center"/>
              <w:rPr>
                <w:rFonts w:hint="eastAsia" w:ascii="仿宋" w:hAnsi="仿宋" w:eastAsia="仿宋" w:cs="仿宋"/>
                <w:color w:val="auto"/>
                <w:spacing w:val="-1"/>
                <w:kern w:val="2"/>
                <w:sz w:val="19"/>
                <w:szCs w:val="19"/>
                <w:highlight w:val="none"/>
                <w:lang w:val="en-US" w:eastAsia="zh-CN" w:bidi="ar-SA"/>
              </w:rPr>
            </w:pPr>
            <w:r>
              <w:rPr>
                <w:rFonts w:hint="eastAsia" w:ascii="仿宋" w:hAnsi="仿宋" w:eastAsia="仿宋" w:cs="仿宋"/>
                <w:color w:val="auto"/>
                <w:spacing w:val="-1"/>
                <w:sz w:val="19"/>
                <w:szCs w:val="19"/>
                <w:highlight w:val="none"/>
                <w:lang w:val="en-US" w:eastAsia="zh-CN"/>
              </w:rPr>
              <w:t>金龙牌XMQ6606DYD6D</w:t>
            </w:r>
          </w:p>
        </w:tc>
        <w:tc>
          <w:tcPr>
            <w:tcW w:w="1499" w:type="dxa"/>
            <w:shd w:val="clear" w:color="auto" w:fill="auto"/>
            <w:vAlign w:val="center"/>
          </w:tcPr>
          <w:p w14:paraId="4CEF85F5">
            <w:pPr>
              <w:pStyle w:val="39"/>
              <w:spacing w:before="117" w:line="219" w:lineRule="auto"/>
              <w:jc w:val="center"/>
              <w:rPr>
                <w:rFonts w:hint="eastAsia" w:ascii="仿宋" w:hAnsi="仿宋" w:eastAsia="仿宋" w:cs="仿宋"/>
                <w:color w:val="auto"/>
                <w:spacing w:val="3"/>
                <w:kern w:val="2"/>
                <w:sz w:val="19"/>
                <w:szCs w:val="19"/>
                <w:highlight w:val="none"/>
                <w:lang w:val="en-US" w:eastAsia="en-US" w:bidi="ar-SA"/>
              </w:rPr>
            </w:pPr>
            <w:r>
              <w:rPr>
                <w:rFonts w:hint="eastAsia" w:ascii="仿宋" w:hAnsi="仿宋" w:eastAsia="仿宋" w:cs="仿宋"/>
                <w:color w:val="auto"/>
                <w:spacing w:val="3"/>
                <w:sz w:val="19"/>
                <w:szCs w:val="19"/>
                <w:highlight w:val="none"/>
                <w:lang w:val="en-US" w:eastAsia="zh-CN"/>
              </w:rPr>
              <w:t>中型普通客车</w:t>
            </w:r>
          </w:p>
        </w:tc>
        <w:tc>
          <w:tcPr>
            <w:tcW w:w="638" w:type="dxa"/>
            <w:shd w:val="clear" w:color="auto" w:fill="auto"/>
            <w:vAlign w:val="center"/>
          </w:tcPr>
          <w:p w14:paraId="5C7BC3A9">
            <w:pPr>
              <w:pStyle w:val="39"/>
              <w:spacing w:before="136" w:line="241" w:lineRule="auto"/>
              <w:jc w:val="center"/>
              <w:rPr>
                <w:rFonts w:hint="eastAsia" w:ascii="仿宋" w:hAnsi="仿宋" w:eastAsia="仿宋" w:cs="仿宋"/>
                <w:color w:val="auto"/>
                <w:kern w:val="2"/>
                <w:sz w:val="19"/>
                <w:szCs w:val="19"/>
                <w:highlight w:val="none"/>
                <w:lang w:val="en-US" w:eastAsia="zh-CN" w:bidi="ar-SA"/>
              </w:rPr>
            </w:pPr>
            <w:r>
              <w:rPr>
                <w:rFonts w:hint="eastAsia" w:ascii="仿宋" w:hAnsi="仿宋" w:eastAsia="仿宋" w:cs="仿宋"/>
                <w:color w:val="auto"/>
                <w:sz w:val="19"/>
                <w:szCs w:val="19"/>
                <w:highlight w:val="none"/>
                <w:lang w:val="en-US" w:eastAsia="zh-CN"/>
              </w:rPr>
              <w:t>11</w:t>
            </w:r>
          </w:p>
        </w:tc>
        <w:tc>
          <w:tcPr>
            <w:tcW w:w="1456" w:type="dxa"/>
            <w:shd w:val="clear" w:color="auto" w:fill="auto"/>
            <w:vAlign w:val="center"/>
          </w:tcPr>
          <w:p w14:paraId="0ACE04F0">
            <w:pPr>
              <w:pStyle w:val="39"/>
              <w:spacing w:before="136" w:line="239" w:lineRule="auto"/>
              <w:jc w:val="center"/>
              <w:rPr>
                <w:rFonts w:hint="eastAsia" w:ascii="仿宋" w:hAnsi="仿宋" w:eastAsia="仿宋" w:cs="仿宋"/>
                <w:color w:val="auto"/>
                <w:kern w:val="2"/>
                <w:sz w:val="19"/>
                <w:szCs w:val="19"/>
                <w:highlight w:val="none"/>
                <w:lang w:val="en-US" w:eastAsia="zh-CN" w:bidi="ar-SA"/>
              </w:rPr>
            </w:pPr>
            <w:r>
              <w:rPr>
                <w:rFonts w:hint="eastAsia" w:ascii="仿宋" w:hAnsi="仿宋" w:eastAsia="仿宋" w:cs="仿宋"/>
                <w:color w:val="auto"/>
                <w:kern w:val="2"/>
                <w:sz w:val="19"/>
                <w:szCs w:val="19"/>
                <w:highlight w:val="none"/>
                <w:lang w:val="en-US" w:eastAsia="zh-CN" w:bidi="ar-SA"/>
              </w:rPr>
              <w:t>2.36</w:t>
            </w:r>
          </w:p>
        </w:tc>
        <w:tc>
          <w:tcPr>
            <w:tcW w:w="1338" w:type="dxa"/>
            <w:shd w:val="clear" w:color="auto" w:fill="auto"/>
            <w:vAlign w:val="center"/>
          </w:tcPr>
          <w:p w14:paraId="6DE4A4B2">
            <w:pPr>
              <w:pStyle w:val="39"/>
              <w:spacing w:before="117" w:line="219" w:lineRule="auto"/>
              <w:jc w:val="center"/>
              <w:rPr>
                <w:rFonts w:hint="eastAsia" w:ascii="仿宋" w:hAnsi="仿宋" w:eastAsia="仿宋" w:cs="仿宋"/>
                <w:color w:val="auto"/>
                <w:kern w:val="2"/>
                <w:sz w:val="19"/>
                <w:szCs w:val="19"/>
                <w:highlight w:val="none"/>
                <w:lang w:val="en-US" w:eastAsia="zh-CN" w:bidi="ar-SA"/>
              </w:rPr>
            </w:pPr>
            <w:r>
              <w:rPr>
                <w:rFonts w:hint="eastAsia" w:ascii="仿宋" w:hAnsi="仿宋" w:eastAsia="仿宋" w:cs="仿宋"/>
                <w:color w:val="auto"/>
                <w:sz w:val="19"/>
                <w:szCs w:val="19"/>
                <w:highlight w:val="none"/>
                <w:lang w:val="en-US" w:eastAsia="zh-CN"/>
              </w:rPr>
              <w:t>2023.1.18</w:t>
            </w:r>
          </w:p>
        </w:tc>
      </w:tr>
      <w:tr w14:paraId="21349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3" w:type="dxa"/>
            <w:vAlign w:val="center"/>
          </w:tcPr>
          <w:p w14:paraId="45C59B03">
            <w:pPr>
              <w:pStyle w:val="39"/>
              <w:spacing w:before="128" w:line="220" w:lineRule="auto"/>
              <w:jc w:val="center"/>
              <w:rPr>
                <w:rFonts w:hint="default" w:ascii="仿宋" w:hAnsi="仿宋" w:eastAsia="仿宋" w:cs="仿宋"/>
                <w:color w:val="auto"/>
                <w:spacing w:val="-1"/>
                <w:sz w:val="19"/>
                <w:szCs w:val="19"/>
                <w:highlight w:val="none"/>
                <w:lang w:val="en-US" w:eastAsia="zh-CN"/>
              </w:rPr>
            </w:pPr>
            <w:r>
              <w:rPr>
                <w:rFonts w:hint="eastAsia" w:ascii="仿宋" w:hAnsi="仿宋" w:eastAsia="仿宋" w:cs="仿宋"/>
                <w:color w:val="auto"/>
                <w:spacing w:val="-1"/>
                <w:sz w:val="19"/>
                <w:szCs w:val="19"/>
                <w:highlight w:val="none"/>
                <w:lang w:val="en-US" w:eastAsia="zh-CN"/>
              </w:rPr>
              <w:t>19</w:t>
            </w:r>
          </w:p>
        </w:tc>
        <w:tc>
          <w:tcPr>
            <w:tcW w:w="1097" w:type="dxa"/>
            <w:shd w:val="clear" w:color="auto" w:fill="FFFFFF"/>
            <w:vAlign w:val="center"/>
          </w:tcPr>
          <w:p w14:paraId="1AF26E00">
            <w:pPr>
              <w:pStyle w:val="39"/>
              <w:spacing w:before="128" w:line="220" w:lineRule="auto"/>
              <w:jc w:val="center"/>
              <w:rPr>
                <w:rFonts w:hint="eastAsia" w:ascii="仿宋" w:hAnsi="仿宋" w:eastAsia="仿宋" w:cs="仿宋"/>
                <w:color w:val="auto"/>
                <w:spacing w:val="-1"/>
                <w:sz w:val="19"/>
                <w:szCs w:val="19"/>
                <w:highlight w:val="none"/>
                <w:lang w:val="en-US" w:eastAsia="zh-CN"/>
              </w:rPr>
            </w:pPr>
            <w:r>
              <w:rPr>
                <w:rFonts w:hint="eastAsia" w:ascii="仿宋" w:hAnsi="仿宋" w:eastAsia="仿宋" w:cs="仿宋"/>
                <w:color w:val="auto"/>
                <w:spacing w:val="-1"/>
                <w:sz w:val="19"/>
                <w:szCs w:val="19"/>
                <w:highlight w:val="none"/>
                <w:lang w:val="en-US" w:eastAsia="zh-CN"/>
              </w:rPr>
              <w:t>粤A26188D</w:t>
            </w:r>
          </w:p>
        </w:tc>
        <w:tc>
          <w:tcPr>
            <w:tcW w:w="3002" w:type="dxa"/>
            <w:vAlign w:val="center"/>
          </w:tcPr>
          <w:p w14:paraId="0B2FEFAB">
            <w:pPr>
              <w:pStyle w:val="39"/>
              <w:spacing w:before="128" w:line="220" w:lineRule="auto"/>
              <w:jc w:val="center"/>
              <w:rPr>
                <w:rFonts w:hint="eastAsia" w:ascii="仿宋" w:hAnsi="仿宋" w:eastAsia="仿宋" w:cs="仿宋"/>
                <w:color w:val="auto"/>
                <w:spacing w:val="-1"/>
                <w:sz w:val="19"/>
                <w:szCs w:val="19"/>
                <w:highlight w:val="none"/>
                <w:lang w:val="en-US" w:eastAsia="zh-CN"/>
              </w:rPr>
            </w:pPr>
            <w:r>
              <w:rPr>
                <w:rFonts w:hint="eastAsia" w:ascii="仿宋" w:hAnsi="仿宋" w:eastAsia="仿宋" w:cs="仿宋"/>
                <w:color w:val="auto"/>
                <w:spacing w:val="-1"/>
                <w:sz w:val="19"/>
                <w:szCs w:val="19"/>
                <w:highlight w:val="none"/>
                <w:lang w:val="en-US" w:eastAsia="zh-CN"/>
              </w:rPr>
              <w:t>大马牌HKL6600BEV12H</w:t>
            </w:r>
          </w:p>
        </w:tc>
        <w:tc>
          <w:tcPr>
            <w:tcW w:w="1499" w:type="dxa"/>
            <w:vAlign w:val="center"/>
          </w:tcPr>
          <w:p w14:paraId="3053ED88">
            <w:pPr>
              <w:pStyle w:val="39"/>
              <w:spacing w:before="117" w:line="219" w:lineRule="auto"/>
              <w:jc w:val="center"/>
              <w:rPr>
                <w:rFonts w:hint="default" w:ascii="仿宋" w:hAnsi="仿宋" w:eastAsia="仿宋" w:cs="仿宋"/>
                <w:color w:val="auto"/>
                <w:spacing w:val="3"/>
                <w:sz w:val="19"/>
                <w:szCs w:val="19"/>
                <w:highlight w:val="none"/>
                <w:lang w:val="en-US" w:eastAsia="zh-CN"/>
              </w:rPr>
            </w:pPr>
            <w:r>
              <w:rPr>
                <w:rFonts w:hint="eastAsia" w:ascii="仿宋" w:hAnsi="仿宋" w:eastAsia="仿宋" w:cs="仿宋"/>
                <w:color w:val="auto"/>
                <w:spacing w:val="3"/>
                <w:sz w:val="19"/>
                <w:szCs w:val="19"/>
                <w:highlight w:val="none"/>
                <w:lang w:val="en-US" w:eastAsia="zh-CN"/>
              </w:rPr>
              <w:t>中型普通客车</w:t>
            </w:r>
          </w:p>
        </w:tc>
        <w:tc>
          <w:tcPr>
            <w:tcW w:w="638" w:type="dxa"/>
            <w:vAlign w:val="center"/>
          </w:tcPr>
          <w:p w14:paraId="2119A537">
            <w:pPr>
              <w:pStyle w:val="39"/>
              <w:spacing w:before="136" w:line="241" w:lineRule="auto"/>
              <w:jc w:val="center"/>
              <w:rPr>
                <w:rFonts w:hint="default" w:ascii="仿宋" w:hAnsi="仿宋" w:eastAsia="仿宋" w:cs="仿宋"/>
                <w:color w:val="auto"/>
                <w:sz w:val="19"/>
                <w:szCs w:val="19"/>
                <w:highlight w:val="none"/>
                <w:lang w:val="en-US" w:eastAsia="zh-CN"/>
              </w:rPr>
            </w:pPr>
            <w:r>
              <w:rPr>
                <w:rFonts w:hint="eastAsia" w:ascii="仿宋" w:hAnsi="仿宋" w:eastAsia="仿宋" w:cs="仿宋"/>
                <w:color w:val="auto"/>
                <w:sz w:val="19"/>
                <w:szCs w:val="19"/>
                <w:highlight w:val="none"/>
                <w:lang w:val="en-US" w:eastAsia="zh-CN"/>
              </w:rPr>
              <w:t>17</w:t>
            </w:r>
          </w:p>
        </w:tc>
        <w:tc>
          <w:tcPr>
            <w:tcW w:w="1456" w:type="dxa"/>
            <w:vAlign w:val="center"/>
          </w:tcPr>
          <w:p w14:paraId="67F73B81">
            <w:pPr>
              <w:pStyle w:val="39"/>
              <w:spacing w:before="136" w:line="239" w:lineRule="auto"/>
              <w:jc w:val="center"/>
              <w:rPr>
                <w:rFonts w:hint="eastAsia" w:ascii="仿宋" w:hAnsi="仿宋" w:eastAsia="仿宋" w:cs="仿宋"/>
                <w:color w:val="auto"/>
                <w:sz w:val="19"/>
                <w:szCs w:val="19"/>
                <w:highlight w:val="none"/>
                <w:lang w:val="en-US" w:eastAsia="zh-CN"/>
              </w:rPr>
            </w:pPr>
            <w:r>
              <w:rPr>
                <w:rFonts w:hint="eastAsia" w:ascii="仿宋" w:hAnsi="仿宋" w:eastAsia="仿宋" w:cs="仿宋"/>
                <w:color w:val="auto"/>
                <w:sz w:val="19"/>
                <w:szCs w:val="19"/>
                <w:highlight w:val="none"/>
                <w:lang w:val="en-US" w:eastAsia="zh-CN"/>
              </w:rPr>
              <w:t>新能源</w:t>
            </w:r>
          </w:p>
        </w:tc>
        <w:tc>
          <w:tcPr>
            <w:tcW w:w="1338" w:type="dxa"/>
            <w:vAlign w:val="center"/>
          </w:tcPr>
          <w:p w14:paraId="257EC747">
            <w:pPr>
              <w:pStyle w:val="39"/>
              <w:spacing w:before="117" w:line="219" w:lineRule="auto"/>
              <w:jc w:val="center"/>
              <w:rPr>
                <w:rFonts w:hint="default" w:ascii="仿宋" w:hAnsi="仿宋" w:eastAsia="仿宋" w:cs="仿宋"/>
                <w:color w:val="auto"/>
                <w:sz w:val="19"/>
                <w:szCs w:val="19"/>
                <w:highlight w:val="none"/>
                <w:lang w:val="en-US" w:eastAsia="zh-CN"/>
              </w:rPr>
            </w:pPr>
            <w:r>
              <w:rPr>
                <w:rFonts w:hint="eastAsia" w:ascii="仿宋" w:hAnsi="仿宋" w:eastAsia="仿宋" w:cs="仿宋"/>
                <w:color w:val="auto"/>
                <w:sz w:val="19"/>
                <w:szCs w:val="19"/>
                <w:highlight w:val="none"/>
                <w:lang w:val="en-US" w:eastAsia="zh-CN"/>
              </w:rPr>
              <w:t>2024.3.7</w:t>
            </w:r>
          </w:p>
        </w:tc>
      </w:tr>
      <w:tr w14:paraId="3E014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3" w:type="dxa"/>
            <w:vAlign w:val="center"/>
          </w:tcPr>
          <w:p w14:paraId="2D5B264D">
            <w:pPr>
              <w:pStyle w:val="39"/>
              <w:spacing w:before="128" w:line="220" w:lineRule="auto"/>
              <w:jc w:val="center"/>
              <w:rPr>
                <w:rFonts w:hint="default" w:ascii="仿宋" w:hAnsi="仿宋" w:eastAsia="仿宋" w:cs="仿宋"/>
                <w:color w:val="auto"/>
                <w:spacing w:val="-1"/>
                <w:sz w:val="19"/>
                <w:szCs w:val="19"/>
                <w:highlight w:val="none"/>
                <w:lang w:val="en-US" w:eastAsia="zh-CN"/>
              </w:rPr>
            </w:pPr>
            <w:r>
              <w:rPr>
                <w:rFonts w:hint="eastAsia" w:ascii="仿宋" w:hAnsi="仿宋" w:eastAsia="仿宋" w:cs="仿宋"/>
                <w:color w:val="auto"/>
                <w:spacing w:val="-1"/>
                <w:sz w:val="19"/>
                <w:szCs w:val="19"/>
                <w:highlight w:val="none"/>
                <w:lang w:val="en-US" w:eastAsia="zh-CN"/>
              </w:rPr>
              <w:t>20</w:t>
            </w:r>
          </w:p>
        </w:tc>
        <w:tc>
          <w:tcPr>
            <w:tcW w:w="1097" w:type="dxa"/>
            <w:shd w:val="clear" w:color="auto" w:fill="auto"/>
            <w:vAlign w:val="center"/>
          </w:tcPr>
          <w:p w14:paraId="1889262F">
            <w:pPr>
              <w:pStyle w:val="39"/>
              <w:spacing w:before="128" w:line="220" w:lineRule="auto"/>
              <w:jc w:val="center"/>
              <w:rPr>
                <w:rFonts w:hint="eastAsia" w:ascii="仿宋" w:hAnsi="仿宋" w:eastAsia="仿宋" w:cs="仿宋"/>
                <w:color w:val="auto"/>
                <w:spacing w:val="-1"/>
                <w:kern w:val="2"/>
                <w:sz w:val="19"/>
                <w:szCs w:val="19"/>
                <w:highlight w:val="none"/>
                <w:lang w:val="en-US" w:eastAsia="zh-CN" w:bidi="ar-SA"/>
              </w:rPr>
            </w:pPr>
            <w:r>
              <w:rPr>
                <w:rFonts w:hint="eastAsia" w:ascii="仿宋" w:hAnsi="仿宋" w:eastAsia="仿宋" w:cs="仿宋"/>
                <w:color w:val="auto"/>
                <w:spacing w:val="-1"/>
                <w:sz w:val="19"/>
                <w:szCs w:val="19"/>
                <w:highlight w:val="none"/>
                <w:lang w:val="en-US" w:eastAsia="zh-CN"/>
              </w:rPr>
              <w:t>粤A69RBK</w:t>
            </w:r>
          </w:p>
        </w:tc>
        <w:tc>
          <w:tcPr>
            <w:tcW w:w="3002" w:type="dxa"/>
            <w:shd w:val="clear" w:color="auto" w:fill="auto"/>
            <w:vAlign w:val="center"/>
          </w:tcPr>
          <w:p w14:paraId="09D12463">
            <w:pPr>
              <w:pStyle w:val="39"/>
              <w:spacing w:before="117" w:line="219" w:lineRule="auto"/>
              <w:jc w:val="center"/>
              <w:rPr>
                <w:rFonts w:hint="eastAsia" w:ascii="仿宋" w:hAnsi="仿宋" w:eastAsia="仿宋" w:cs="仿宋"/>
                <w:color w:val="auto"/>
                <w:kern w:val="2"/>
                <w:sz w:val="19"/>
                <w:szCs w:val="19"/>
                <w:highlight w:val="none"/>
                <w:lang w:val="en-US" w:eastAsia="zh-CN" w:bidi="ar-SA"/>
              </w:rPr>
            </w:pPr>
            <w:r>
              <w:rPr>
                <w:rFonts w:hint="eastAsia" w:ascii="仿宋" w:hAnsi="仿宋" w:eastAsia="仿宋" w:cs="仿宋"/>
                <w:color w:val="auto"/>
                <w:sz w:val="19"/>
                <w:szCs w:val="19"/>
                <w:highlight w:val="none"/>
                <w:lang w:val="en-US" w:eastAsia="zh-CN"/>
              </w:rPr>
              <w:t>宇舟牌GPY5040XJHJ7</w:t>
            </w:r>
          </w:p>
        </w:tc>
        <w:tc>
          <w:tcPr>
            <w:tcW w:w="1499" w:type="dxa"/>
            <w:shd w:val="clear" w:color="auto" w:fill="auto"/>
            <w:vAlign w:val="center"/>
          </w:tcPr>
          <w:p w14:paraId="30A284CA">
            <w:pPr>
              <w:pStyle w:val="39"/>
              <w:spacing w:before="117" w:line="219" w:lineRule="auto"/>
              <w:jc w:val="center"/>
              <w:rPr>
                <w:rFonts w:hint="eastAsia" w:ascii="仿宋" w:hAnsi="仿宋" w:eastAsia="仿宋" w:cs="仿宋"/>
                <w:color w:val="auto"/>
                <w:kern w:val="2"/>
                <w:sz w:val="19"/>
                <w:szCs w:val="19"/>
                <w:highlight w:val="none"/>
                <w:lang w:val="en-US" w:eastAsia="en-US" w:bidi="ar-SA"/>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shd w:val="clear" w:color="auto" w:fill="auto"/>
            <w:vAlign w:val="center"/>
          </w:tcPr>
          <w:p w14:paraId="7B967F3F">
            <w:pPr>
              <w:pStyle w:val="39"/>
              <w:spacing w:before="136" w:line="241" w:lineRule="auto"/>
              <w:jc w:val="center"/>
              <w:rPr>
                <w:rFonts w:hint="default" w:ascii="仿宋" w:hAnsi="仿宋" w:eastAsia="仿宋" w:cs="仿宋"/>
                <w:color w:val="auto"/>
                <w:kern w:val="2"/>
                <w:sz w:val="19"/>
                <w:szCs w:val="19"/>
                <w:highlight w:val="none"/>
                <w:lang w:val="en-US" w:eastAsia="zh-CN" w:bidi="ar-SA"/>
              </w:rPr>
            </w:pPr>
            <w:r>
              <w:rPr>
                <w:rFonts w:hint="eastAsia" w:ascii="仿宋" w:hAnsi="仿宋" w:eastAsia="仿宋" w:cs="仿宋"/>
                <w:color w:val="auto"/>
                <w:sz w:val="19"/>
                <w:szCs w:val="19"/>
                <w:highlight w:val="none"/>
                <w:lang w:val="en-US" w:eastAsia="zh-CN"/>
              </w:rPr>
              <w:t>7</w:t>
            </w:r>
          </w:p>
        </w:tc>
        <w:tc>
          <w:tcPr>
            <w:tcW w:w="1456" w:type="dxa"/>
            <w:shd w:val="clear" w:color="auto" w:fill="auto"/>
            <w:vAlign w:val="center"/>
          </w:tcPr>
          <w:p w14:paraId="364B9D6E">
            <w:pPr>
              <w:pStyle w:val="39"/>
              <w:spacing w:before="136" w:line="239" w:lineRule="auto"/>
              <w:jc w:val="center"/>
              <w:rPr>
                <w:rFonts w:hint="eastAsia" w:ascii="仿宋" w:hAnsi="仿宋" w:eastAsia="仿宋" w:cs="仿宋"/>
                <w:color w:val="auto"/>
                <w:kern w:val="2"/>
                <w:sz w:val="19"/>
                <w:szCs w:val="19"/>
                <w:highlight w:val="none"/>
                <w:lang w:val="en-US" w:eastAsia="zh-CN" w:bidi="ar-SA"/>
              </w:rPr>
            </w:pPr>
            <w:r>
              <w:rPr>
                <w:rFonts w:hint="eastAsia" w:ascii="仿宋" w:hAnsi="仿宋" w:eastAsia="仿宋" w:cs="仿宋"/>
                <w:color w:val="auto"/>
                <w:sz w:val="19"/>
                <w:szCs w:val="19"/>
                <w:highlight w:val="none"/>
                <w:lang w:val="en-US" w:eastAsia="zh-CN"/>
              </w:rPr>
              <w:t>2.296</w:t>
            </w:r>
          </w:p>
        </w:tc>
        <w:tc>
          <w:tcPr>
            <w:tcW w:w="1338" w:type="dxa"/>
            <w:shd w:val="clear" w:color="auto" w:fill="auto"/>
            <w:vAlign w:val="center"/>
          </w:tcPr>
          <w:p w14:paraId="17C2D0F7">
            <w:pPr>
              <w:pStyle w:val="39"/>
              <w:spacing w:before="117" w:line="219" w:lineRule="auto"/>
              <w:jc w:val="center"/>
              <w:rPr>
                <w:rFonts w:hint="default" w:ascii="仿宋" w:hAnsi="仿宋" w:eastAsia="仿宋" w:cs="仿宋"/>
                <w:color w:val="auto"/>
                <w:kern w:val="2"/>
                <w:sz w:val="19"/>
                <w:szCs w:val="19"/>
                <w:highlight w:val="none"/>
                <w:lang w:val="en-US" w:eastAsia="zh-CN" w:bidi="ar-SA"/>
              </w:rPr>
            </w:pPr>
            <w:r>
              <w:rPr>
                <w:rFonts w:hint="eastAsia" w:ascii="仿宋" w:hAnsi="仿宋" w:eastAsia="仿宋" w:cs="仿宋"/>
                <w:color w:val="auto"/>
                <w:sz w:val="19"/>
                <w:szCs w:val="19"/>
                <w:highlight w:val="none"/>
                <w:lang w:val="en-US" w:eastAsia="zh-CN"/>
              </w:rPr>
              <w:t>2025.3.8</w:t>
            </w:r>
          </w:p>
        </w:tc>
      </w:tr>
      <w:tr w14:paraId="67348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9743" w:type="dxa"/>
            <w:gridSpan w:val="7"/>
            <w:vAlign w:val="center"/>
          </w:tcPr>
          <w:p w14:paraId="501BACF7">
            <w:pPr>
              <w:pStyle w:val="39"/>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19"/>
                <w:szCs w:val="19"/>
                <w:highlight w:val="none"/>
                <w:lang w:val="en-US" w:eastAsia="zh-CN"/>
              </w:rPr>
            </w:pPr>
            <w:r>
              <w:rPr>
                <w:rFonts w:hint="eastAsia" w:ascii="仿宋" w:hAnsi="仿宋" w:eastAsia="仿宋" w:cs="仿宋"/>
                <w:color w:val="auto"/>
                <w:sz w:val="19"/>
                <w:szCs w:val="19"/>
                <w:highlight w:val="none"/>
                <w:lang w:val="en-US" w:eastAsia="zh-CN"/>
              </w:rPr>
              <w:t>注:</w:t>
            </w:r>
          </w:p>
          <w:p w14:paraId="4BA4B96E">
            <w:pPr>
              <w:pStyle w:val="39"/>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19"/>
                <w:szCs w:val="19"/>
                <w:highlight w:val="none"/>
                <w:lang w:val="en-US" w:eastAsia="zh-CN"/>
              </w:rPr>
            </w:pPr>
            <w:r>
              <w:rPr>
                <w:rFonts w:hint="eastAsia" w:ascii="仿宋" w:hAnsi="仿宋" w:eastAsia="仿宋" w:cs="仿宋"/>
                <w:color w:val="auto"/>
                <w:sz w:val="19"/>
                <w:szCs w:val="19"/>
                <w:highlight w:val="none"/>
                <w:lang w:val="en-US" w:eastAsia="zh-CN"/>
              </w:rPr>
              <w:t>1.如清单内的车辆在本项目购买年度内到期报废，则该车辆的商业保险自动减除。</w:t>
            </w:r>
          </w:p>
          <w:p w14:paraId="1672BC22">
            <w:pPr>
              <w:pStyle w:val="39"/>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color w:val="auto"/>
                <w:sz w:val="19"/>
                <w:szCs w:val="19"/>
                <w:highlight w:val="none"/>
                <w:lang w:val="en-US" w:eastAsia="zh-CN"/>
              </w:rPr>
            </w:pPr>
            <w:r>
              <w:rPr>
                <w:rFonts w:hint="eastAsia" w:ascii="仿宋" w:hAnsi="仿宋" w:eastAsia="仿宋" w:cs="仿宋"/>
                <w:color w:val="auto"/>
                <w:sz w:val="19"/>
                <w:szCs w:val="19"/>
                <w:highlight w:val="none"/>
                <w:lang w:val="en-US" w:eastAsia="zh-CN"/>
              </w:rPr>
              <w:t>2.此参保车辆明细表仅做参考使用，在本项目承保期限内，如院方车辆发生报废更新、新增等情况，所参保车辆保险费用按实际产生费用结算。</w:t>
            </w:r>
          </w:p>
        </w:tc>
      </w:tr>
    </w:tbl>
    <w:p w14:paraId="0819FEF7">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三、车辆保险内容</w:t>
      </w:r>
    </w:p>
    <w:p w14:paraId="1B5CDEDA">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2"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（一）投保险种、赔偿限额</w:t>
      </w:r>
    </w:p>
    <w:p w14:paraId="3FA293FF">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1、机动车交通事故责任强制保险（含车船税）；</w:t>
      </w:r>
    </w:p>
    <w:p w14:paraId="4F1440E9">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2、机动车商业险险种：</w:t>
      </w:r>
    </w:p>
    <w:p w14:paraId="57E807E1">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（1）机动车损失险（按参保车辆的实际价值确定）； </w:t>
      </w:r>
    </w:p>
    <w:p w14:paraId="7730D104">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（2）机动车第三者责任险：每车每年保险金额200万元； </w:t>
      </w:r>
    </w:p>
    <w:p w14:paraId="3BD4AF17">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（3）车上人员责任险（含司机险、乘客险）：保险金额5万元/座，以车辆行驶证核定座位数为准。</w:t>
      </w:r>
    </w:p>
    <w:p w14:paraId="5C3DE8B8">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（二）保费费率</w:t>
      </w:r>
    </w:p>
    <w:p w14:paraId="3FA89088">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1、机动车交通事故责任强制保险（含车船税）</w:t>
      </w:r>
    </w:p>
    <w:p w14:paraId="2C377137">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供应商对本项目中的机动车辆交通事故责任强制险（含汽车车船税）按国家金融监督管理总局（原为中国银行保险监督管理委员会）制定的《机动车交通事故责任强制保险费率方案》</w:t>
      </w:r>
      <w:r>
        <w:rPr>
          <w:rFonts w:hint="eastAsia" w:ascii="仿宋" w:hAnsi="仿宋" w:eastAsia="仿宋" w:cs="仿宋"/>
          <w:color w:val="000000" w:themeColor="text1"/>
          <w:sz w:val="24"/>
          <w:szCs w:val="24"/>
          <w:highlight w:val="none"/>
          <w:lang w:val="zh-TW"/>
          <w14:textFill>
            <w14:solidFill>
              <w14:schemeClr w14:val="tx1"/>
            </w14:solidFill>
          </w14:textFill>
        </w:rPr>
        <w:t>（以最新版本为准）</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统一规定执行。</w:t>
      </w:r>
    </w:p>
    <w:p w14:paraId="042CA3AF">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2、机动车商业险</w:t>
      </w:r>
    </w:p>
    <w:p w14:paraId="68321970">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供应商对项目中汽车、特种车的商业保险按《中国保险行业协会机动车综合商业保险示范条款》《中国保险行业协会特种车综合商业保险示范条款》（以最新版本为准）的规定执行。车辆保险价格=中国保险行业协会商业车险费率基准×无赔款优待系数（NCD系数）×自主定价系数。（注：具体费率基准以在国家金融监督管理总局网站“在线服务-查询服务-商业车险示范条款及费率基准查询”栏目查询为准；NCD级数（无赔款优待系数）=出险次数-连续投保年限；根据全国联网的中保信平台反馈数据为准。） </w:t>
      </w:r>
    </w:p>
    <w:p w14:paraId="3023AD42">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（三）保险责任</w:t>
      </w:r>
    </w:p>
    <w:p w14:paraId="0269691A">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在保险期限内，供应商根据采购人选择投保的险种，按照中国保险监督管理委员会批复条款所载明的保险责任承担赔偿。</w:t>
      </w:r>
    </w:p>
    <w:p w14:paraId="59397A37">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四、服务要求</w:t>
      </w:r>
    </w:p>
    <w:p w14:paraId="5BD617F9">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1、供应商须配合采购人对公务用车保险统一承保进行管理。</w:t>
      </w:r>
    </w:p>
    <w:p w14:paraId="27F99642">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2、供应商应设有统一服务热线，提供7天/24小时受理报案、查勘救援、投诉、咨询等服务，同时安排专人负责受理索赔报案，并提供便捷的定损理赔等服务。</w:t>
      </w:r>
    </w:p>
    <w:p w14:paraId="587CEAE8">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3、供应商接到报案通知后，项目服务专员立即开始协助采购人办理后续理赔手续，并对理赔过程进行监</w:t>
      </w:r>
      <w:r>
        <w:rPr>
          <w:rFonts w:hint="eastAsia" w:ascii="仿宋" w:hAnsi="仿宋" w:eastAsia="仿宋" w:cs="仿宋"/>
          <w:b w:val="0"/>
          <w:bCs/>
          <w:color w:val="auto"/>
          <w:sz w:val="24"/>
          <w:szCs w:val="24"/>
          <w:highlight w:val="none"/>
          <w:lang w:val="en-US" w:eastAsia="zh-CN"/>
        </w:rPr>
        <w:t>督与协调，确保优质高效地完成后续理赔工作。</w:t>
      </w:r>
    </w:p>
    <w:p w14:paraId="5253C9C7">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4、为确保定损的速度和质量，充分发挥采购人理赔人员数量多、专业技术好的优势，理赔服务专员可以调度对出险车型专业技术能力更强的定损人员完成本项目出险车辆的定损工作。</w:t>
      </w:r>
    </w:p>
    <w:p w14:paraId="189CDF0E">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供应商在接到采购人的出险报案后需要进行现场查勘的，广州市内（天河区、越秀区、荔湾区、海珠区、白云区）应30分钟内赶到现场，广州市其他区域60分钟内应赶到现场。若采购人的参保车辆在广东省内其他市县出险，供应商应在2小时内到达现场，或由供应商位于出险地的分支机构进行现场查勘与检验定损。</w:t>
      </w:r>
    </w:p>
    <w:p w14:paraId="0E15096D">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6、事故发生后，接到采购人报案后，对于属于保险责任的事故，供应商按照以下约定及时定损：</w:t>
      </w:r>
    </w:p>
    <w:p w14:paraId="60E24D96">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a)1万元以下，1个工作日内定损完毕；</w:t>
      </w:r>
    </w:p>
    <w:p w14:paraId="36458F34">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b)1万元-3 万元，3个工作日内定损完毕；</w:t>
      </w:r>
    </w:p>
    <w:p w14:paraId="4EF30E1D">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c)3万元-5 万元，7个工作日内定损完毕；</w:t>
      </w:r>
    </w:p>
    <w:p w14:paraId="29FFD3D5">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d)特殊情况与采购人协商确定。</w:t>
      </w:r>
    </w:p>
    <w:p w14:paraId="72001C02">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7、在采购人提供完整必要的索赔材料后，供应商承诺按下列约定时限向采购人支付赔款：</w:t>
      </w:r>
    </w:p>
    <w:p w14:paraId="636F479B">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a)1万元以下，1个工作日内赔付；</w:t>
      </w:r>
    </w:p>
    <w:p w14:paraId="5BF60FD7">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b)5万元以下，5个工作日内赔付；</w:t>
      </w:r>
    </w:p>
    <w:p w14:paraId="26FB1961">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c)20万元以下，10个工作日内赔付；</w:t>
      </w:r>
    </w:p>
    <w:p w14:paraId="4A643E12">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d)20万元以上，15个工作日内赔付；</w:t>
      </w:r>
    </w:p>
    <w:p w14:paraId="2B024EDA">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f)特殊情况与采购人协商确定。</w:t>
      </w:r>
    </w:p>
    <w:p w14:paraId="6EAE883A">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8、经供应商查勘现场的轻微人伤案件，人伤损失在3000元以内的，查勘员能现场处理且解决费用支付，供应商给予确认赔付。</w:t>
      </w:r>
    </w:p>
    <w:p w14:paraId="1E95C822">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9、拖车服务。若参保车辆因故障丧失行驶能力，供应商将为采购人联系救援单位，在广州地区提供不限公里数的无偿拖车服务，在广州地区外提供不超过30公里无偿拖车服务（拖车不能进入的场所除外）。</w:t>
      </w:r>
    </w:p>
    <w:p w14:paraId="65E0C570">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10、更换轮胎服务。若参保车辆因爆胎或轮胎漏气而需要换备胎时，广州市范围内供应商将为采购人联系救援单位赶到事发地点提供无偿更换备胎。</w:t>
      </w:r>
    </w:p>
    <w:p w14:paraId="1EA798FC">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11、参保车辆发生人伤事故时，且在明确事故责任后，供应商能提供伤者医疗跟踪、伤残鉴定等咨询服务，要求供应商至少安排一名人伤事故处理经验丰富的人员，专门负责全程跟进医疗核损服务和理赔事宜，并根据伤者病情前往探望、了解病情、核实费用，促进赔案快速、圆满解决。</w:t>
      </w:r>
    </w:p>
    <w:p w14:paraId="7CD283A6">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12、供应商与采购人就赔偿结果无法达成一致，根据采购人的要求，应指定具有国内保险公估营业许可的双方认可的公估公司进行损失理算，并负担有关公估费用。</w:t>
      </w:r>
    </w:p>
    <w:p w14:paraId="70B3F347">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13、如未按约定时间定损，造成财产损失无法确定，以采购人提供的财产损毁照片、损失清单和修理发票作为赔付理算依据。</w:t>
      </w:r>
    </w:p>
    <w:p w14:paraId="530A1771">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14、车辆出险后，除了供应商推荐的修理厂外，采购人可自选资质合格的修理厂及专修厂修理受损车辆；对于采购人自选的资质合格的修理厂及专修厂，供应商予以认可。</w:t>
      </w:r>
    </w:p>
    <w:p w14:paraId="44FC04D4">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15、受损车辆在双方共同认可的资质合格的修理厂或专修厂修理，定损应与修理厂或专修厂共同完成。</w:t>
      </w:r>
    </w:p>
    <w:p w14:paraId="6DADF331">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16、受损车辆的维修以修复为原则，但涉及车辆行车安全的关键零部件（如：刹车系统、转向系统），同意一律予以更换。受损车辆更换零部件为原厂配件。</w:t>
      </w:r>
    </w:p>
    <w:p w14:paraId="1FDA5D9C">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17、采购人所投保的车辆发生财产、人伤保险事故时，供应商按保单给予最高限额赔付，不设免赔金额。</w:t>
      </w:r>
    </w:p>
    <w:p w14:paraId="17BC3A47">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18、商业险按采购人所投保险种金额责任范围核定金额赔偿（含协商赔付），不设免赔赔付金额。</w:t>
      </w:r>
    </w:p>
    <w:p w14:paraId="206AD2BC">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19、对于重大案件或发生纠纷的案件，供应商协助采购人处理事故，提供法律援助服务，避免不必要的损失。</w:t>
      </w:r>
    </w:p>
    <w:p w14:paraId="3E1632B1">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2" w:firstLineChars="175"/>
        <w:jc w:val="left"/>
        <w:textAlignment w:val="auto"/>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auto"/>
          <w:sz w:val="24"/>
          <w:szCs w:val="24"/>
          <w:highlight w:val="none"/>
        </w:rPr>
        <w:t>★</w:t>
      </w:r>
      <w:r>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t>五、报价要求</w:t>
      </w:r>
    </w:p>
    <w:p w14:paraId="5CF7284C">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1、机动车辆交通事故责任强制险按国家金融监督管理总局（原为中国银行保险监督管理委员会）制定的《机动车交通事故责任强制保险费率方案》（以最新版本为准）统一执行，无需供应商报价。</w:t>
      </w:r>
    </w:p>
    <w:p w14:paraId="1DBE62BF">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机动车商业险实际保费=中国保险行业协会商业车险费率基准（下简称“标准保费”）×无赔款优待系数（NCD系数）×自主定价系数，其中标准保费和无赔款优待系数（NCD系数）所包含的基准纯风险保费、交通违法系数等费率均参照中国保险行业协会拟定的费率基准（费率基准编号为F2015103）执行，因此无需对标准保费及无赔款优待系数（NCD系数），</w:t>
      </w:r>
      <w:r>
        <w:rPr>
          <w:rFonts w:hint="eastAsia" w:ascii="仿宋" w:hAnsi="仿宋" w:eastAsia="仿宋" w:cs="仿宋"/>
          <w:b/>
          <w:bCs w:val="0"/>
          <w:color w:val="FF0000"/>
          <w:sz w:val="24"/>
          <w:szCs w:val="24"/>
          <w:highlight w:val="none"/>
          <w:u w:val="single"/>
          <w:lang w:val="en-US" w:eastAsia="zh-CN"/>
        </w:rPr>
        <w:t>供应商仅需对机动车商业险的自主定价系数进行报价</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p>
    <w:p w14:paraId="4DE33DED">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供应商可根据市场供求关系、客户车辆出险等情况确定自主定价系数。根据国家金融监督管理总局（原为中国银行保险监督管理委员会）印发的《中国银保监会关于印发实施车险综合改革指导意见的通知》（银保监发〔2020〕41 号）及《中国银保监会关于进一步扩大商业车险自主定价系数浮动范围等有关事项的通知》（银保监规〔2022〕23号），结合采购人实际情况，</w:t>
      </w:r>
      <w:r>
        <w:rPr>
          <w:rFonts w:hint="eastAsia" w:ascii="仿宋" w:hAnsi="仿宋" w:eastAsia="仿宋" w:cs="仿宋"/>
          <w:b/>
          <w:bCs w:val="0"/>
          <w:color w:val="FF0000"/>
          <w:sz w:val="24"/>
          <w:szCs w:val="24"/>
          <w:highlight w:val="none"/>
          <w:lang w:val="en-US" w:eastAsia="zh-CN"/>
        </w:rPr>
        <w:t>本项目商业车险自主定价系数须为50%-100%之间的特定数值，且报价是固定唯一，不能为区间值，超出范围视为无效响应</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p>
    <w:p w14:paraId="0C773C3C">
      <w:pPr>
        <w:pStyle w:val="26"/>
        <w:keepNext w:val="0"/>
        <w:keepLines w:val="0"/>
        <w:pageBreakBefore w:val="0"/>
        <w:kinsoku/>
        <w:wordWrap/>
        <w:overflowPunct/>
        <w:topLinePunct w:val="0"/>
        <w:bidi w:val="0"/>
        <w:adjustRightInd w:val="0"/>
        <w:snapToGrid w:val="0"/>
        <w:spacing w:line="360" w:lineRule="exact"/>
        <w:ind w:left="0" w:firstLine="482"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、结算方式</w:t>
      </w:r>
    </w:p>
    <w:p w14:paraId="4056CDEF">
      <w:pPr>
        <w:pStyle w:val="18"/>
        <w:keepNext w:val="0"/>
        <w:keepLines w:val="0"/>
        <w:pageBreakBefore w:val="0"/>
        <w:widowControl w:val="0"/>
        <w:numPr>
          <w:ilvl w:val="0"/>
          <w:numId w:val="2"/>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保险费按实际购买车辆数据实结算。车辆保险到期前1个月内，供应商须提供服务专员主动上门服务，负责与采购人及时签订车辆保险单，并将《保费缴款通知书》（包含承保车辆明细信息）和支付车辆保险费用的申请送交采购人。经双方对服务车辆清单及费用确认后，采购人对保费予以结算，并在满足支付条件后30日内一次性支付保险费用，供应商根据采购人所支付的保费金额出具合法有效发票和保单，累计支付上限最高不超过25万元。</w:t>
      </w:r>
    </w:p>
    <w:p w14:paraId="48EA8924">
      <w:pPr>
        <w:pStyle w:val="26"/>
        <w:keepNext w:val="0"/>
        <w:keepLines w:val="0"/>
        <w:pageBreakBefore w:val="0"/>
        <w:numPr>
          <w:ilvl w:val="0"/>
          <w:numId w:val="2"/>
        </w:numPr>
        <w:kinsoku/>
        <w:wordWrap/>
        <w:overflowPunct/>
        <w:topLinePunct w:val="0"/>
        <w:bidi w:val="0"/>
        <w:adjustRightInd w:val="0"/>
        <w:snapToGrid w:val="0"/>
        <w:spacing w:line="360" w:lineRule="exact"/>
        <w:ind w:left="0" w:leftChars="0" w:firstLine="420" w:firstLineChars="175"/>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付款方式：采用</w:t>
      </w:r>
      <w:r>
        <w:rPr>
          <w:rFonts w:hint="eastAsia" w:ascii="仿宋" w:hAnsi="仿宋" w:eastAsia="仿宋" w:cs="仿宋"/>
          <w:color w:val="auto"/>
          <w:sz w:val="24"/>
          <w:szCs w:val="24"/>
          <w:highlight w:val="none"/>
          <w:lang w:val="en-US" w:eastAsia="zh-CN"/>
        </w:rPr>
        <w:t>银行转账</w:t>
      </w:r>
      <w:r>
        <w:rPr>
          <w:rFonts w:hint="eastAsia" w:ascii="仿宋" w:hAnsi="仿宋" w:eastAsia="仿宋" w:cs="仿宋"/>
          <w:color w:val="auto"/>
          <w:sz w:val="24"/>
          <w:szCs w:val="24"/>
          <w:highlight w:val="none"/>
        </w:rPr>
        <w:t>形式。</w:t>
      </w:r>
    </w:p>
    <w:p w14:paraId="4FB7979C">
      <w:pPr>
        <w:pStyle w:val="26"/>
        <w:keepNext w:val="0"/>
        <w:keepLines w:val="0"/>
        <w:pageBreakBefore w:val="0"/>
        <w:numPr>
          <w:ilvl w:val="0"/>
          <w:numId w:val="0"/>
        </w:numPr>
        <w:kinsoku/>
        <w:wordWrap/>
        <w:overflowPunct/>
        <w:topLinePunct w:val="0"/>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七、违约责任与赔偿损失</w:t>
      </w:r>
    </w:p>
    <w:p w14:paraId="35A7FE83">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1、供应商提供的服务不符合本合同规定的，采购人有权拒收，并且供应商须向采购人支付本合同总价5%的违约金。</w:t>
      </w:r>
    </w:p>
    <w:p w14:paraId="7EA5924E">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2、供应商未能按本项目合同规定的时间提供承诺的服务，从逾期之日起每日按本合同总价3‰的数额向采购人支付违约金；逾期半个月以上的，采购人有权终止合同，由此造成的采购人经济损失由供应商承担。</w:t>
      </w:r>
    </w:p>
    <w:p w14:paraId="33AB0403">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3、其他违约责任按《中华人民共和国民法典》处理。</w:t>
      </w:r>
    </w:p>
    <w:p w14:paraId="3D58FFC5">
      <w:pPr>
        <w:pStyle w:val="26"/>
        <w:keepNext w:val="0"/>
        <w:keepLines w:val="0"/>
        <w:pageBreakBefore w:val="0"/>
        <w:numPr>
          <w:ilvl w:val="0"/>
          <w:numId w:val="0"/>
        </w:numPr>
        <w:kinsoku/>
        <w:wordWrap/>
        <w:overflowPunct/>
        <w:topLinePunct w:val="0"/>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八、其他</w:t>
      </w:r>
    </w:p>
    <w:p w14:paraId="496591EF">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如因国家相关政策发生变化，应以最新的国家相关政策为准并进行执行，如因国家相关政策发生变化而导致本次项目的合同无法继续执行，采购人不承担任何责任，供应商自行承担由此带来的任何风险及后果。</w:t>
      </w:r>
    </w:p>
    <w:p w14:paraId="00B11EE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2" w:firstLineChars="200"/>
        <w:textAlignment w:val="auto"/>
        <w:rPr>
          <w:rFonts w:hint="eastAsia" w:ascii="仿宋" w:hAnsi="仿宋" w:eastAsia="仿宋" w:cs="仿宋"/>
          <w:b/>
          <w:bCs w:val="0"/>
          <w:color w:val="000000"/>
          <w:sz w:val="24"/>
          <w:szCs w:val="24"/>
          <w:highlight w:val="none"/>
          <w:lang w:val="en-US" w:eastAsia="zh-CN"/>
        </w:rPr>
      </w:pPr>
    </w:p>
    <w:p w14:paraId="2953EC0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2" w:firstLineChars="200"/>
        <w:textAlignment w:val="auto"/>
        <w:rPr>
          <w:rFonts w:hint="eastAsia" w:ascii="仿宋" w:hAnsi="仿宋" w:eastAsia="仿宋" w:cs="仿宋"/>
          <w:b/>
          <w:bCs w:val="0"/>
          <w:color w:val="000000"/>
          <w:sz w:val="24"/>
          <w:szCs w:val="24"/>
          <w:highlight w:val="none"/>
          <w:lang w:val="en-US" w:eastAsia="zh-CN"/>
        </w:rPr>
      </w:pPr>
    </w:p>
    <w:p w14:paraId="5C38CDBE">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2" w:firstLineChars="200"/>
        <w:textAlignment w:val="auto"/>
        <w:rPr>
          <w:rFonts w:hint="eastAsia" w:ascii="仿宋" w:hAnsi="仿宋" w:eastAsia="仿宋" w:cs="仿宋"/>
          <w:b/>
          <w:bCs w:val="0"/>
          <w:color w:val="000000"/>
          <w:sz w:val="24"/>
          <w:szCs w:val="24"/>
          <w:highlight w:val="none"/>
          <w:lang w:val="en-US" w:eastAsia="zh-CN"/>
        </w:rPr>
      </w:pPr>
    </w:p>
    <w:p w14:paraId="14E435F5">
      <w:pPr>
        <w:pStyle w:val="24"/>
        <w:rPr>
          <w:rFonts w:hint="eastAsia"/>
          <w:highlight w:val="none"/>
        </w:rPr>
      </w:pPr>
    </w:p>
    <w:p w14:paraId="03254B5D">
      <w:pPr>
        <w:pStyle w:val="24"/>
        <w:rPr>
          <w:rFonts w:hint="eastAsia"/>
          <w:highlight w:val="none"/>
        </w:rPr>
      </w:pPr>
    </w:p>
    <w:p w14:paraId="335A87D0">
      <w:pPr>
        <w:pStyle w:val="24"/>
        <w:rPr>
          <w:rFonts w:hint="eastAsia"/>
          <w:highlight w:val="none"/>
        </w:rPr>
      </w:pPr>
    </w:p>
    <w:p w14:paraId="0DD6675B">
      <w:pPr>
        <w:pStyle w:val="24"/>
        <w:rPr>
          <w:rFonts w:hint="eastAsia"/>
          <w:highlight w:val="none"/>
        </w:rPr>
      </w:pPr>
    </w:p>
    <w:p w14:paraId="5BA0842F">
      <w:pPr>
        <w:pStyle w:val="24"/>
        <w:rPr>
          <w:rFonts w:hint="eastAsia"/>
          <w:highlight w:val="none"/>
        </w:rPr>
      </w:pPr>
    </w:p>
    <w:p w14:paraId="269407E0">
      <w:pPr>
        <w:pStyle w:val="24"/>
        <w:rPr>
          <w:rFonts w:hint="eastAsia"/>
          <w:highlight w:val="none"/>
        </w:rPr>
      </w:pPr>
    </w:p>
    <w:p w14:paraId="09B3F94F">
      <w:pPr>
        <w:pStyle w:val="24"/>
        <w:rPr>
          <w:rFonts w:hint="eastAsia"/>
          <w:highlight w:val="none"/>
        </w:rPr>
      </w:pPr>
    </w:p>
    <w:p w14:paraId="7E8760EE">
      <w:pPr>
        <w:pStyle w:val="24"/>
        <w:rPr>
          <w:rFonts w:hint="eastAsia"/>
          <w:highlight w:val="none"/>
        </w:rPr>
      </w:pPr>
    </w:p>
    <w:p w14:paraId="2680F638">
      <w:pPr>
        <w:pStyle w:val="24"/>
        <w:rPr>
          <w:rFonts w:hint="eastAsia"/>
          <w:highlight w:val="none"/>
        </w:rPr>
      </w:pPr>
    </w:p>
    <w:p w14:paraId="3F158CD3">
      <w:pPr>
        <w:pStyle w:val="24"/>
        <w:rPr>
          <w:rFonts w:hint="eastAsia"/>
          <w:highlight w:val="none"/>
        </w:rPr>
      </w:pPr>
    </w:p>
    <w:p w14:paraId="791ED1C8">
      <w:pPr>
        <w:pStyle w:val="18"/>
        <w:rPr>
          <w:rFonts w:hint="eastAsia" w:ascii="微软雅黑" w:hAnsi="微软雅黑" w:eastAsia="微软雅黑" w:cs="微软雅黑"/>
          <w:color w:val="000000"/>
          <w:highlight w:val="none"/>
        </w:rPr>
      </w:pPr>
    </w:p>
    <w:p w14:paraId="04AC42F6">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61C06CA">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CB6045D">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D67224D">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20A24F62">
      <w:pPr>
        <w:pStyle w:val="26"/>
        <w:rPr>
          <w:rFonts w:hint="eastAsia"/>
          <w:color w:val="000000"/>
          <w:highlight w:val="none"/>
        </w:rPr>
      </w:pPr>
    </w:p>
    <w:p w14:paraId="711D7E37">
      <w:pPr>
        <w:pStyle w:val="26"/>
        <w:rPr>
          <w:rFonts w:hint="eastAsia"/>
          <w:color w:val="000000"/>
          <w:highlight w:val="none"/>
        </w:rPr>
      </w:pPr>
    </w:p>
    <w:p w14:paraId="69F5DBD4">
      <w:pPr>
        <w:pStyle w:val="26"/>
        <w:rPr>
          <w:rFonts w:hint="eastAsia"/>
          <w:color w:val="000000"/>
          <w:highlight w:val="none"/>
        </w:rPr>
      </w:pPr>
    </w:p>
    <w:p w14:paraId="60344E0F">
      <w:pPr>
        <w:pStyle w:val="26"/>
        <w:rPr>
          <w:rFonts w:hint="eastAsia"/>
          <w:color w:val="000000"/>
          <w:highlight w:val="none"/>
        </w:rPr>
      </w:pPr>
    </w:p>
    <w:p w14:paraId="4890433F">
      <w:pPr>
        <w:pStyle w:val="26"/>
        <w:rPr>
          <w:rFonts w:hint="eastAsia"/>
          <w:color w:val="000000"/>
          <w:highlight w:val="none"/>
        </w:rPr>
      </w:pPr>
    </w:p>
    <w:p w14:paraId="25F80A85">
      <w:pPr>
        <w:pStyle w:val="26"/>
        <w:rPr>
          <w:rFonts w:hint="eastAsia"/>
          <w:color w:val="000000"/>
          <w:highlight w:val="none"/>
        </w:rPr>
      </w:pPr>
    </w:p>
    <w:p w14:paraId="713F8C25">
      <w:pPr>
        <w:pStyle w:val="26"/>
        <w:rPr>
          <w:rFonts w:hint="eastAsia"/>
          <w:color w:val="000000"/>
          <w:highlight w:val="none"/>
        </w:rPr>
      </w:pPr>
    </w:p>
    <w:p w14:paraId="7BF76161">
      <w:pPr>
        <w:pStyle w:val="26"/>
        <w:rPr>
          <w:rFonts w:hint="eastAsia"/>
          <w:color w:val="000000"/>
          <w:highlight w:val="none"/>
        </w:rPr>
      </w:pPr>
    </w:p>
    <w:p w14:paraId="0B091919">
      <w:pPr>
        <w:pStyle w:val="26"/>
        <w:rPr>
          <w:rFonts w:hint="eastAsia"/>
          <w:color w:val="000000"/>
          <w:highlight w:val="none"/>
        </w:rPr>
      </w:pPr>
    </w:p>
    <w:p w14:paraId="68C98261">
      <w:pPr>
        <w:pStyle w:val="26"/>
        <w:rPr>
          <w:rFonts w:hint="eastAsia"/>
          <w:color w:val="000000"/>
          <w:highlight w:val="none"/>
        </w:rPr>
      </w:pPr>
    </w:p>
    <w:p w14:paraId="6F6AD690">
      <w:pPr>
        <w:pStyle w:val="26"/>
        <w:rPr>
          <w:rFonts w:hint="eastAsia"/>
          <w:color w:val="000000"/>
          <w:highlight w:val="none"/>
        </w:rPr>
      </w:pPr>
    </w:p>
    <w:p w14:paraId="6EAB4FC9">
      <w:pPr>
        <w:pStyle w:val="26"/>
        <w:rPr>
          <w:rFonts w:hint="eastAsia"/>
          <w:color w:val="000000"/>
          <w:highlight w:val="none"/>
        </w:rPr>
      </w:pPr>
    </w:p>
    <w:p w14:paraId="0A2BB9E2">
      <w:pPr>
        <w:pStyle w:val="26"/>
        <w:rPr>
          <w:rFonts w:hint="eastAsia"/>
          <w:color w:val="000000"/>
          <w:highlight w:val="none"/>
        </w:rPr>
      </w:pPr>
    </w:p>
    <w:p w14:paraId="0CFBF047">
      <w:pPr>
        <w:pStyle w:val="26"/>
        <w:rPr>
          <w:rFonts w:hint="eastAsia"/>
          <w:color w:val="000000"/>
          <w:highlight w:val="none"/>
        </w:rPr>
      </w:pPr>
    </w:p>
    <w:p w14:paraId="0C75579C">
      <w:pPr>
        <w:pStyle w:val="26"/>
        <w:rPr>
          <w:rFonts w:hint="eastAsia"/>
          <w:color w:val="000000"/>
          <w:highlight w:val="none"/>
        </w:rPr>
      </w:pPr>
    </w:p>
    <w:p w14:paraId="19B892A5">
      <w:pPr>
        <w:pStyle w:val="26"/>
        <w:rPr>
          <w:rFonts w:hint="eastAsia"/>
          <w:color w:val="000000"/>
          <w:highlight w:val="none"/>
        </w:rPr>
      </w:pPr>
    </w:p>
    <w:p w14:paraId="5D9772DF">
      <w:pPr>
        <w:pStyle w:val="26"/>
        <w:rPr>
          <w:rFonts w:hint="eastAsia"/>
          <w:color w:val="000000"/>
          <w:highlight w:val="none"/>
        </w:rPr>
      </w:pPr>
    </w:p>
    <w:p w14:paraId="706DAF68">
      <w:pPr>
        <w:pStyle w:val="26"/>
        <w:rPr>
          <w:rFonts w:hint="eastAsia"/>
          <w:color w:val="000000"/>
          <w:highlight w:val="none"/>
        </w:rPr>
      </w:pPr>
    </w:p>
    <w:p w14:paraId="4155099F">
      <w:pPr>
        <w:pStyle w:val="26"/>
        <w:rPr>
          <w:rFonts w:hint="eastAsia"/>
          <w:color w:val="000000"/>
          <w:highlight w:val="none"/>
        </w:rPr>
      </w:pPr>
    </w:p>
    <w:p w14:paraId="67FF39B6">
      <w:pPr>
        <w:pStyle w:val="26"/>
        <w:rPr>
          <w:rFonts w:hint="eastAsia"/>
          <w:color w:val="000000"/>
          <w:highlight w:val="none"/>
        </w:rPr>
      </w:pPr>
    </w:p>
    <w:p w14:paraId="1FB2C232">
      <w:pPr>
        <w:pStyle w:val="26"/>
        <w:rPr>
          <w:rFonts w:hint="eastAsia"/>
          <w:color w:val="000000"/>
          <w:highlight w:val="none"/>
        </w:rPr>
      </w:pPr>
    </w:p>
    <w:p w14:paraId="2BB9883B">
      <w:pPr>
        <w:pStyle w:val="26"/>
        <w:rPr>
          <w:rFonts w:hint="eastAsia"/>
          <w:color w:val="000000"/>
          <w:highlight w:val="none"/>
        </w:rPr>
      </w:pPr>
    </w:p>
    <w:p w14:paraId="020E775D">
      <w:pPr>
        <w:pStyle w:val="26"/>
        <w:rPr>
          <w:rFonts w:hint="eastAsia"/>
          <w:color w:val="000000"/>
          <w:highlight w:val="none"/>
        </w:rPr>
      </w:pPr>
    </w:p>
    <w:p w14:paraId="1D5B48B5">
      <w:pPr>
        <w:pStyle w:val="26"/>
        <w:rPr>
          <w:rFonts w:hint="eastAsia"/>
          <w:color w:val="000000"/>
          <w:highlight w:val="none"/>
        </w:rPr>
      </w:pPr>
    </w:p>
    <w:p w14:paraId="2EB240AB">
      <w:pPr>
        <w:pStyle w:val="26"/>
        <w:rPr>
          <w:rFonts w:hint="eastAsia"/>
          <w:color w:val="000000"/>
          <w:highlight w:val="none"/>
        </w:rPr>
      </w:pPr>
    </w:p>
    <w:p w14:paraId="42B41C5F">
      <w:pPr>
        <w:pageBreakBefore w:val="0"/>
        <w:numPr>
          <w:ilvl w:val="0"/>
          <w:numId w:val="0"/>
        </w:numPr>
        <w:kinsoku/>
        <w:wordWrap/>
        <w:overflowPunct/>
        <w:topLinePunct w:val="0"/>
        <w:bidi w:val="0"/>
        <w:spacing w:line="360" w:lineRule="auto"/>
        <w:ind w:leftChars="200" w:right="0" w:rightChars="0"/>
        <w:jc w:val="center"/>
        <w:outlineLvl w:val="1"/>
        <w:rPr>
          <w:rFonts w:hint="eastAsia" w:ascii="华文中宋" w:hAnsi="华文中宋" w:eastAsia="华文中宋" w:cs="华文中宋"/>
          <w:b/>
          <w:bCs/>
          <w:color w:val="000000" w:themeColor="text1"/>
          <w:sz w:val="36"/>
          <w:szCs w:val="36"/>
          <w:highlight w:val="none"/>
          <w14:textFill>
            <w14:solidFill>
              <w14:schemeClr w14:val="tx1"/>
            </w14:solidFill>
          </w14:textFill>
        </w:rPr>
      </w:pPr>
      <w:r>
        <w:rPr>
          <w:rFonts w:hint="eastAsia" w:ascii="华文中宋" w:hAnsi="华文中宋" w:eastAsia="华文中宋" w:cs="华文中宋"/>
          <w:b/>
          <w:bCs/>
          <w:color w:val="000000" w:themeColor="text1"/>
          <w:sz w:val="36"/>
          <w:szCs w:val="36"/>
          <w:highlight w:val="none"/>
          <w14:textFill>
            <w14:solidFill>
              <w14:schemeClr w14:val="tx1"/>
            </w14:solidFill>
          </w14:textFill>
        </w:rPr>
        <w:t>响应须知</w:t>
      </w:r>
    </w:p>
    <w:p w14:paraId="34306E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一、响应文件基本要求</w:t>
      </w:r>
    </w:p>
    <w:p w14:paraId="2DF226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的响应文件必须满足本次采购的实质目的，完全实现所应有的全部要求。供应商若存在任何理解上无法确定之处，均应当按照谈判文件所规定的响应前的澄清等程序提出，否则，可能导致的任何不利后果均应当由供应商自行承担。</w:t>
      </w:r>
    </w:p>
    <w:p w14:paraId="34EFE7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二、响应文件格式</w:t>
      </w:r>
    </w:p>
    <w:p w14:paraId="5941B0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须按本</w:t>
      </w:r>
      <w:r>
        <w:rPr>
          <w:rFonts w:hint="eastAsia" w:ascii="仿宋" w:hAnsi="仿宋" w:eastAsia="仿宋" w:cs="仿宋"/>
          <w:color w:val="000000" w:themeColor="text1"/>
          <w:sz w:val="24"/>
          <w:szCs w:val="24"/>
          <w:highlight w:val="none"/>
          <w:lang w:val="en-US" w:eastAsia="zh-CN"/>
          <w14:textFill>
            <w14:solidFill>
              <w14:schemeClr w14:val="tx1"/>
            </w14:solidFill>
          </w14:textFill>
        </w:rPr>
        <w:t>谈判文件</w:t>
      </w:r>
      <w:r>
        <w:rPr>
          <w:rFonts w:hint="eastAsia" w:ascii="仿宋" w:hAnsi="仿宋" w:eastAsia="仿宋" w:cs="仿宋"/>
          <w:color w:val="000000" w:themeColor="text1"/>
          <w:sz w:val="24"/>
          <w:szCs w:val="24"/>
          <w:highlight w:val="none"/>
          <w14:textFill>
            <w14:solidFill>
              <w14:schemeClr w14:val="tx1"/>
            </w14:solidFill>
          </w14:textFill>
        </w:rPr>
        <w:t>中提供的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响应文件编制要求</w:t>
      </w:r>
      <w:r>
        <w:rPr>
          <w:rFonts w:hint="eastAsia" w:ascii="仿宋" w:hAnsi="仿宋" w:eastAsia="仿宋" w:cs="仿宋"/>
          <w:color w:val="000000" w:themeColor="text1"/>
          <w:sz w:val="24"/>
          <w:szCs w:val="24"/>
          <w:highlight w:val="none"/>
          <w14:textFill>
            <w14:solidFill>
              <w14:schemeClr w14:val="tx1"/>
            </w14:solidFill>
          </w14:textFill>
        </w:rPr>
        <w:t>（见</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第五章</w:t>
      </w:r>
      <w:r>
        <w:rPr>
          <w:rFonts w:hint="eastAsia" w:ascii="仿宋" w:hAnsi="仿宋" w:eastAsia="仿宋" w:cs="仿宋"/>
          <w:color w:val="000000" w:themeColor="text1"/>
          <w:sz w:val="24"/>
          <w:szCs w:val="24"/>
          <w:highlight w:val="none"/>
          <w14:textFill>
            <w14:solidFill>
              <w14:schemeClr w14:val="tx1"/>
            </w14:solidFill>
          </w14:textFill>
        </w:rPr>
        <w:t>）以A4版面统一编制（每份内页须按顺序加注页码），以及按有关要求提供相关的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证明</w:t>
      </w:r>
      <w:r>
        <w:rPr>
          <w:rFonts w:hint="eastAsia" w:ascii="仿宋" w:hAnsi="仿宋" w:eastAsia="仿宋" w:cs="仿宋"/>
          <w:color w:val="000000" w:themeColor="text1"/>
          <w:sz w:val="24"/>
          <w:szCs w:val="24"/>
          <w:highlight w:val="none"/>
          <w14:textFill>
            <w14:solidFill>
              <w14:schemeClr w14:val="tx1"/>
            </w14:solidFill>
          </w14:textFill>
        </w:rPr>
        <w:t>资料等。</w:t>
      </w:r>
    </w:p>
    <w:p w14:paraId="4621CA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三、响应</w:t>
      </w:r>
      <w:r>
        <w:rPr>
          <w:rFonts w:hint="eastAsia" w:ascii="仿宋" w:hAnsi="仿宋" w:eastAsia="仿宋" w:cs="仿宋"/>
          <w:b/>
          <w:bCs/>
          <w:color w:val="000000" w:themeColor="text1"/>
          <w:sz w:val="24"/>
          <w:szCs w:val="24"/>
          <w:highlight w:val="none"/>
          <w14:textFill>
            <w14:solidFill>
              <w14:schemeClr w14:val="tx1"/>
            </w14:solidFill>
          </w14:textFill>
        </w:rPr>
        <w:t>文件的递交</w:t>
      </w:r>
    </w:p>
    <w:p w14:paraId="422B36F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（一）响应</w:t>
      </w:r>
      <w:r>
        <w:rPr>
          <w:rFonts w:hint="eastAsia" w:ascii="仿宋" w:hAnsi="仿宋" w:eastAsia="仿宋" w:cs="仿宋"/>
          <w:b w:val="0"/>
          <w:bCs/>
          <w:color w:val="000000" w:themeColor="text1"/>
          <w:sz w:val="24"/>
          <w:szCs w:val="24"/>
          <w:highlight w:val="none"/>
          <w14:textFill>
            <w14:solidFill>
              <w14:schemeClr w14:val="tx1"/>
            </w14:solidFill>
          </w14:textFill>
        </w:rPr>
        <w:t>文件的密封和标记</w:t>
      </w:r>
    </w:p>
    <w:p w14:paraId="027345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1.响应人</w:t>
      </w:r>
      <w:r>
        <w:rPr>
          <w:rFonts w:hint="eastAsia" w:ascii="仿宋" w:hAnsi="仿宋" w:eastAsia="仿宋" w:cs="仿宋"/>
          <w:color w:val="000000" w:themeColor="text1"/>
          <w:sz w:val="24"/>
          <w:szCs w:val="24"/>
          <w:highlight w:val="none"/>
          <w14:textFill>
            <w14:solidFill>
              <w14:schemeClr w14:val="tx1"/>
            </w14:solidFill>
          </w14:textFill>
        </w:rPr>
        <w:t>应将纸质</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14:textFill>
            <w14:solidFill>
              <w14:schemeClr w14:val="tx1"/>
            </w14:solidFill>
          </w14:textFill>
        </w:rPr>
        <w:t>文件正本和副本分开密封装在单独的信封中，每一信封封口处应加盖公章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并在每一密封的信封封面上按以下要求清楚标明：</w:t>
      </w:r>
    </w:p>
    <w:tbl>
      <w:tblPr>
        <w:tblStyle w:val="1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B3B2E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6B749912">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响应</w:t>
            </w:r>
            <w:r>
              <w:rPr>
                <w:rFonts w:hint="eastAsia" w:ascii="仿宋" w:hAnsi="仿宋" w:eastAsia="仿宋" w:cs="仿宋"/>
                <w:b/>
                <w:bCs/>
                <w:color w:val="000000" w:themeColor="text1"/>
                <w:sz w:val="30"/>
                <w:szCs w:val="30"/>
                <w:highlight w:val="none"/>
                <w14:textFill>
                  <w14:solidFill>
                    <w14:schemeClr w14:val="tx1"/>
                  </w14:solidFill>
                </w14:textFill>
              </w:rPr>
              <w:t>文件（正/副本）</w:t>
            </w:r>
          </w:p>
          <w:p w14:paraId="5A47C6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收件人：中山大学孙逸仙纪念医院</w:t>
            </w:r>
          </w:p>
          <w:p w14:paraId="43FA6353">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0"/>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项目名称：填写</w:t>
            </w:r>
            <w:r>
              <w:rPr>
                <w:rFonts w:hint="eastAsia" w:ascii="仿宋" w:hAnsi="仿宋" w:eastAsia="仿宋" w:cs="仿宋"/>
                <w:bCs/>
                <w:color w:val="000000" w:themeColor="text1"/>
                <w:szCs w:val="21"/>
                <w:highlight w:val="none"/>
                <w:lang w:eastAsia="zh-CN"/>
                <w14:textFill>
                  <w14:solidFill>
                    <w14:schemeClr w14:val="tx1"/>
                  </w14:solidFill>
                </w14:textFill>
              </w:rPr>
              <w:t>谈判文件</w:t>
            </w:r>
            <w:r>
              <w:rPr>
                <w:rFonts w:hint="eastAsia" w:ascii="仿宋" w:hAnsi="仿宋" w:eastAsia="仿宋" w:cs="仿宋"/>
                <w:bCs/>
                <w:color w:val="000000" w:themeColor="text1"/>
                <w:szCs w:val="21"/>
                <w:highlight w:val="none"/>
                <w14:textFill>
                  <w14:solidFill>
                    <w14:schemeClr w14:val="tx1"/>
                  </w14:solidFill>
                </w14:textFill>
              </w:rPr>
              <w:t>第一章“</w:t>
            </w:r>
            <w:r>
              <w:rPr>
                <w:rFonts w:hint="eastAsia" w:ascii="仿宋" w:hAnsi="仿宋" w:eastAsia="仿宋" w:cs="仿宋"/>
                <w:bCs/>
                <w:color w:val="000000" w:themeColor="text1"/>
                <w:szCs w:val="21"/>
                <w:highlight w:val="none"/>
                <w:lang w:val="en-US" w:eastAsia="zh-CN"/>
                <w14:textFill>
                  <w14:solidFill>
                    <w14:schemeClr w14:val="tx1"/>
                  </w14:solidFill>
                </w14:textFill>
              </w:rPr>
              <w:t>谈判</w:t>
            </w:r>
            <w:r>
              <w:rPr>
                <w:rFonts w:hint="eastAsia" w:ascii="仿宋" w:hAnsi="仿宋" w:eastAsia="仿宋" w:cs="仿宋"/>
                <w:bCs/>
                <w:color w:val="000000" w:themeColor="text1"/>
                <w:szCs w:val="21"/>
                <w:highlight w:val="none"/>
                <w14:textFill>
                  <w14:solidFill>
                    <w14:schemeClr w14:val="tx1"/>
                  </w14:solidFill>
                </w14:textFill>
              </w:rPr>
              <w:t>邀请函”中写明的</w:t>
            </w:r>
            <w:r>
              <w:rPr>
                <w:rFonts w:hint="eastAsia" w:ascii="仿宋" w:hAnsi="仿宋" w:eastAsia="仿宋" w:cs="仿宋"/>
                <w:bCs/>
                <w:color w:val="000000" w:themeColor="text1"/>
                <w:szCs w:val="20"/>
                <w:highlight w:val="none"/>
                <w14:textFill>
                  <w14:solidFill>
                    <w14:schemeClr w14:val="tx1"/>
                  </w14:solidFill>
                </w14:textFill>
              </w:rPr>
              <w:t>项目名称</w:t>
            </w:r>
          </w:p>
          <w:p w14:paraId="0E9BC4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响应人</w:t>
            </w:r>
            <w:r>
              <w:rPr>
                <w:rFonts w:hint="eastAsia" w:ascii="仿宋" w:hAnsi="仿宋" w:eastAsia="仿宋" w:cs="仿宋"/>
                <w:bCs/>
                <w:color w:val="000000" w:themeColor="text1"/>
                <w:szCs w:val="21"/>
                <w:highlight w:val="none"/>
                <w14:textFill>
                  <w14:solidFill>
                    <w14:schemeClr w14:val="tx1"/>
                  </w14:solidFill>
                </w14:textFill>
              </w:rPr>
              <w:t>名称（</w:t>
            </w:r>
            <w:r>
              <w:rPr>
                <w:rFonts w:hint="eastAsia" w:ascii="仿宋" w:hAnsi="仿宋" w:eastAsia="仿宋" w:cs="仿宋"/>
                <w:bCs/>
                <w:color w:val="000000" w:themeColor="text1"/>
                <w:szCs w:val="21"/>
                <w:highlight w:val="none"/>
                <w:lang w:val="en-US" w:eastAsia="zh-CN"/>
                <w14:textFill>
                  <w14:solidFill>
                    <w14:schemeClr w14:val="tx1"/>
                  </w14:solidFill>
                </w14:textFill>
              </w:rPr>
              <w:t>加</w:t>
            </w:r>
            <w:r>
              <w:rPr>
                <w:rFonts w:hint="eastAsia" w:ascii="仿宋" w:hAnsi="仿宋" w:eastAsia="仿宋" w:cs="仿宋"/>
                <w:bCs/>
                <w:color w:val="000000" w:themeColor="text1"/>
                <w:szCs w:val="21"/>
                <w:highlight w:val="none"/>
                <w14:textFill>
                  <w14:solidFill>
                    <w14:schemeClr w14:val="tx1"/>
                  </w14:solidFill>
                </w14:textFill>
              </w:rPr>
              <w:t>盖</w:t>
            </w:r>
            <w:r>
              <w:rPr>
                <w:rFonts w:hint="eastAsia" w:ascii="仿宋" w:hAnsi="仿宋" w:eastAsia="仿宋" w:cs="仿宋"/>
                <w:bCs/>
                <w:color w:val="000000" w:themeColor="text1"/>
                <w:szCs w:val="21"/>
                <w:highlight w:val="none"/>
                <w:lang w:val="en-US" w:eastAsia="zh-CN"/>
                <w14:textFill>
                  <w14:solidFill>
                    <w14:schemeClr w14:val="tx1"/>
                  </w14:solidFill>
                </w14:textFill>
              </w:rPr>
              <w:t>公</w:t>
            </w:r>
            <w:r>
              <w:rPr>
                <w:rFonts w:hint="eastAsia" w:ascii="仿宋" w:hAnsi="仿宋" w:eastAsia="仿宋" w:cs="仿宋"/>
                <w:bCs/>
                <w:color w:val="000000" w:themeColor="text1"/>
                <w:szCs w:val="21"/>
                <w:highlight w:val="none"/>
                <w14:textFill>
                  <w14:solidFill>
                    <w14:schemeClr w14:val="tx1"/>
                  </w14:solidFill>
                </w14:textFill>
              </w:rPr>
              <w:t>章）：</w:t>
            </w:r>
          </w:p>
          <w:p w14:paraId="0D9A9D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 系 人：</w:t>
            </w:r>
          </w:p>
          <w:p w14:paraId="0A6BB9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联系电话：</w:t>
            </w:r>
          </w:p>
          <w:p w14:paraId="55AEFCAC">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36"/>
                <w:highlight w:val="none"/>
                <w14:textFill>
                  <w14:solidFill>
                    <w14:schemeClr w14:val="tx1"/>
                  </w14:solidFill>
                </w14:textFill>
              </w:rPr>
              <w:t>本项目</w:t>
            </w:r>
            <w:r>
              <w:rPr>
                <w:rFonts w:hint="eastAsia" w:ascii="仿宋" w:hAnsi="仿宋" w:eastAsia="仿宋" w:cs="仿宋"/>
                <w:b/>
                <w:bCs/>
                <w:color w:val="000000" w:themeColor="text1"/>
                <w:sz w:val="24"/>
                <w:szCs w:val="36"/>
                <w:highlight w:val="none"/>
                <w:lang w:val="en-US" w:eastAsia="zh-CN"/>
                <w14:textFill>
                  <w14:solidFill>
                    <w14:schemeClr w14:val="tx1"/>
                  </w14:solidFill>
                </w14:textFill>
              </w:rPr>
              <w:t>谈判会议</w:t>
            </w:r>
            <w:r>
              <w:rPr>
                <w:rFonts w:hint="eastAsia" w:ascii="仿宋" w:hAnsi="仿宋" w:eastAsia="仿宋" w:cs="仿宋"/>
                <w:b/>
                <w:bCs/>
                <w:color w:val="000000" w:themeColor="text1"/>
                <w:sz w:val="24"/>
                <w:szCs w:val="36"/>
                <w:highlight w:val="none"/>
                <w:lang w:eastAsia="zh-CN"/>
                <w14:textFill>
                  <w14:solidFill>
                    <w14:schemeClr w14:val="tx1"/>
                  </w14:solidFill>
                </w14:textFill>
              </w:rPr>
              <w:t>之前</w:t>
            </w:r>
            <w:r>
              <w:rPr>
                <w:rFonts w:hint="eastAsia" w:ascii="仿宋" w:hAnsi="仿宋" w:eastAsia="仿宋" w:cs="仿宋"/>
                <w:b/>
                <w:bCs/>
                <w:color w:val="000000" w:themeColor="text1"/>
                <w:sz w:val="24"/>
                <w:szCs w:val="36"/>
                <w:highlight w:val="none"/>
                <w14:textFill>
                  <w14:solidFill>
                    <w14:schemeClr w14:val="tx1"/>
                  </w14:solidFill>
                </w14:textFill>
              </w:rPr>
              <w:t>不得启封</w:t>
            </w:r>
          </w:p>
        </w:tc>
      </w:tr>
    </w:tbl>
    <w:p w14:paraId="4B71CBA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2.为保证响应信息在谈判前不被透露，响应人应将《首次报价表》单独封装，信封封口处加盖公章，并在信封封面上按以下要求清楚标明：</w:t>
      </w:r>
    </w:p>
    <w:tbl>
      <w:tblPr>
        <w:tblStyle w:val="1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0D90F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7382D73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首次报价表信封</w:t>
            </w:r>
          </w:p>
          <w:p w14:paraId="1E9691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收件人：中山大学孙逸仙纪念医院</w:t>
            </w:r>
          </w:p>
          <w:p w14:paraId="39AC68E9">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0"/>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项目名称：填写</w:t>
            </w:r>
            <w:r>
              <w:rPr>
                <w:rFonts w:hint="eastAsia" w:ascii="仿宋" w:hAnsi="仿宋" w:eastAsia="仿宋" w:cs="仿宋"/>
                <w:bCs/>
                <w:color w:val="000000" w:themeColor="text1"/>
                <w:szCs w:val="21"/>
                <w:highlight w:val="none"/>
                <w:lang w:eastAsia="zh-CN"/>
                <w14:textFill>
                  <w14:solidFill>
                    <w14:schemeClr w14:val="tx1"/>
                  </w14:solidFill>
                </w14:textFill>
              </w:rPr>
              <w:t>谈判文件</w:t>
            </w:r>
            <w:r>
              <w:rPr>
                <w:rFonts w:hint="eastAsia" w:ascii="仿宋" w:hAnsi="仿宋" w:eastAsia="仿宋" w:cs="仿宋"/>
                <w:bCs/>
                <w:color w:val="000000" w:themeColor="text1"/>
                <w:szCs w:val="21"/>
                <w:highlight w:val="none"/>
                <w14:textFill>
                  <w14:solidFill>
                    <w14:schemeClr w14:val="tx1"/>
                  </w14:solidFill>
                </w14:textFill>
              </w:rPr>
              <w:t>第一章“</w:t>
            </w:r>
            <w:r>
              <w:rPr>
                <w:rFonts w:hint="eastAsia" w:ascii="仿宋" w:hAnsi="仿宋" w:eastAsia="仿宋" w:cs="仿宋"/>
                <w:bCs/>
                <w:color w:val="000000" w:themeColor="text1"/>
                <w:szCs w:val="21"/>
                <w:highlight w:val="none"/>
                <w:lang w:val="en-US" w:eastAsia="zh-CN"/>
                <w14:textFill>
                  <w14:solidFill>
                    <w14:schemeClr w14:val="tx1"/>
                  </w14:solidFill>
                </w14:textFill>
              </w:rPr>
              <w:t>谈判</w:t>
            </w:r>
            <w:r>
              <w:rPr>
                <w:rFonts w:hint="eastAsia" w:ascii="仿宋" w:hAnsi="仿宋" w:eastAsia="仿宋" w:cs="仿宋"/>
                <w:bCs/>
                <w:color w:val="000000" w:themeColor="text1"/>
                <w:szCs w:val="21"/>
                <w:highlight w:val="none"/>
                <w14:textFill>
                  <w14:solidFill>
                    <w14:schemeClr w14:val="tx1"/>
                  </w14:solidFill>
                </w14:textFill>
              </w:rPr>
              <w:t>邀请函”中写明的</w:t>
            </w:r>
            <w:r>
              <w:rPr>
                <w:rFonts w:hint="eastAsia" w:ascii="仿宋" w:hAnsi="仿宋" w:eastAsia="仿宋" w:cs="仿宋"/>
                <w:bCs/>
                <w:color w:val="000000" w:themeColor="text1"/>
                <w:szCs w:val="20"/>
                <w:highlight w:val="none"/>
                <w14:textFill>
                  <w14:solidFill>
                    <w14:schemeClr w14:val="tx1"/>
                  </w14:solidFill>
                </w14:textFill>
              </w:rPr>
              <w:t>项目名称</w:t>
            </w:r>
          </w:p>
          <w:p w14:paraId="563A3E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响应人</w:t>
            </w:r>
            <w:r>
              <w:rPr>
                <w:rFonts w:hint="eastAsia" w:ascii="仿宋" w:hAnsi="仿宋" w:eastAsia="仿宋" w:cs="仿宋"/>
                <w:bCs/>
                <w:color w:val="000000" w:themeColor="text1"/>
                <w:szCs w:val="21"/>
                <w:highlight w:val="none"/>
                <w14:textFill>
                  <w14:solidFill>
                    <w14:schemeClr w14:val="tx1"/>
                  </w14:solidFill>
                </w14:textFill>
              </w:rPr>
              <w:t>名称（</w:t>
            </w:r>
            <w:r>
              <w:rPr>
                <w:rFonts w:hint="eastAsia" w:ascii="仿宋" w:hAnsi="仿宋" w:eastAsia="仿宋" w:cs="仿宋"/>
                <w:bCs/>
                <w:color w:val="000000" w:themeColor="text1"/>
                <w:szCs w:val="21"/>
                <w:highlight w:val="none"/>
                <w:lang w:val="en-US" w:eastAsia="zh-CN"/>
                <w14:textFill>
                  <w14:solidFill>
                    <w14:schemeClr w14:val="tx1"/>
                  </w14:solidFill>
                </w14:textFill>
              </w:rPr>
              <w:t>加</w:t>
            </w:r>
            <w:r>
              <w:rPr>
                <w:rFonts w:hint="eastAsia" w:ascii="仿宋" w:hAnsi="仿宋" w:eastAsia="仿宋" w:cs="仿宋"/>
                <w:bCs/>
                <w:color w:val="000000" w:themeColor="text1"/>
                <w:szCs w:val="21"/>
                <w:highlight w:val="none"/>
                <w14:textFill>
                  <w14:solidFill>
                    <w14:schemeClr w14:val="tx1"/>
                  </w14:solidFill>
                </w14:textFill>
              </w:rPr>
              <w:t>盖</w:t>
            </w:r>
            <w:r>
              <w:rPr>
                <w:rFonts w:hint="eastAsia" w:ascii="仿宋" w:hAnsi="仿宋" w:eastAsia="仿宋" w:cs="仿宋"/>
                <w:bCs/>
                <w:color w:val="000000" w:themeColor="text1"/>
                <w:szCs w:val="21"/>
                <w:highlight w:val="none"/>
                <w:lang w:val="en-US" w:eastAsia="zh-CN"/>
                <w14:textFill>
                  <w14:solidFill>
                    <w14:schemeClr w14:val="tx1"/>
                  </w14:solidFill>
                </w14:textFill>
              </w:rPr>
              <w:t>公</w:t>
            </w:r>
            <w:r>
              <w:rPr>
                <w:rFonts w:hint="eastAsia" w:ascii="仿宋" w:hAnsi="仿宋" w:eastAsia="仿宋" w:cs="仿宋"/>
                <w:bCs/>
                <w:color w:val="000000" w:themeColor="text1"/>
                <w:szCs w:val="21"/>
                <w:highlight w:val="none"/>
                <w14:textFill>
                  <w14:solidFill>
                    <w14:schemeClr w14:val="tx1"/>
                  </w14:solidFill>
                </w14:textFill>
              </w:rPr>
              <w:t>章）：</w:t>
            </w:r>
          </w:p>
          <w:p w14:paraId="61393C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 系 人：</w:t>
            </w:r>
          </w:p>
          <w:p w14:paraId="116F2B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联系电话：</w:t>
            </w:r>
          </w:p>
          <w:p w14:paraId="7EB9C331">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36"/>
                <w:highlight w:val="none"/>
                <w14:textFill>
                  <w14:solidFill>
                    <w14:schemeClr w14:val="tx1"/>
                  </w14:solidFill>
                </w14:textFill>
              </w:rPr>
              <w:t>本项目</w:t>
            </w:r>
            <w:r>
              <w:rPr>
                <w:rFonts w:hint="eastAsia" w:ascii="仿宋" w:hAnsi="仿宋" w:eastAsia="仿宋" w:cs="仿宋"/>
                <w:b/>
                <w:bCs/>
                <w:color w:val="000000" w:themeColor="text1"/>
                <w:sz w:val="24"/>
                <w:szCs w:val="36"/>
                <w:highlight w:val="none"/>
                <w:lang w:val="en-US" w:eastAsia="zh-CN"/>
                <w14:textFill>
                  <w14:solidFill>
                    <w14:schemeClr w14:val="tx1"/>
                  </w14:solidFill>
                </w14:textFill>
              </w:rPr>
              <w:t>谈判会议</w:t>
            </w:r>
            <w:r>
              <w:rPr>
                <w:rFonts w:hint="eastAsia" w:ascii="仿宋" w:hAnsi="仿宋" w:eastAsia="仿宋" w:cs="仿宋"/>
                <w:b/>
                <w:bCs/>
                <w:color w:val="000000" w:themeColor="text1"/>
                <w:sz w:val="24"/>
                <w:szCs w:val="36"/>
                <w:highlight w:val="none"/>
                <w:lang w:eastAsia="zh-CN"/>
                <w14:textFill>
                  <w14:solidFill>
                    <w14:schemeClr w14:val="tx1"/>
                  </w14:solidFill>
                </w14:textFill>
              </w:rPr>
              <w:t>之前</w:t>
            </w:r>
            <w:r>
              <w:rPr>
                <w:rFonts w:hint="eastAsia" w:ascii="仿宋" w:hAnsi="仿宋" w:eastAsia="仿宋" w:cs="仿宋"/>
                <w:b/>
                <w:bCs/>
                <w:color w:val="000000" w:themeColor="text1"/>
                <w:sz w:val="24"/>
                <w:szCs w:val="36"/>
                <w:highlight w:val="none"/>
                <w14:textFill>
                  <w14:solidFill>
                    <w14:schemeClr w14:val="tx1"/>
                  </w14:solidFill>
                </w14:textFill>
              </w:rPr>
              <w:t>不得启封</w:t>
            </w:r>
          </w:p>
        </w:tc>
      </w:tr>
    </w:tbl>
    <w:p w14:paraId="58B3816C">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654C1D1D">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4821475F">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A88B4B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1B9929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47D3060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5C89593E">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val="en-US" w:eastAsia="zh-CN"/>
        </w:rPr>
        <w:t>谈判</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08AAB174">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5C106F7">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1F884A34">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谈判邀请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7239D96B">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谈判会议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26B77E03">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F378A1A">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5B86AC1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w:t>
      </w:r>
      <w:r>
        <w:rPr>
          <w:rFonts w:hint="eastAsia" w:ascii="仿宋" w:hAnsi="仿宋" w:eastAsia="仿宋" w:cs="仿宋"/>
          <w:b w:val="0"/>
          <w:bCs/>
          <w:color w:val="000000"/>
          <w:sz w:val="24"/>
          <w:szCs w:val="24"/>
          <w:highlight w:val="none"/>
          <w:lang w:val="en-US" w:eastAsia="zh-CN"/>
        </w:rPr>
        <w:t>谈判会议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73BBD04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43FD93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23B32A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四、谈判会议和评审原则</w:t>
      </w:r>
    </w:p>
    <w:p w14:paraId="51F55D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（一）组织谈判会议</w:t>
      </w:r>
    </w:p>
    <w:p w14:paraId="3D6B7656">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采购人按照约定的时间、地点组织谈判会议。原则上应有采购人代表和响应人代表参加，参加谈判会议的代表应签到以证明出席。通过资格、符合性、“★”条款响应审查的响应人不足3家的，我院将组织本项目第二次公告挂网。如第二次公告挂网后，依然不足3家的，按医院相关管理办法执行。</w:t>
      </w:r>
    </w:p>
    <w:p w14:paraId="31C2E570">
      <w:pPr>
        <w:pStyle w:val="26"/>
        <w:keepNext w:val="0"/>
        <w:keepLines w:val="0"/>
        <w:pageBreakBefore w:val="0"/>
        <w:widowControl w:val="0"/>
        <w:tabs>
          <w:tab w:val="left" w:pos="7980"/>
        </w:tabs>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2.谈判会议正式开始前时，由响应人或其推选的代表检查响应文件的密封情况。</w:t>
      </w:r>
      <w:r>
        <w:rPr>
          <w:rFonts w:hint="eastAsia" w:ascii="仿宋" w:hAnsi="仿宋" w:eastAsia="仿宋" w:cs="仿宋"/>
          <w:b w:val="0"/>
          <w:bCs w:val="0"/>
          <w:color w:val="auto"/>
          <w:sz w:val="24"/>
          <w:szCs w:val="24"/>
          <w:highlight w:val="none"/>
          <w:lang w:val="en-US" w:eastAsia="zh-CN"/>
        </w:rPr>
        <w:t>在谈判过程中，评审委员会应当严格遵循保密原则，未经响应供应商同意不得向任何人透露当事人技术、价格和其他重要信息。</w:t>
      </w:r>
    </w:p>
    <w:p w14:paraId="547F8DB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评审委员会根据谈判文件规定的程序、评定成交的标准等事项与实质性响应谈判文件要求的供应商进行谈判。评审委员会所有成员应当集中与单一供应商分别进行谈判，并给予所有参加谈判的供应商平等的谈判机会。</w:t>
      </w:r>
    </w:p>
    <w:p w14:paraId="62F0D175">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在谈判过程中，评审委员会可以根据谈判文件和谈判情况实质性变动采购需求中的技术、服务要求以及合同条款，但不得变动谈判文件中的其他内容。实质性变动的内容，须经采购人代表确认。在此情况下，评审委员会将以书面形式将修改内容同时通知所有参加谈判的供应商。对谈判文件作出的实质性变动是谈判文件的有效组成部分。</w:t>
      </w:r>
    </w:p>
    <w:p w14:paraId="69A85136">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5.供应商可以根据上一轮谈判情况对谈判报价内容进行调整和提出新的报价。谈判结束后，所有继续参加谈判的供应商在规定时间内提交最后报价。最后报价是供应商响应文件的有效组成部分。</w:t>
      </w:r>
    </w:p>
    <w:p w14:paraId="3E281159">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6.最后报价时间过后，供应商不得对报价进行修改、撤回或撤销。</w:t>
      </w:r>
    </w:p>
    <w:p w14:paraId="66B59EFF">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7.评审委员会应当根据评审记录和评审结果编写评审报告。</w:t>
      </w:r>
    </w:p>
    <w:p w14:paraId="277BFBB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（二）评审原则</w:t>
      </w:r>
    </w:p>
    <w:p w14:paraId="74007A9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1.评审委员会由采购人组织的评审专家组成，评审专家从专家库中随机抽取。</w:t>
      </w:r>
    </w:p>
    <w:p w14:paraId="44B6516C">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b w:val="0"/>
          <w:bCs w:val="0"/>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2.本次评审采用最低价成交法，</w:t>
      </w:r>
      <w:r>
        <w:rPr>
          <w:rFonts w:hint="eastAsia" w:ascii="仿宋" w:hAnsi="仿宋" w:eastAsia="仿宋" w:cs="仿宋"/>
          <w:b/>
          <w:bCs/>
          <w:color w:val="auto"/>
          <w:sz w:val="24"/>
          <w:szCs w:val="24"/>
          <w:highlight w:val="none"/>
          <w:lang w:val="en-US" w:eastAsia="zh-CN"/>
        </w:rPr>
        <w:t>设有现场谈判报价环节，最终报价以现场谈判的最终报价为准。</w:t>
      </w:r>
    </w:p>
    <w:p w14:paraId="09EF0B4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3.采购人根据《资格审查表》内容逐条对响应文件的资格性进行评审，审查每份响应文件是否满足资格要求。</w:t>
      </w:r>
    </w:p>
    <w:p w14:paraId="67C4BDD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评审委员会根据《符合性审查表》内容逐条对响应文件进行符合性评审，审查每份响应文件是否符合谈判文件的商务、技术中的实质性要求。对符合性评审认定意见不一致的，评审委员会按少数服从多数原则表决决定。</w:t>
      </w:r>
    </w:p>
    <w:p w14:paraId="6894C21F">
      <w:pPr>
        <w:pStyle w:val="27"/>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5.资格审查或符合性审查不通过的均视为无效响应。</w:t>
      </w:r>
    </w:p>
    <w:p w14:paraId="7C186C8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6.评审内容：评审委员会对符合资质要求且实质上响应谈判文件要求的响应文件进行评价和比较。    </w:t>
      </w:r>
    </w:p>
    <w:p w14:paraId="76D7257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7.资格审查</w:t>
      </w:r>
    </w:p>
    <w:p w14:paraId="4AEB7F39">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themeColor="text1"/>
          <w:sz w:val="24"/>
          <w:szCs w:val="28"/>
          <w:highlight w:val="none"/>
          <w14:textFill>
            <w14:solidFill>
              <w14:schemeClr w14:val="tx1"/>
            </w14:solidFill>
          </w14:textFill>
        </w:rPr>
      </w:pPr>
      <w:r>
        <w:rPr>
          <w:rFonts w:hint="eastAsia" w:ascii="仿宋" w:hAnsi="仿宋" w:eastAsia="仿宋" w:cs="仿宋"/>
          <w:b/>
          <w:bCs w:val="0"/>
          <w:color w:val="000000" w:themeColor="text1"/>
          <w:sz w:val="24"/>
          <w:szCs w:val="28"/>
          <w:highlight w:val="none"/>
          <w14:textFill>
            <w14:solidFill>
              <w14:schemeClr w14:val="tx1"/>
            </w14:solidFill>
          </w14:textFill>
        </w:rPr>
        <w:t>《资格审查表》</w:t>
      </w:r>
    </w:p>
    <w:tbl>
      <w:tblPr>
        <w:tblStyle w:val="1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4AE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B1AA6F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序号</w:t>
            </w:r>
          </w:p>
        </w:tc>
        <w:tc>
          <w:tcPr>
            <w:tcW w:w="8731" w:type="dxa"/>
          </w:tcPr>
          <w:p w14:paraId="631C1A2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内容</w:t>
            </w:r>
          </w:p>
        </w:tc>
      </w:tr>
      <w:tr w14:paraId="0BD4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14:paraId="49A61DB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w:t>
            </w:r>
          </w:p>
        </w:tc>
        <w:tc>
          <w:tcPr>
            <w:tcW w:w="8731" w:type="dxa"/>
          </w:tcPr>
          <w:p w14:paraId="549390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响应</w:t>
            </w:r>
            <w:r>
              <w:rPr>
                <w:rFonts w:hint="eastAsia" w:ascii="仿宋" w:hAnsi="仿宋" w:eastAsia="仿宋" w:cs="仿宋"/>
                <w:color w:val="000000" w:themeColor="text1"/>
                <w:sz w:val="20"/>
                <w:szCs w:val="20"/>
                <w:highlight w:val="none"/>
                <w14:textFill>
                  <w14:solidFill>
                    <w14:schemeClr w14:val="tx1"/>
                  </w14:solidFill>
                </w14:textFill>
              </w:rPr>
              <w:t>人应具备以下条件：（</w:t>
            </w:r>
            <w:r>
              <w:rPr>
                <w:rFonts w:hint="eastAsia" w:ascii="仿宋" w:hAnsi="仿宋" w:eastAsia="仿宋" w:cs="仿宋"/>
                <w:color w:val="000000" w:themeColor="text1"/>
                <w:sz w:val="20"/>
                <w:szCs w:val="20"/>
                <w:highlight w:val="none"/>
                <w:lang w:eastAsia="zh-CN"/>
                <w14:textFill>
                  <w14:solidFill>
                    <w14:schemeClr w14:val="tx1"/>
                  </w14:solidFill>
                </w14:textFill>
              </w:rPr>
              <w:t>响应人</w:t>
            </w:r>
            <w:r>
              <w:rPr>
                <w:rFonts w:hint="eastAsia" w:ascii="仿宋" w:hAnsi="仿宋" w:eastAsia="仿宋" w:cs="仿宋"/>
                <w:color w:val="000000" w:themeColor="text1"/>
                <w:sz w:val="20"/>
                <w:szCs w:val="20"/>
                <w:highlight w:val="none"/>
                <w14:textFill>
                  <w14:solidFill>
                    <w14:schemeClr w14:val="tx1"/>
                  </w14:solidFill>
                </w14:textFill>
              </w:rPr>
              <w:t>出具有效的承诺函并加盖公章）</w:t>
            </w:r>
          </w:p>
          <w:p w14:paraId="2B0417F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①具有良好的商业信誉和健全的财务会计制度；</w:t>
            </w:r>
          </w:p>
          <w:p w14:paraId="506230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②有依法缴纳税收和社会保障资金的良好记录；</w:t>
            </w:r>
          </w:p>
          <w:p w14:paraId="506223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③具备履行合同所必需的设备和专业技术能力；</w:t>
            </w:r>
          </w:p>
          <w:p w14:paraId="65904B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④参加本次采购活动前三年内，在经营活动中没有重大违法记录。</w:t>
            </w:r>
          </w:p>
        </w:tc>
      </w:tr>
      <w:tr w14:paraId="0CE8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B9B615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p>
          <w:p w14:paraId="33FF84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2</w:t>
            </w:r>
          </w:p>
        </w:tc>
        <w:tc>
          <w:tcPr>
            <w:tcW w:w="8731" w:type="dxa"/>
          </w:tcPr>
          <w:p w14:paraId="6263258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lang w:eastAsia="zh-CN"/>
              </w:rPr>
            </w:pPr>
            <w:r>
              <w:rPr>
                <w:rFonts w:hint="eastAsia" w:ascii="仿宋" w:hAnsi="仿宋" w:eastAsia="仿宋" w:cs="仿宋"/>
                <w:sz w:val="20"/>
                <w:szCs w:val="20"/>
                <w:lang w:val="en-US" w:eastAsia="zh-CN"/>
              </w:rPr>
              <w:t>评审</w:t>
            </w:r>
            <w:r>
              <w:rPr>
                <w:rFonts w:hint="eastAsia" w:ascii="仿宋" w:hAnsi="仿宋" w:eastAsia="仿宋" w:cs="仿宋"/>
                <w:sz w:val="20"/>
                <w:szCs w:val="20"/>
                <w:lang w:val="zh-CN"/>
              </w:rPr>
              <w:t>现场查询：经</w:t>
            </w:r>
            <w:r>
              <w:rPr>
                <w:rFonts w:hint="eastAsia" w:ascii="仿宋" w:hAnsi="仿宋" w:eastAsia="仿宋" w:cs="仿宋"/>
                <w:sz w:val="20"/>
                <w:szCs w:val="20"/>
                <w:lang w:val="en-US" w:eastAsia="zh-CN"/>
              </w:rPr>
              <w:t>查询</w:t>
            </w:r>
            <w:r>
              <w:rPr>
                <w:rFonts w:hint="eastAsia" w:ascii="仿宋" w:hAnsi="仿宋" w:eastAsia="仿宋" w:cs="仿宋"/>
                <w:sz w:val="20"/>
                <w:szCs w:val="20"/>
                <w:lang w:val="zh-CN"/>
              </w:rPr>
              <w:t>“信用中国”网站（www.creditchina.gov.cn）网站</w:t>
            </w:r>
            <w:r>
              <w:rPr>
                <w:rFonts w:hint="eastAsia" w:ascii="仿宋" w:hAnsi="仿宋" w:eastAsia="仿宋" w:cs="仿宋"/>
                <w:sz w:val="20"/>
                <w:szCs w:val="20"/>
                <w:lang w:val="en-US" w:eastAsia="zh-CN"/>
              </w:rPr>
              <w:t>和</w:t>
            </w:r>
            <w:r>
              <w:rPr>
                <w:rFonts w:hint="eastAsia" w:ascii="仿宋" w:hAnsi="仿宋" w:eastAsia="仿宋" w:cs="仿宋"/>
                <w:sz w:val="20"/>
                <w:szCs w:val="20"/>
                <w:lang w:val="zh-CN"/>
              </w:rPr>
              <w:t>“中国政府采购网”网站（www.ccgp.gov.cn），</w:t>
            </w:r>
            <w:r>
              <w:rPr>
                <w:rFonts w:hint="eastAsia" w:ascii="仿宋" w:hAnsi="仿宋" w:eastAsia="仿宋" w:cs="仿宋"/>
                <w:sz w:val="20"/>
                <w:szCs w:val="20"/>
                <w:lang w:val="en-US" w:eastAsia="zh-CN"/>
              </w:rPr>
              <w:t>被</w:t>
            </w:r>
            <w:r>
              <w:rPr>
                <w:rFonts w:hint="eastAsia" w:ascii="仿宋" w:hAnsi="仿宋" w:eastAsia="仿宋" w:cs="仿宋"/>
                <w:sz w:val="20"/>
                <w:szCs w:val="20"/>
                <w:lang w:val="zh-CN"/>
              </w:rPr>
              <w:t>列入失信被执行人、重大税收违法失信主体、政府采购严重违法失信行为记录名单（处罚期限尚未届满的）的供应商，</w:t>
            </w:r>
            <w:r>
              <w:rPr>
                <w:rFonts w:hint="eastAsia" w:ascii="仿宋" w:hAnsi="仿宋" w:eastAsia="仿宋" w:cs="仿宋"/>
                <w:sz w:val="20"/>
                <w:szCs w:val="20"/>
                <w:lang w:val="en-US" w:eastAsia="zh-CN"/>
              </w:rPr>
              <w:t>均</w:t>
            </w:r>
            <w:r>
              <w:rPr>
                <w:rFonts w:hint="eastAsia" w:ascii="仿宋" w:hAnsi="仿宋" w:eastAsia="仿宋" w:cs="仿宋"/>
                <w:sz w:val="20"/>
                <w:szCs w:val="20"/>
                <w:lang w:val="zh-CN"/>
              </w:rPr>
              <w:t>不得参加本采购项目。（</w:t>
            </w:r>
            <w:r>
              <w:rPr>
                <w:rFonts w:hint="eastAsia" w:ascii="仿宋" w:hAnsi="仿宋" w:eastAsia="仿宋" w:cs="仿宋"/>
                <w:sz w:val="20"/>
                <w:szCs w:val="20"/>
                <w:lang w:val="en-US" w:eastAsia="zh-CN"/>
              </w:rPr>
              <w:t>响应人无需提供证明资料，以谈判会议现场查询结果为准</w:t>
            </w:r>
            <w:r>
              <w:rPr>
                <w:rFonts w:hint="eastAsia" w:ascii="仿宋" w:hAnsi="仿宋" w:eastAsia="仿宋" w:cs="仿宋"/>
                <w:sz w:val="20"/>
                <w:szCs w:val="20"/>
                <w:lang w:val="zh-CN"/>
              </w:rPr>
              <w:t>）</w:t>
            </w:r>
          </w:p>
        </w:tc>
      </w:tr>
      <w:tr w14:paraId="245B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72577A3F">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3</w:t>
            </w:r>
          </w:p>
        </w:tc>
        <w:tc>
          <w:tcPr>
            <w:tcW w:w="8731" w:type="dxa"/>
          </w:tcPr>
          <w:p w14:paraId="78D067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法定代表人或单位负责人为同一人或者存在直接控股、管理关系的不同响应单位，不得参加同一合同项下的采购活动。（</w:t>
            </w:r>
            <w:r>
              <w:rPr>
                <w:rFonts w:hint="eastAsia" w:ascii="仿宋" w:hAnsi="仿宋" w:eastAsia="仿宋" w:cs="仿宋"/>
                <w:color w:val="000000" w:themeColor="text1"/>
                <w:sz w:val="20"/>
                <w:szCs w:val="20"/>
                <w:highlight w:val="none"/>
                <w:lang w:eastAsia="zh-CN"/>
                <w14:textFill>
                  <w14:solidFill>
                    <w14:schemeClr w14:val="tx1"/>
                  </w14:solidFill>
                </w14:textFill>
              </w:rPr>
              <w:t>响应人</w:t>
            </w:r>
            <w:r>
              <w:rPr>
                <w:rFonts w:hint="eastAsia" w:ascii="仿宋" w:hAnsi="仿宋" w:eastAsia="仿宋" w:cs="仿宋"/>
                <w:color w:val="000000" w:themeColor="text1"/>
                <w:sz w:val="20"/>
                <w:szCs w:val="20"/>
                <w:highlight w:val="none"/>
                <w14:textFill>
                  <w14:solidFill>
                    <w14:schemeClr w14:val="tx1"/>
                  </w14:solidFill>
                </w14:textFill>
              </w:rPr>
              <w:t>出具有效的承诺函并加盖公章）</w:t>
            </w:r>
          </w:p>
        </w:tc>
      </w:tr>
      <w:tr w14:paraId="2F0A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2466684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4</w:t>
            </w:r>
          </w:p>
        </w:tc>
        <w:tc>
          <w:tcPr>
            <w:tcW w:w="8731" w:type="dxa"/>
          </w:tcPr>
          <w:p w14:paraId="15ADE45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14:paraId="3BE2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114A1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5</w:t>
            </w:r>
          </w:p>
        </w:tc>
        <w:tc>
          <w:tcPr>
            <w:tcW w:w="8731" w:type="dxa"/>
          </w:tcPr>
          <w:p w14:paraId="1E2366C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本项目不接受联合体响应，</w:t>
            </w:r>
            <w:r>
              <w:rPr>
                <w:rFonts w:hint="eastAsia" w:ascii="仿宋" w:hAnsi="仿宋" w:eastAsia="仿宋" w:cs="仿宋"/>
                <w:color w:val="000000" w:themeColor="text1"/>
                <w:sz w:val="20"/>
                <w:szCs w:val="20"/>
                <w:highlight w:val="none"/>
                <w:lang w:val="en-US" w:eastAsia="zh-CN"/>
                <w14:textFill>
                  <w14:solidFill>
                    <w14:schemeClr w14:val="tx1"/>
                  </w14:solidFill>
                </w14:textFill>
              </w:rPr>
              <w:t>成交供应商不得以任何方式转包或分包本项目</w:t>
            </w:r>
            <w:r>
              <w:rPr>
                <w:rFonts w:hint="eastAsia" w:ascii="仿宋" w:hAnsi="仿宋" w:eastAsia="仿宋" w:cs="仿宋"/>
                <w:color w:val="000000" w:themeColor="text1"/>
                <w:sz w:val="20"/>
                <w:szCs w:val="20"/>
                <w:highlight w:val="none"/>
                <w:lang w:val="zh-CN"/>
                <w14:textFill>
                  <w14:solidFill>
                    <w14:schemeClr w14:val="tx1"/>
                  </w14:solidFill>
                </w14:textFill>
              </w:rPr>
              <w:t>（</w:t>
            </w:r>
            <w:r>
              <w:rPr>
                <w:rFonts w:hint="eastAsia" w:ascii="仿宋" w:hAnsi="仿宋" w:eastAsia="仿宋" w:cs="仿宋"/>
                <w:color w:val="000000" w:themeColor="text1"/>
                <w:sz w:val="20"/>
                <w:szCs w:val="20"/>
                <w:highlight w:val="none"/>
                <w:lang w:val="en-US" w:eastAsia="zh-CN"/>
                <w14:textFill>
                  <w14:solidFill>
                    <w14:schemeClr w14:val="tx1"/>
                  </w14:solidFill>
                </w14:textFill>
              </w:rPr>
              <w:t>出具有效的加盖公章声明函）。</w:t>
            </w:r>
          </w:p>
        </w:tc>
      </w:tr>
      <w:tr w14:paraId="272F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B1C655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6</w:t>
            </w:r>
          </w:p>
        </w:tc>
        <w:tc>
          <w:tcPr>
            <w:tcW w:w="8731" w:type="dxa"/>
          </w:tcPr>
          <w:p w14:paraId="3CF566B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为本采购项目提供过整体设计、规范编制或者项目管理、监理、检测等服务的供应商及其附属机构，不得再参加本采购项目的响应。（响应人出具有效的承诺函并加盖公章）</w:t>
            </w:r>
          </w:p>
        </w:tc>
      </w:tr>
      <w:tr w14:paraId="2CAE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A686AC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7</w:t>
            </w:r>
          </w:p>
        </w:tc>
        <w:tc>
          <w:tcPr>
            <w:tcW w:w="8731" w:type="dxa"/>
          </w:tcPr>
          <w:p w14:paraId="280CB22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已</w:t>
            </w:r>
            <w:r>
              <w:rPr>
                <w:rFonts w:hint="eastAsia" w:ascii="仿宋" w:hAnsi="仿宋" w:eastAsia="仿宋" w:cs="仿宋"/>
                <w:color w:val="000000" w:themeColor="text1"/>
                <w:sz w:val="20"/>
                <w:szCs w:val="20"/>
                <w:highlight w:val="none"/>
                <w:lang w:val="en-US" w:eastAsia="zh-CN"/>
                <w14:textFill>
                  <w14:solidFill>
                    <w14:schemeClr w14:val="tx1"/>
                  </w14:solidFill>
                </w14:textFill>
              </w:rPr>
              <w:t>成功报名本项目</w:t>
            </w:r>
            <w:r>
              <w:rPr>
                <w:rFonts w:hint="eastAsia" w:ascii="仿宋" w:hAnsi="仿宋" w:eastAsia="仿宋" w:cs="仿宋"/>
                <w:color w:val="000000" w:themeColor="text1"/>
                <w:sz w:val="20"/>
                <w:szCs w:val="20"/>
                <w:highlight w:val="none"/>
                <w:lang w:val="zh-CN"/>
                <w14:textFill>
                  <w14:solidFill>
                    <w14:schemeClr w14:val="tx1"/>
                  </w14:solidFill>
                </w14:textFill>
              </w:rPr>
              <w:t>。</w:t>
            </w:r>
          </w:p>
        </w:tc>
      </w:tr>
      <w:tr w14:paraId="7D7E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BEA6FF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8</w:t>
            </w:r>
          </w:p>
        </w:tc>
        <w:tc>
          <w:tcPr>
            <w:tcW w:w="8731" w:type="dxa"/>
          </w:tcPr>
          <w:p w14:paraId="484C1D7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供应商须持有有效的《经营保险业务许可证》或《保险许可证》或《保险公司法人许可证》。同一法人单位只能授权一家分支机构参加本项目响应（总公司与分支机构同时参与响应的，或总公司授权一家以上分支机构同时参与响应的，将同时作无效响应处理）。（提供有效证件复印件加盖供应商公章，原件备查）</w:t>
            </w:r>
          </w:p>
        </w:tc>
      </w:tr>
    </w:tbl>
    <w:p w14:paraId="61E397B3">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00469B28">
      <w:pPr>
        <w:pStyle w:val="17"/>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1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3B67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C5C325">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242FE86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67FE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D808A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52A3DDB">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793AE22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响应报价：</w:t>
            </w:r>
          </w:p>
          <w:p w14:paraId="4C6CC85B">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①响应报价未超</w:t>
            </w:r>
            <w:r>
              <w:rPr>
                <w:rFonts w:hint="eastAsia" w:ascii="仿宋" w:hAnsi="仿宋" w:eastAsia="仿宋" w:cs="仿宋"/>
                <w:sz w:val="20"/>
                <w:szCs w:val="20"/>
                <w:lang w:val="en-US" w:eastAsia="zh-CN"/>
              </w:rPr>
              <w:t>出50%-100%的范围</w:t>
            </w:r>
            <w:r>
              <w:rPr>
                <w:rFonts w:hint="eastAsia" w:ascii="仿宋" w:hAnsi="仿宋" w:eastAsia="仿宋" w:cs="仿宋"/>
                <w:sz w:val="20"/>
                <w:szCs w:val="20"/>
              </w:rPr>
              <w:t>。</w:t>
            </w:r>
          </w:p>
          <w:p w14:paraId="393C9AF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00EA578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lang w:val="en-US" w:eastAsia="zh-CN"/>
              </w:rPr>
              <w:t>服务</w:t>
            </w:r>
            <w:r>
              <w:rPr>
                <w:rFonts w:hint="eastAsia" w:ascii="仿宋" w:hAnsi="仿宋" w:eastAsia="仿宋" w:cs="仿宋"/>
                <w:sz w:val="20"/>
                <w:szCs w:val="20"/>
              </w:rPr>
              <w:t>质量的书面说明等相关证明材料的。</w:t>
            </w:r>
          </w:p>
          <w:p w14:paraId="59EFB68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④响应报价是唯一确定的，不得存在区间值（如</w:t>
            </w:r>
            <w:r>
              <w:rPr>
                <w:rFonts w:hint="eastAsia" w:ascii="仿宋" w:hAnsi="仿宋" w:eastAsia="仿宋" w:cs="仿宋"/>
                <w:sz w:val="20"/>
                <w:szCs w:val="20"/>
                <w:lang w:val="en-US" w:eastAsia="zh-CN"/>
              </w:rPr>
              <w:t>90</w:t>
            </w:r>
            <w:r>
              <w:rPr>
                <w:rFonts w:hint="eastAsia" w:ascii="仿宋" w:hAnsi="仿宋" w:eastAsia="仿宋" w:cs="仿宋"/>
                <w:sz w:val="20"/>
                <w:szCs w:val="20"/>
              </w:rPr>
              <w:t>%～</w:t>
            </w:r>
            <w:r>
              <w:rPr>
                <w:rFonts w:hint="eastAsia" w:ascii="仿宋" w:hAnsi="仿宋" w:eastAsia="仿宋" w:cs="仿宋"/>
                <w:sz w:val="20"/>
                <w:szCs w:val="20"/>
                <w:lang w:val="en-US" w:eastAsia="zh-CN"/>
              </w:rPr>
              <w:t>95</w:t>
            </w:r>
            <w:r>
              <w:rPr>
                <w:rFonts w:hint="eastAsia" w:ascii="仿宋" w:hAnsi="仿宋" w:eastAsia="仿宋" w:cs="仿宋"/>
                <w:sz w:val="20"/>
                <w:szCs w:val="20"/>
              </w:rPr>
              <w:t>%）。</w:t>
            </w:r>
          </w:p>
          <w:p w14:paraId="2FD09E9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rPr>
              <w:t>⑤响应报价均应包含国家规定的税费。</w:t>
            </w:r>
          </w:p>
        </w:tc>
      </w:tr>
      <w:tr w14:paraId="55E6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4B1719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14:paraId="5FF146AA">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13DC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E1FB7E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14:paraId="6A73AAD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6E9A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A7D1AB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64E14C5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14:paraId="102F222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不得改动本谈判文件中已明确要求不得擅自删改的部分，以及遵守谈判文件中已列明必须遵照执行否则按无效响应处理的各类要求。</w:t>
            </w:r>
          </w:p>
        </w:tc>
      </w:tr>
      <w:tr w14:paraId="0459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C599E6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14:paraId="4DCC1A5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谈判</w:t>
            </w:r>
            <w:r>
              <w:rPr>
                <w:rFonts w:hint="eastAsia" w:ascii="仿宋" w:hAnsi="仿宋" w:eastAsia="仿宋" w:cs="仿宋"/>
                <w:color w:val="000000"/>
                <w:sz w:val="20"/>
                <w:szCs w:val="20"/>
                <w:highlight w:val="none"/>
                <w:lang w:eastAsia="zh-CN"/>
              </w:rPr>
              <w:t>文件</w:t>
            </w:r>
            <w:r>
              <w:rPr>
                <w:rFonts w:hint="eastAsia" w:ascii="仿宋" w:hAnsi="仿宋" w:eastAsia="仿宋" w:cs="仿宋"/>
                <w:color w:val="000000"/>
                <w:sz w:val="20"/>
                <w:szCs w:val="20"/>
                <w:highlight w:val="none"/>
              </w:rPr>
              <w:t>“★”号条款要求</w:t>
            </w:r>
          </w:p>
        </w:tc>
      </w:tr>
      <w:tr w14:paraId="4481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88A804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14:paraId="569B69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62019338">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9.“★”条款响应审查</w:t>
      </w:r>
    </w:p>
    <w:tbl>
      <w:tblPr>
        <w:tblStyle w:val="19"/>
        <w:tblpPr w:leftFromText="180" w:rightFromText="180" w:vertAnchor="text" w:horzAnchor="margin" w:tblpXSpec="center" w:tblpY="327"/>
        <w:tblOverlap w:val="never"/>
        <w:tblW w:w="10314" w:type="dxa"/>
        <w:tblInd w:w="0" w:type="dxa"/>
        <w:tblLayout w:type="fixed"/>
        <w:tblCellMar>
          <w:top w:w="0" w:type="dxa"/>
          <w:left w:w="108" w:type="dxa"/>
          <w:bottom w:w="0" w:type="dxa"/>
          <w:right w:w="108" w:type="dxa"/>
        </w:tblCellMar>
      </w:tblPr>
      <w:tblGrid>
        <w:gridCol w:w="611"/>
        <w:gridCol w:w="7157"/>
        <w:gridCol w:w="1206"/>
        <w:gridCol w:w="1340"/>
      </w:tblGrid>
      <w:tr w14:paraId="78044E2A">
        <w:tblPrEx>
          <w:tblCellMar>
            <w:top w:w="0" w:type="dxa"/>
            <w:left w:w="108" w:type="dxa"/>
            <w:bottom w:w="0" w:type="dxa"/>
            <w:right w:w="108" w:type="dxa"/>
          </w:tblCellMar>
        </w:tblPrEx>
        <w:trPr>
          <w:trHeight w:val="285" w:hRule="atLeast"/>
        </w:trPr>
        <w:tc>
          <w:tcPr>
            <w:tcW w:w="1031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D8B4603">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4"/>
                <w:highlight w:val="none"/>
                <w:lang w:val="en-US" w:eastAsia="zh-CN"/>
              </w:rPr>
            </w:pPr>
            <w:r>
              <w:rPr>
                <w:rFonts w:hint="eastAsia" w:ascii="仿宋" w:hAnsi="仿宋" w:eastAsia="仿宋" w:cs="仿宋"/>
                <w:b/>
                <w:bCs/>
                <w:color w:val="000000"/>
                <w:kern w:val="0"/>
                <w:sz w:val="24"/>
                <w:highlight w:val="none"/>
              </w:rPr>
              <w:t>“★”条款响应</w:t>
            </w:r>
            <w:r>
              <w:rPr>
                <w:rFonts w:hint="eastAsia" w:ascii="仿宋" w:hAnsi="仿宋" w:eastAsia="仿宋" w:cs="仿宋"/>
                <w:b/>
                <w:bCs/>
                <w:color w:val="000000"/>
                <w:kern w:val="0"/>
                <w:sz w:val="24"/>
                <w:highlight w:val="none"/>
                <w:lang w:val="en-US" w:eastAsia="zh-CN"/>
              </w:rPr>
              <w:t>情况</w:t>
            </w:r>
          </w:p>
        </w:tc>
      </w:tr>
      <w:tr w14:paraId="1FC2048A">
        <w:tblPrEx>
          <w:tblCellMar>
            <w:top w:w="0" w:type="dxa"/>
            <w:left w:w="108" w:type="dxa"/>
            <w:bottom w:w="0" w:type="dxa"/>
            <w:right w:w="108" w:type="dxa"/>
          </w:tblCellMar>
        </w:tblPrEx>
        <w:trPr>
          <w:trHeight w:val="285" w:hRule="atLeast"/>
        </w:trPr>
        <w:tc>
          <w:tcPr>
            <w:tcW w:w="7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642865">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rPr>
            </w:pPr>
            <w:r>
              <w:rPr>
                <w:rFonts w:hint="eastAsia" w:ascii="仿宋" w:hAnsi="仿宋" w:eastAsia="仿宋" w:cs="仿宋"/>
                <w:b/>
                <w:bCs/>
                <w:color w:val="000000"/>
                <w:kern w:val="0"/>
                <w:sz w:val="24"/>
                <w:highlight w:val="none"/>
              </w:rPr>
              <w:t>“★”条款</w:t>
            </w:r>
            <w:r>
              <w:rPr>
                <w:rFonts w:hint="eastAsia" w:ascii="仿宋" w:hAnsi="仿宋" w:eastAsia="仿宋" w:cs="仿宋"/>
                <w:b/>
                <w:bCs/>
                <w:color w:val="000000"/>
                <w:kern w:val="0"/>
                <w:sz w:val="22"/>
                <w:szCs w:val="22"/>
                <w:highlight w:val="none"/>
              </w:rPr>
              <w:t>要求</w:t>
            </w:r>
          </w:p>
        </w:tc>
        <w:tc>
          <w:tcPr>
            <w:tcW w:w="1206" w:type="dxa"/>
            <w:tcBorders>
              <w:top w:val="nil"/>
              <w:left w:val="nil"/>
              <w:bottom w:val="single" w:color="auto" w:sz="4" w:space="0"/>
              <w:right w:val="single" w:color="auto" w:sz="4" w:space="0"/>
            </w:tcBorders>
            <w:shd w:val="clear" w:color="auto" w:fill="auto"/>
            <w:noWrap/>
            <w:vAlign w:val="center"/>
          </w:tcPr>
          <w:p w14:paraId="63D67FB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rPr>
              <w:t>是否响应</w:t>
            </w:r>
          </w:p>
        </w:tc>
        <w:tc>
          <w:tcPr>
            <w:tcW w:w="1340" w:type="dxa"/>
            <w:tcBorders>
              <w:top w:val="nil"/>
              <w:left w:val="nil"/>
              <w:bottom w:val="single" w:color="auto" w:sz="4" w:space="0"/>
              <w:right w:val="single" w:color="auto" w:sz="4" w:space="0"/>
            </w:tcBorders>
            <w:shd w:val="clear" w:color="auto" w:fill="auto"/>
            <w:noWrap/>
            <w:vAlign w:val="center"/>
          </w:tcPr>
          <w:p w14:paraId="5FBB427F">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证明文件</w:t>
            </w:r>
          </w:p>
        </w:tc>
      </w:tr>
      <w:tr w14:paraId="6809687D">
        <w:tblPrEx>
          <w:tblCellMar>
            <w:top w:w="0" w:type="dxa"/>
            <w:left w:w="108" w:type="dxa"/>
            <w:bottom w:w="0" w:type="dxa"/>
            <w:right w:w="108" w:type="dxa"/>
          </w:tblCellMar>
        </w:tblPrEx>
        <w:trPr>
          <w:trHeight w:val="965" w:hRule="atLeast"/>
        </w:trPr>
        <w:tc>
          <w:tcPr>
            <w:tcW w:w="611" w:type="dxa"/>
            <w:vMerge w:val="restart"/>
            <w:tcBorders>
              <w:top w:val="single" w:color="auto" w:sz="4" w:space="0"/>
              <w:left w:val="single" w:color="auto" w:sz="4" w:space="0"/>
              <w:right w:val="single" w:color="auto" w:sz="4" w:space="0"/>
            </w:tcBorders>
            <w:shd w:val="clear" w:color="auto" w:fill="auto"/>
            <w:noWrap/>
            <w:vAlign w:val="center"/>
          </w:tcPr>
          <w:p w14:paraId="04C47212">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rPr>
              <w:t>公务车辆保险服务采购</w:t>
            </w:r>
            <w:r>
              <w:rPr>
                <w:rFonts w:hint="eastAsia" w:ascii="仿宋" w:hAnsi="仿宋" w:eastAsia="仿宋" w:cs="仿宋"/>
                <w:b/>
                <w:bCs/>
                <w:kern w:val="0"/>
                <w:sz w:val="24"/>
                <w:highlight w:val="none"/>
                <w:lang w:val="en-US" w:eastAsia="zh-CN"/>
              </w:rPr>
              <w:t>项目</w:t>
            </w:r>
          </w:p>
          <w:p w14:paraId="70160B0D">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要求</w:t>
            </w:r>
          </w:p>
        </w:tc>
        <w:tc>
          <w:tcPr>
            <w:tcW w:w="7157" w:type="dxa"/>
            <w:tcBorders>
              <w:top w:val="single" w:color="auto" w:sz="4" w:space="0"/>
              <w:left w:val="nil"/>
              <w:bottom w:val="single" w:color="auto" w:sz="4" w:space="0"/>
              <w:right w:val="single" w:color="auto" w:sz="4" w:space="0"/>
            </w:tcBorders>
            <w:shd w:val="clear" w:color="auto" w:fill="auto"/>
            <w:vAlign w:val="center"/>
          </w:tcPr>
          <w:p w14:paraId="2223ED64">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★（一）投保险种、赔偿限额</w:t>
            </w:r>
          </w:p>
          <w:p w14:paraId="34772CC5">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1、机动车交通事故责任强制保险（含车船税）；</w:t>
            </w:r>
          </w:p>
          <w:p w14:paraId="6132D8D4">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2、机动车商业险险种：</w:t>
            </w:r>
          </w:p>
          <w:p w14:paraId="72C6C6F0">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（1）机动车损失险（按参保车辆的实际价值确定）； </w:t>
            </w:r>
          </w:p>
          <w:p w14:paraId="29269CE6">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（2）机动车第三者责任险：每车每年保险金额200万元； </w:t>
            </w:r>
          </w:p>
          <w:p w14:paraId="0ACFD867">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（3）车上人员责任险（含司机险、乘客险）：保险金额5万元/座，以车辆行驶证核定座位数为准。</w:t>
            </w:r>
          </w:p>
          <w:p w14:paraId="031266A3">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39552DC9">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09A20E73">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r>
      <w:tr w14:paraId="50A913A8">
        <w:tblPrEx>
          <w:tblCellMar>
            <w:top w:w="0" w:type="dxa"/>
            <w:left w:w="108" w:type="dxa"/>
            <w:bottom w:w="0" w:type="dxa"/>
            <w:right w:w="108" w:type="dxa"/>
          </w:tblCellMar>
        </w:tblPrEx>
        <w:trPr>
          <w:trHeight w:val="658" w:hRule="atLeast"/>
        </w:trPr>
        <w:tc>
          <w:tcPr>
            <w:tcW w:w="611" w:type="dxa"/>
            <w:vMerge w:val="continue"/>
            <w:tcBorders>
              <w:left w:val="single" w:color="auto" w:sz="4" w:space="0"/>
              <w:right w:val="single" w:color="auto" w:sz="4" w:space="0"/>
            </w:tcBorders>
            <w:shd w:val="clear" w:color="auto" w:fill="auto"/>
            <w:noWrap/>
            <w:vAlign w:val="center"/>
          </w:tcPr>
          <w:p w14:paraId="52DA59C6">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7FE1673C">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★四、服务要求</w:t>
            </w:r>
          </w:p>
          <w:p w14:paraId="62E8A7C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1、供应商须配合采购人对公务用车保险统一承保进行管理。</w:t>
            </w:r>
          </w:p>
          <w:p w14:paraId="070DEE87">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2、供应商应设有统一服务热线，提供7天/24小时受理报案、查勘救援、投诉、咨询等服务，同时安排专人负责受理索赔报案，并提供便捷的定损理赔等服务。</w:t>
            </w:r>
          </w:p>
          <w:p w14:paraId="373E925D">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3、供应商接到报案通知后，项目服务专员立即开始协助采购人办理后续理赔手续，并对理赔过程进行监督与协调，确保优质</w:t>
            </w:r>
            <w:r>
              <w:rPr>
                <w:rFonts w:hint="eastAsia" w:ascii="仿宋" w:hAnsi="仿宋" w:eastAsia="仿宋" w:cs="仿宋"/>
                <w:color w:val="000000"/>
                <w:szCs w:val="21"/>
                <w:highlight w:val="none"/>
                <w:lang w:eastAsia="zh-CN"/>
              </w:rPr>
              <w:t>高效地</w:t>
            </w:r>
            <w:r>
              <w:rPr>
                <w:rFonts w:hint="eastAsia" w:ascii="仿宋" w:hAnsi="仿宋" w:eastAsia="仿宋" w:cs="仿宋"/>
                <w:color w:val="000000"/>
                <w:szCs w:val="21"/>
                <w:highlight w:val="none"/>
              </w:rPr>
              <w:t>完成后续理赔工作。</w:t>
            </w:r>
          </w:p>
          <w:p w14:paraId="542BD33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4、为确保定损的速度和质量，充分发挥采购人理赔人员数量多、专业技术好的优势，理赔服务专员可以调度对出险车型专业技术能力更强的定损人员完成本项目出险车辆的定损工作。</w:t>
            </w:r>
          </w:p>
          <w:p w14:paraId="52574BC0">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5、供应商在接到采购人的出险报案后需要进行现场查勘的，广州市内（天河区、越秀区、荔湾区、海珠区、白云区）应</w:t>
            </w:r>
            <w:r>
              <w:rPr>
                <w:rFonts w:hint="eastAsia" w:ascii="仿宋" w:hAnsi="仿宋" w:eastAsia="仿宋" w:cs="仿宋"/>
                <w:color w:val="000000"/>
                <w:szCs w:val="21"/>
                <w:highlight w:val="none"/>
                <w:lang w:eastAsia="zh-CN"/>
              </w:rPr>
              <w:t>30分钟内</w:t>
            </w:r>
            <w:r>
              <w:rPr>
                <w:rFonts w:hint="eastAsia" w:ascii="仿宋" w:hAnsi="仿宋" w:eastAsia="仿宋" w:cs="仿宋"/>
                <w:color w:val="000000"/>
                <w:szCs w:val="21"/>
                <w:highlight w:val="none"/>
              </w:rPr>
              <w:t>赶到现场，广州市其他区域60分钟内应赶到现场。若采购人的参保车辆在广东省内其他市县出险，供应商应在2小时内到达现场，或由供应商位于出险地的分支机构进行现场查勘与检验定损。</w:t>
            </w:r>
          </w:p>
          <w:p w14:paraId="5BF21DB8">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6、事故发生后，接到采购人报案后，对于属于保险责任的事故，供应商按照以下约定及时定损：</w:t>
            </w:r>
          </w:p>
          <w:p w14:paraId="575D56D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a)1万元以下，1个工作日内定损完毕；</w:t>
            </w:r>
          </w:p>
          <w:p w14:paraId="36E4BD9D">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b)1万元-3 万元，3个工作日内定损完毕；</w:t>
            </w:r>
          </w:p>
          <w:p w14:paraId="7DA4AFF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c)3万元-5 万元，7个工作日内定损完毕；</w:t>
            </w:r>
          </w:p>
          <w:p w14:paraId="772C7622">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d)特殊情况与采购人协商确定。</w:t>
            </w:r>
          </w:p>
          <w:p w14:paraId="7F38076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7、在采购人提供完整必要的索赔材料后，供应商承诺按下列约定时限向采购人支付赔款：</w:t>
            </w:r>
          </w:p>
          <w:p w14:paraId="1A3AA8EE">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a)1万元以下，1个工作日内赔付；</w:t>
            </w:r>
          </w:p>
          <w:p w14:paraId="0788FAE3">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b)5万元以下，5个工作日内赔付；</w:t>
            </w:r>
          </w:p>
          <w:p w14:paraId="15291659">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c)20万元以下，10个工作日内赔付；</w:t>
            </w:r>
          </w:p>
          <w:p w14:paraId="1286C8F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d)20万元以上，15个工作日内赔付；</w:t>
            </w:r>
          </w:p>
          <w:p w14:paraId="752BF48E">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f)特殊情况与采购人协商确定。</w:t>
            </w:r>
          </w:p>
          <w:p w14:paraId="55D989E2">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8、经供应商查勘现场的轻微人伤案件，人伤损失在3000元以内的，查勘员能现场处理且解决费用支付，供应商给予确认赔付。</w:t>
            </w:r>
          </w:p>
          <w:p w14:paraId="0173C6F6">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9、拖车服务。若参保车辆因故障丧失行驶能力，供应商将为采购人联系救援单位，在广州地区提供不限公里数的无偿拖车服务，在广州地区外提供不超过30公里无偿拖车服务（拖车不能进入的场所除外）。</w:t>
            </w:r>
          </w:p>
          <w:p w14:paraId="384C81C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10、更换轮胎服务。若参保车辆因爆胎或轮胎漏气而需要换备胎时，广州市范围内供应商将为采购人联系救援单位赶到事发地点提供</w:t>
            </w:r>
            <w:r>
              <w:rPr>
                <w:rFonts w:hint="eastAsia" w:ascii="仿宋" w:hAnsi="仿宋" w:eastAsia="仿宋" w:cs="仿宋"/>
                <w:color w:val="000000"/>
                <w:szCs w:val="21"/>
                <w:highlight w:val="none"/>
                <w:lang w:val="en-US" w:eastAsia="zh-CN"/>
              </w:rPr>
              <w:t>无偿</w:t>
            </w:r>
            <w:r>
              <w:rPr>
                <w:rFonts w:hint="eastAsia" w:ascii="仿宋" w:hAnsi="仿宋" w:eastAsia="仿宋" w:cs="仿宋"/>
                <w:color w:val="000000"/>
                <w:szCs w:val="21"/>
                <w:highlight w:val="none"/>
              </w:rPr>
              <w:t>更换备胎。</w:t>
            </w:r>
          </w:p>
          <w:p w14:paraId="65E16A52">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11、参保车辆发生人伤事故时，且在明确事故责任后，供应商能提供伤者医疗跟踪、伤残鉴定等咨询服务，要求供应商至少安排一名人伤事故处理经验丰富的人员，专门负责全程跟进医疗核损服务和理赔事宜，并根据伤者病情前往探望、了解病情、核实费用，促进赔案快速、圆满解决。</w:t>
            </w:r>
          </w:p>
          <w:p w14:paraId="1FBE52B5">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12、供应商与采购人就赔偿结果无法达成一致，根据采购人的要求，应指定具有国内保险公估营业许可的双方认可的公估公司进行损失理算，并负担有关公估费用。</w:t>
            </w:r>
          </w:p>
          <w:p w14:paraId="2E393252">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13、如未按约定时间定损，造成财产损失无法确定，以采购人提供的财产损毁照片、损失清单和修理发票作为赔付理算依据。</w:t>
            </w:r>
          </w:p>
          <w:p w14:paraId="302FCF17">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14、车辆出险后，除了供应商推荐的修理厂外，采购人可自选资质合格的修理厂及专修厂修理受损车辆；对于采购人自选的资质合格的修理厂及专修厂，供应商予以认可。</w:t>
            </w:r>
          </w:p>
          <w:p w14:paraId="05FC94FB">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15、受损车辆在双方共同认可的资质合格的修理厂或专修厂修理，定损应与修理厂或专修厂共同完成。</w:t>
            </w:r>
          </w:p>
          <w:p w14:paraId="366DE0FC">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16、受损车辆的维修以修复为原则，但涉及车辆行车安全的关键零部件（如：刹车系统、转向系统），同意一律予以更换。受损车辆更换零部件为原厂配件。</w:t>
            </w:r>
          </w:p>
          <w:p w14:paraId="29281644">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17、采购人所投保的车辆发生财产、人伤保险事故时，供应商按保单给予最高限额赔付，不设免赔金额。</w:t>
            </w:r>
          </w:p>
          <w:p w14:paraId="7F931A94">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18、商业险按采购人所投保险种金额责任范围核定金额赔偿（含协商赔付），不设免赔赔付金额。</w:t>
            </w:r>
          </w:p>
          <w:p w14:paraId="1A58B74D">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19、对于重大案件或发生纠纷的案件，供应商协助采购人处理事故，提供法律援助服务，避免不必要的损失。</w:t>
            </w:r>
          </w:p>
          <w:p w14:paraId="574B8DB3">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0FAC83D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28AEBACF">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15B0ACED">
        <w:tblPrEx>
          <w:tblCellMar>
            <w:top w:w="0" w:type="dxa"/>
            <w:left w:w="108" w:type="dxa"/>
            <w:bottom w:w="0" w:type="dxa"/>
            <w:right w:w="108" w:type="dxa"/>
          </w:tblCellMar>
        </w:tblPrEx>
        <w:trPr>
          <w:trHeight w:val="698" w:hRule="atLeast"/>
        </w:trPr>
        <w:tc>
          <w:tcPr>
            <w:tcW w:w="611" w:type="dxa"/>
            <w:vMerge w:val="continue"/>
            <w:tcBorders>
              <w:left w:val="single" w:color="auto" w:sz="4" w:space="0"/>
              <w:right w:val="single" w:color="auto" w:sz="4" w:space="0"/>
            </w:tcBorders>
            <w:shd w:val="clear" w:color="auto" w:fill="auto"/>
            <w:noWrap/>
            <w:vAlign w:val="center"/>
          </w:tcPr>
          <w:p w14:paraId="0E67625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65F0CAF7">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★五、报价要求</w:t>
            </w:r>
          </w:p>
          <w:p w14:paraId="5FF2AE3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1、机动车辆交通事故责任强制险按国家金融监督管理总局（原为中国银行保险监督管理委员会）制定的《机动车交通事故责任强制保险费率方案》（以最新版本为准）统一执行，无需供应商报价。</w:t>
            </w:r>
          </w:p>
          <w:p w14:paraId="5A5BA080">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机动车商业险实际保费=中国保险行业协会商业车险费率基准（下简称“标准保费”）×无赔款优待系数（NCD系数）×自主定价系数，其中标准保费和无赔款优待系数（NCD系数）所包含的基准纯风险保费、交通违法系数等费率均参照中国保险行业协会拟定的费率基准（费率基准编号为F2015103）执行，因此无需对标准保费及无赔款优待系数（NCD系数），供应商仅需对机动车商业险的自主定价系数进行报价。</w:t>
            </w:r>
          </w:p>
          <w:p w14:paraId="5BACF56B">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供应商可根据市场供求关系、客户车辆出险等情况确定自主定价系数。根据国家金融监督管理总局（原为中国银行保险监督管理委员会）印发的《中国银保监会关于印发实施车险综合改革指导意见的通知》（银保监发〔2020〕41 号）及《中国银保监会关于进一步扩大商业车险自主定价系数浮动范围等有关事项的通知》（银保监规〔2022〕23号），结合采购人实际情况，本项目商业车险自主定价系数须为50%-100%之间的</w:t>
            </w:r>
            <w:r>
              <w:rPr>
                <w:rFonts w:hint="eastAsia" w:ascii="仿宋" w:hAnsi="仿宋" w:eastAsia="仿宋" w:cs="仿宋"/>
                <w:color w:val="000000"/>
                <w:szCs w:val="21"/>
                <w:highlight w:val="none"/>
                <w:lang w:val="en-US" w:eastAsia="zh-CN"/>
              </w:rPr>
              <w:t>特定</w:t>
            </w:r>
            <w:r>
              <w:rPr>
                <w:rFonts w:hint="eastAsia" w:ascii="仿宋" w:hAnsi="仿宋" w:eastAsia="仿宋" w:cs="仿宋"/>
                <w:color w:val="000000"/>
                <w:szCs w:val="21"/>
                <w:highlight w:val="none"/>
              </w:rPr>
              <w:t>数值，且报价是固定唯一，不能为区间值，超出范围视为无效响应。</w:t>
            </w:r>
          </w:p>
          <w:p w14:paraId="1FE17BA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43F97778">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6B47FE8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193F768F">
        <w:tblPrEx>
          <w:tblCellMar>
            <w:top w:w="0" w:type="dxa"/>
            <w:left w:w="108" w:type="dxa"/>
            <w:bottom w:w="0" w:type="dxa"/>
            <w:right w:w="108" w:type="dxa"/>
          </w:tblCellMar>
        </w:tblPrEx>
        <w:trPr>
          <w:trHeight w:val="687" w:hRule="atLeast"/>
        </w:trPr>
        <w:tc>
          <w:tcPr>
            <w:tcW w:w="611" w:type="dxa"/>
            <w:vMerge w:val="continue"/>
            <w:tcBorders>
              <w:left w:val="single" w:color="auto" w:sz="4" w:space="0"/>
              <w:right w:val="single" w:color="auto" w:sz="4" w:space="0"/>
            </w:tcBorders>
            <w:shd w:val="clear" w:color="auto" w:fill="auto"/>
            <w:noWrap/>
            <w:vAlign w:val="center"/>
          </w:tcPr>
          <w:p w14:paraId="0358675C">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2572BB90">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★六、结算方式</w:t>
            </w:r>
          </w:p>
          <w:p w14:paraId="0973C7CC">
            <w:pPr>
              <w:keepNext w:val="0"/>
              <w:keepLines w:val="0"/>
              <w:numPr>
                <w:ilvl w:val="0"/>
                <w:numId w:val="0"/>
              </w:numPr>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kern w:val="2"/>
                <w:sz w:val="21"/>
                <w:szCs w:val="21"/>
                <w:lang w:val="en-US" w:eastAsia="zh-CN" w:bidi="ar-SA"/>
              </w:rPr>
              <w:t>1、</w:t>
            </w:r>
            <w:r>
              <w:rPr>
                <w:rFonts w:hint="eastAsia" w:ascii="仿宋" w:hAnsi="仿宋" w:eastAsia="仿宋" w:cs="仿宋"/>
                <w:color w:val="000000"/>
                <w:szCs w:val="21"/>
                <w:highlight w:val="none"/>
              </w:rPr>
              <w:t>保险费按实际购买车辆数据实结算。车辆保险到期前1个月内，供应商须提供服务专员主动上门服务，负责与采购人及时签订车辆保险单，并将《保费缴款通知书》（包含承保车辆明细信息）和支付车辆保险费用的申请送交采购人。经双方对服务车辆清单及费用确认后，采购人对保费予以结算，并在满足支付条件后30日内一次性支付保险费用，供应商根据采购人所支付的保费金额出具合法有效发票和保单，累计支付上限最高不超过25万元。</w:t>
            </w:r>
          </w:p>
          <w:p w14:paraId="45F579F3">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bCs/>
                <w:szCs w:val="21"/>
                <w:highlight w:val="none"/>
              </w:rPr>
            </w:pPr>
            <w:r>
              <w:rPr>
                <w:rFonts w:hint="eastAsia" w:ascii="仿宋" w:hAnsi="仿宋" w:eastAsia="仿宋" w:cs="仿宋"/>
                <w:color w:val="000000"/>
                <w:szCs w:val="21"/>
                <w:highlight w:val="none"/>
              </w:rPr>
              <w:t>2、付款方式：采用银行转账形式。</w:t>
            </w:r>
          </w:p>
          <w:p w14:paraId="24E17DF9">
            <w:pPr>
              <w:keepNext w:val="0"/>
              <w:keepLines w:val="0"/>
              <w:numPr>
                <w:ilvl w:val="0"/>
                <w:numId w:val="0"/>
              </w:numPr>
              <w:suppressLineNumbers w:val="0"/>
              <w:spacing w:before="0" w:beforeAutospacing="0" w:after="0" w:afterAutospacing="0" w:line="240" w:lineRule="auto"/>
              <w:ind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20C0C19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5158D018">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499F19E9">
        <w:tblPrEx>
          <w:tblCellMar>
            <w:top w:w="0" w:type="dxa"/>
            <w:left w:w="108" w:type="dxa"/>
            <w:bottom w:w="0" w:type="dxa"/>
            <w:right w:w="108" w:type="dxa"/>
          </w:tblCellMar>
        </w:tblPrEx>
        <w:trPr>
          <w:trHeight w:val="131" w:hRule="atLeast"/>
        </w:trPr>
        <w:tc>
          <w:tcPr>
            <w:tcW w:w="611" w:type="dxa"/>
            <w:vMerge w:val="continue"/>
            <w:tcBorders>
              <w:left w:val="single" w:color="auto" w:sz="4" w:space="0"/>
              <w:right w:val="single" w:color="auto" w:sz="4" w:space="0"/>
            </w:tcBorders>
            <w:shd w:val="clear" w:color="auto" w:fill="auto"/>
            <w:noWrap/>
            <w:vAlign w:val="center"/>
          </w:tcPr>
          <w:p w14:paraId="1A82121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7997C7F0">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★七、违约责任与赔偿损失</w:t>
            </w:r>
          </w:p>
          <w:p w14:paraId="6ECFD266">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1、供应商提供的服务不符合本合同规定的，采购人有权拒收，并且供应商须向采购人支付本合同总价5%的违约金。</w:t>
            </w:r>
          </w:p>
          <w:p w14:paraId="33B14341">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2、供应商未能按本项目合同规定的时间提供承诺的服务，从逾期之日起每日按本合同总价3‰的数额向采购人支付违约金；逾期半个月以上的，采购人有权终止合同，由此造成的采购人经济损失由供应商承担。</w:t>
            </w:r>
          </w:p>
          <w:p w14:paraId="3AFC5105">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3、其他违约责任按《中华人民共和国民法典》处理。</w:t>
            </w:r>
          </w:p>
          <w:p w14:paraId="1F8BF2B0">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66E4CAC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green"/>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06512A17">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bl>
    <w:p w14:paraId="2737C93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供应商必须按谈判文件中“★”条款要求内容据实填写，不得虚假应答，否则将取消其成交资格。</w:t>
      </w:r>
    </w:p>
    <w:p w14:paraId="255ECE01">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10.价格比较。在对最后报价的供应商进行排序前，评审委员会对响应文件的有效性、完整性和响应程度进行最终审查。评审委员会对实质性响应谈判文件要求的供应商进行价格比较。</w:t>
      </w:r>
    </w:p>
    <w:p w14:paraId="7E5AE39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11.评定成交标准</w:t>
      </w:r>
    </w:p>
    <w:p w14:paraId="0F46761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评审委员会应当从质量和服务均能满足院内谈判文件实质性响应要求的供应商中，按照最后报价由低到高的顺序推荐成交候选人。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若成交候选人出现并列情形（即在满足实质性响应的前提条件下，最后报价相同），则通过随机抽取的方式确定成交供应商。 </w:t>
      </w:r>
    </w:p>
    <w:p w14:paraId="58E6989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12.评审委员会</w:t>
      </w:r>
      <w:r>
        <w:rPr>
          <w:rFonts w:hint="eastAsia" w:ascii="仿宋" w:hAnsi="仿宋" w:eastAsia="仿宋" w:cs="仿宋"/>
          <w:color w:val="000000" w:themeColor="text1"/>
          <w:sz w:val="24"/>
          <w:szCs w:val="24"/>
          <w:highlight w:val="none"/>
          <w14:textFill>
            <w14:solidFill>
              <w14:schemeClr w14:val="tx1"/>
            </w14:solidFill>
          </w14:textFill>
        </w:rPr>
        <w:t>对响应文件中的报价出现前后不一致的，按照下列规定修正：</w:t>
      </w:r>
    </w:p>
    <w:p w14:paraId="534264A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响应文件中</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内容与响应文件中相应内容不一致的，以</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为准；</w:t>
      </w:r>
    </w:p>
    <w:p w14:paraId="7952B8E0">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大写金额和小写金额不一致的，以大写金额为准；</w:t>
      </w:r>
    </w:p>
    <w:p w14:paraId="44AFCBA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单价金额小数点或者百分比有明显错位的，以</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的总价为准，并修改单价；</w:t>
      </w:r>
    </w:p>
    <w:p w14:paraId="31E55A26">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总价金额与按单价汇总金额不一致的，以单价金额计算结果为准。</w:t>
      </w:r>
    </w:p>
    <w:p w14:paraId="3AE1DDF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同时出现两种以上不一致的，按照该条款规定的顺序修正。修正后的报价经</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书面确认后产生约束力，</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不确认的，其响应无效。</w:t>
      </w:r>
    </w:p>
    <w:p w14:paraId="55EF79C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评审报告应当由</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w:t>
      </w:r>
      <w:r>
        <w:rPr>
          <w:rFonts w:hint="eastAsia" w:ascii="仿宋" w:hAnsi="仿宋" w:eastAsia="仿宋" w:cs="仿宋"/>
          <w:color w:val="000000" w:themeColor="text1"/>
          <w:sz w:val="24"/>
          <w:szCs w:val="24"/>
          <w:highlight w:val="none"/>
          <w14:textFill>
            <w14:solidFill>
              <w14:schemeClr w14:val="tx1"/>
            </w14:solidFill>
          </w14:textFill>
        </w:rPr>
        <w:t>全体人员签字认可。</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评审委员会成员</w:t>
      </w:r>
      <w:r>
        <w:rPr>
          <w:rFonts w:hint="eastAsia" w:ascii="仿宋" w:hAnsi="仿宋" w:eastAsia="仿宋" w:cs="仿宋"/>
          <w:color w:val="000000" w:themeColor="text1"/>
          <w:sz w:val="24"/>
          <w:szCs w:val="24"/>
          <w:highlight w:val="none"/>
          <w14:textFill>
            <w14:solidFill>
              <w14:schemeClr w14:val="tx1"/>
            </w14:solidFill>
          </w14:textFill>
        </w:rPr>
        <w:t>对需要共同</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评定</w:t>
      </w:r>
      <w:r>
        <w:rPr>
          <w:rFonts w:hint="eastAsia" w:ascii="仿宋" w:hAnsi="仿宋" w:eastAsia="仿宋" w:cs="仿宋"/>
          <w:color w:val="000000" w:themeColor="text1"/>
          <w:sz w:val="24"/>
          <w:szCs w:val="24"/>
          <w:highlight w:val="none"/>
          <w14:textFill>
            <w14:solidFill>
              <w14:schemeClr w14:val="tx1"/>
            </w14:solidFill>
          </w14:textFill>
        </w:rPr>
        <w:t>的事项存在争议的，应当按照少数服从多数的原则作出结论。持不同意见的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评审委员会成员</w:t>
      </w:r>
      <w:r>
        <w:rPr>
          <w:rFonts w:hint="eastAsia" w:ascii="仿宋" w:hAnsi="仿宋" w:eastAsia="仿宋" w:cs="仿宋"/>
          <w:color w:val="000000" w:themeColor="text1"/>
          <w:sz w:val="24"/>
          <w:szCs w:val="24"/>
          <w:highlight w:val="none"/>
          <w14:textFill>
            <w14:solidFill>
              <w14:schemeClr w14:val="tx1"/>
            </w14:solidFill>
          </w14:textFill>
        </w:rPr>
        <w:t>应当在</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评审报告</w:t>
      </w:r>
      <w:r>
        <w:rPr>
          <w:rFonts w:hint="eastAsia" w:ascii="仿宋" w:hAnsi="仿宋" w:eastAsia="仿宋" w:cs="仿宋"/>
          <w:color w:val="000000" w:themeColor="text1"/>
          <w:sz w:val="24"/>
          <w:szCs w:val="24"/>
          <w:highlight w:val="none"/>
          <w14:textFill>
            <w14:solidFill>
              <w14:schemeClr w14:val="tx1"/>
            </w14:solidFill>
          </w14:textFill>
        </w:rPr>
        <w:t>上签署不同意见并说明理由，</w:t>
      </w:r>
      <w:r>
        <w:rPr>
          <w:rFonts w:hint="eastAsia" w:ascii="仿宋" w:hAnsi="仿宋" w:eastAsia="仿宋" w:cs="仿宋"/>
          <w:color w:val="000000" w:themeColor="text1"/>
          <w:sz w:val="24"/>
          <w:szCs w:val="24"/>
          <w:highlight w:val="none"/>
          <w:lang w:val="en-US" w:eastAsia="zh-CN"/>
          <w14:textFill>
            <w14:solidFill>
              <w14:schemeClr w14:val="tx1"/>
            </w14:solidFill>
          </w14:textFill>
        </w:rPr>
        <w:t>若</w:t>
      </w:r>
      <w:r>
        <w:rPr>
          <w:rFonts w:hint="eastAsia" w:ascii="仿宋" w:hAnsi="仿宋" w:eastAsia="仿宋" w:cs="仿宋"/>
          <w:color w:val="000000" w:themeColor="text1"/>
          <w:sz w:val="24"/>
          <w:szCs w:val="24"/>
          <w:highlight w:val="none"/>
          <w14:textFill>
            <w14:solidFill>
              <w14:schemeClr w14:val="tx1"/>
            </w14:solidFill>
          </w14:textFill>
        </w:rPr>
        <w:t>拒绝在</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w:t>
      </w:r>
      <w:r>
        <w:rPr>
          <w:rFonts w:hint="eastAsia" w:ascii="仿宋" w:hAnsi="仿宋" w:eastAsia="仿宋" w:cs="仿宋"/>
          <w:color w:val="000000" w:themeColor="text1"/>
          <w:sz w:val="24"/>
          <w:szCs w:val="24"/>
          <w:highlight w:val="none"/>
          <w14:textFill>
            <w14:solidFill>
              <w14:schemeClr w14:val="tx1"/>
            </w14:solidFill>
          </w14:textFill>
        </w:rPr>
        <w:t>报告上签字又不书面说明其不同意见和理由的，视为同意评审报告。</w:t>
      </w:r>
    </w:p>
    <w:p w14:paraId="395ADF4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bCs/>
          <w:color w:val="000000" w:themeColor="text1"/>
          <w:sz w:val="24"/>
          <w:szCs w:val="24"/>
          <w:highlight w:val="none"/>
          <w14:textFill>
            <w14:solidFill>
              <w14:schemeClr w14:val="tx1"/>
            </w14:solidFill>
          </w14:textFill>
        </w:rPr>
        <w:t>推荐</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候选人名单</w:t>
      </w:r>
    </w:p>
    <w:p w14:paraId="0F4A45D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评审委员会从推荐的成交候选人中确定排名第一的供应商成交。排名第一的供应商放弃成交或出现法定原因不能成交的，可以确定排名第二的供应商为成交供应商，并以此类推，也可重新采购。拒绝签订采购合同的成交供应商不得参加对该项目重新开展的采购活动。</w:t>
      </w:r>
    </w:p>
    <w:p w14:paraId="048ECAD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bCs/>
          <w:color w:val="000000" w:themeColor="text1"/>
          <w:sz w:val="24"/>
          <w:szCs w:val="24"/>
          <w:highlight w:val="none"/>
          <w14:textFill>
            <w14:solidFill>
              <w14:schemeClr w14:val="tx1"/>
            </w14:solidFill>
          </w14:textFill>
        </w:rPr>
        <w:t>发布</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结果</w:t>
      </w:r>
    </w:p>
    <w:p w14:paraId="6EB354E5">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541A861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七、质疑与投诉</w:t>
      </w:r>
    </w:p>
    <w:p w14:paraId="5FB1D70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质疑</w:t>
      </w:r>
    </w:p>
    <w:p w14:paraId="761C6723">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1、提出质疑的供应商应当是参与所质疑项目采购活动的供应商。</w:t>
      </w:r>
    </w:p>
    <w:p w14:paraId="3C56831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供应商认为</w:t>
      </w:r>
      <w:r>
        <w:rPr>
          <w:rFonts w:hint="eastAsia" w:ascii="仿宋" w:hAnsi="仿宋" w:eastAsia="仿宋" w:cs="仿宋"/>
          <w:color w:val="000000" w:themeColor="text1"/>
          <w:sz w:val="24"/>
          <w:szCs w:val="24"/>
          <w:highlight w:val="none"/>
          <w:lang w:eastAsia="zh-CN"/>
          <w14:textFill>
            <w14:solidFill>
              <w14:schemeClr w14:val="tx1"/>
            </w14:solidFill>
          </w14:textFill>
        </w:rPr>
        <w:t>谈判文件</w:t>
      </w:r>
      <w:r>
        <w:rPr>
          <w:rFonts w:hint="eastAsia" w:ascii="仿宋" w:hAnsi="仿宋" w:eastAsia="仿宋" w:cs="仿宋"/>
          <w:color w:val="000000" w:themeColor="text1"/>
          <w:sz w:val="24"/>
          <w:szCs w:val="24"/>
          <w:highlight w:val="none"/>
          <w14:textFill>
            <w14:solidFill>
              <w14:schemeClr w14:val="tx1"/>
            </w14:solidFill>
          </w14:textFill>
        </w:rPr>
        <w:t>、采购过程、中标或者成交结果使自己的权益受到损害的，可以在知道或者应知其权益受到损害之日起</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个工作日内，以书面形式由法定代表人或授权代表签字并加盖单位公章后</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向采购人提出质疑。</w:t>
      </w:r>
    </w:p>
    <w:p w14:paraId="00E21471">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、供应商应在</w:t>
      </w:r>
      <w:r>
        <w:rPr>
          <w:rFonts w:hint="eastAsia" w:ascii="仿宋" w:hAnsi="仿宋" w:eastAsia="仿宋" w:cs="仿宋"/>
          <w:color w:val="000000" w:themeColor="text1"/>
          <w:sz w:val="24"/>
          <w:szCs w:val="24"/>
          <w:highlight w:val="none"/>
          <w:lang w:val="en-US" w:eastAsia="zh-CN"/>
          <w14:textFill>
            <w14:solidFill>
              <w14:schemeClr w14:val="tx1"/>
            </w14:solidFill>
          </w14:textFill>
        </w:rPr>
        <w:t>限定</w:t>
      </w:r>
      <w:r>
        <w:rPr>
          <w:rFonts w:hint="eastAsia" w:ascii="仿宋" w:hAnsi="仿宋" w:eastAsia="仿宋" w:cs="仿宋"/>
          <w:color w:val="000000" w:themeColor="text1"/>
          <w:sz w:val="24"/>
          <w:szCs w:val="24"/>
          <w:highlight w:val="none"/>
          <w14:textFill>
            <w14:solidFill>
              <w14:schemeClr w14:val="tx1"/>
            </w14:solidFill>
          </w14:textFill>
        </w:rPr>
        <w:t>质疑期内一次性提出针对同一采购程序环节的质疑。若对项目的某一分包进行质疑，质疑函中应列明具体分包号。</w:t>
      </w:r>
    </w:p>
    <w:p w14:paraId="527E069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、采购人不得拒收质疑供应商在</w:t>
      </w:r>
      <w:r>
        <w:rPr>
          <w:rFonts w:hint="eastAsia" w:ascii="仿宋" w:hAnsi="仿宋" w:eastAsia="仿宋" w:cs="仿宋"/>
          <w:color w:val="000000" w:themeColor="text1"/>
          <w:sz w:val="24"/>
          <w:szCs w:val="24"/>
          <w:highlight w:val="none"/>
          <w:lang w:eastAsia="zh-CN"/>
          <w14:textFill>
            <w14:solidFill>
              <w14:schemeClr w14:val="tx1"/>
            </w14:solidFill>
          </w14:textFill>
        </w:rPr>
        <w:t>限定质疑</w:t>
      </w:r>
      <w:r>
        <w:rPr>
          <w:rFonts w:hint="eastAsia" w:ascii="仿宋" w:hAnsi="仿宋" w:eastAsia="仿宋" w:cs="仿宋"/>
          <w:color w:val="000000" w:themeColor="text1"/>
          <w:sz w:val="24"/>
          <w:szCs w:val="24"/>
          <w:highlight w:val="none"/>
          <w14:textFill>
            <w14:solidFill>
              <w14:schemeClr w14:val="tx1"/>
            </w14:solidFill>
          </w14:textFill>
        </w:rPr>
        <w:t>期内发出的质疑函，应当在收到质疑函后7个工作日内作出答复，并以书面形式通知质疑供应商和其他有关供应商。</w:t>
      </w:r>
    </w:p>
    <w:p w14:paraId="2F65608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供应商对评审过程、中标或者成交结果提出质疑的，采购人可以组织原</w:t>
      </w:r>
      <w:r>
        <w:rPr>
          <w:rFonts w:hint="eastAsia" w:ascii="仿宋" w:hAnsi="仿宋" w:eastAsia="仿宋" w:cs="仿宋"/>
          <w:color w:val="000000" w:themeColor="text1"/>
          <w:sz w:val="24"/>
          <w:szCs w:val="24"/>
          <w:highlight w:val="none"/>
          <w:lang w:eastAsia="zh-CN"/>
          <w14:textFill>
            <w14:solidFill>
              <w14:schemeClr w14:val="tx1"/>
            </w14:solidFill>
          </w14:textFill>
        </w:rPr>
        <w:t>评审委员会</w:t>
      </w:r>
      <w:r>
        <w:rPr>
          <w:rFonts w:hint="eastAsia" w:ascii="仿宋" w:hAnsi="仿宋" w:eastAsia="仿宋" w:cs="仿宋"/>
          <w:color w:val="000000" w:themeColor="text1"/>
          <w:sz w:val="24"/>
          <w:szCs w:val="24"/>
          <w:highlight w:val="none"/>
          <w14:textFill>
            <w14:solidFill>
              <w14:schemeClr w14:val="tx1"/>
            </w14:solidFill>
          </w14:textFill>
        </w:rPr>
        <w:t xml:space="preserve">协助答复质疑。  </w:t>
      </w:r>
    </w:p>
    <w:p w14:paraId="2CF55B31">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1820BFC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69C7160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供应商的姓名或者名称、地址、邮编、联系人及联系电话；</w:t>
      </w:r>
    </w:p>
    <w:p w14:paraId="4906E4AE">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质疑项目的名称、编号；</w:t>
      </w:r>
    </w:p>
    <w:p w14:paraId="14090AF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具体、明确的质疑事项和与质疑事项相关的请求；</w:t>
      </w:r>
    </w:p>
    <w:p w14:paraId="33C0B80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事实依据；</w:t>
      </w:r>
    </w:p>
    <w:p w14:paraId="493C733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必要的法律依据；</w:t>
      </w:r>
    </w:p>
    <w:p w14:paraId="64B13CD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提出质疑的日期。</w:t>
      </w:r>
    </w:p>
    <w:p w14:paraId="0205A0F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413515D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23B40D3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6FBAAE54">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33687E6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CF64A91">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078FCFA5">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4E7D371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八、合同的订立 </w:t>
      </w:r>
    </w:p>
    <w:p w14:paraId="040EBFA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color w:val="000000"/>
          <w:sz w:val="24"/>
          <w:szCs w:val="36"/>
          <w:highlight w:val="none"/>
        </w:rPr>
      </w:pPr>
      <w:r>
        <w:rPr>
          <w:rFonts w:hint="eastAsia" w:ascii="仿宋" w:hAnsi="仿宋" w:eastAsia="仿宋" w:cs="仿宋"/>
          <w:b w:val="0"/>
          <w:bCs w:val="0"/>
          <w:sz w:val="24"/>
          <w:szCs w:val="24"/>
          <w:highlight w:val="none"/>
          <w:lang w:val="en-US" w:eastAsia="zh-CN"/>
        </w:rPr>
        <w:t>采购人与成交人自成交通知书发出之日起三十日内，按谈判文件要求和成交人响应文件承诺签订采购合同，但不得超出谈判文件和成交人响应文件的范围，也不得再行订立背离合同实质性内容的其他协议。</w:t>
      </w:r>
    </w:p>
    <w:p w14:paraId="2E858003">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14:paraId="426AC7F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ED79261">
      <w:pPr>
        <w:pStyle w:val="24"/>
        <w:rPr>
          <w:rFonts w:hint="eastAsia" w:ascii="微软雅黑" w:hAnsi="微软雅黑" w:eastAsia="微软雅黑" w:cs="微软雅黑"/>
          <w:color w:val="000000"/>
          <w:highlight w:val="none"/>
        </w:rPr>
      </w:pPr>
    </w:p>
    <w:p w14:paraId="5DC454B2">
      <w:pPr>
        <w:pStyle w:val="24"/>
        <w:rPr>
          <w:rFonts w:hint="eastAsia" w:ascii="微软雅黑" w:hAnsi="微软雅黑" w:eastAsia="微软雅黑" w:cs="微软雅黑"/>
          <w:color w:val="000000"/>
          <w:highlight w:val="none"/>
        </w:rPr>
      </w:pPr>
    </w:p>
    <w:p w14:paraId="1DEA5019">
      <w:pPr>
        <w:pStyle w:val="24"/>
        <w:rPr>
          <w:rFonts w:hint="eastAsia" w:ascii="微软雅黑" w:hAnsi="微软雅黑" w:eastAsia="微软雅黑" w:cs="微软雅黑"/>
          <w:color w:val="000000"/>
          <w:highlight w:val="none"/>
        </w:rPr>
      </w:pPr>
    </w:p>
    <w:p w14:paraId="5D0BC20A">
      <w:pPr>
        <w:pStyle w:val="24"/>
        <w:rPr>
          <w:rFonts w:hint="eastAsia" w:ascii="微软雅黑" w:hAnsi="微软雅黑" w:eastAsia="微软雅黑" w:cs="微软雅黑"/>
          <w:color w:val="000000"/>
          <w:highlight w:val="none"/>
        </w:rPr>
      </w:pPr>
    </w:p>
    <w:p w14:paraId="5C2D8E19">
      <w:pPr>
        <w:pStyle w:val="24"/>
        <w:rPr>
          <w:rFonts w:hint="eastAsia" w:ascii="微软雅黑" w:hAnsi="微软雅黑" w:eastAsia="微软雅黑" w:cs="微软雅黑"/>
          <w:color w:val="000000"/>
          <w:highlight w:val="none"/>
        </w:rPr>
      </w:pPr>
    </w:p>
    <w:p w14:paraId="241861FF">
      <w:pPr>
        <w:pStyle w:val="24"/>
        <w:rPr>
          <w:rFonts w:hint="eastAsia" w:ascii="微软雅黑" w:hAnsi="微软雅黑" w:eastAsia="微软雅黑" w:cs="微软雅黑"/>
          <w:color w:val="000000"/>
          <w:highlight w:val="none"/>
        </w:rPr>
      </w:pPr>
    </w:p>
    <w:p w14:paraId="45C5E19F">
      <w:pPr>
        <w:pStyle w:val="24"/>
        <w:rPr>
          <w:rFonts w:hint="eastAsia" w:ascii="微软雅黑" w:hAnsi="微软雅黑" w:eastAsia="微软雅黑" w:cs="微软雅黑"/>
          <w:color w:val="000000"/>
          <w:highlight w:val="none"/>
        </w:rPr>
      </w:pPr>
    </w:p>
    <w:p w14:paraId="5B9DE1D3">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065ACAA9">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C980870">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4FC561F">
      <w:pPr>
        <w:rPr>
          <w:rFonts w:hint="eastAsia" w:ascii="微软雅黑" w:hAnsi="微软雅黑" w:eastAsia="微软雅黑" w:cs="微软雅黑"/>
          <w:color w:val="000000"/>
          <w:highlight w:val="none"/>
        </w:rPr>
      </w:pPr>
    </w:p>
    <w:p w14:paraId="4339D957">
      <w:pPr>
        <w:pStyle w:val="2"/>
        <w:rPr>
          <w:rFonts w:hint="eastAsia" w:ascii="微软雅黑" w:hAnsi="微软雅黑" w:eastAsia="微软雅黑" w:cs="微软雅黑"/>
          <w:color w:val="000000"/>
          <w:highlight w:val="none"/>
        </w:rPr>
      </w:pPr>
    </w:p>
    <w:p w14:paraId="0D7B8B07">
      <w:pPr>
        <w:rPr>
          <w:rFonts w:hint="eastAsia" w:ascii="微软雅黑" w:hAnsi="微软雅黑" w:eastAsia="微软雅黑" w:cs="微软雅黑"/>
          <w:color w:val="000000"/>
          <w:highlight w:val="none"/>
        </w:rPr>
      </w:pPr>
    </w:p>
    <w:p w14:paraId="274C9A6F">
      <w:pPr>
        <w:pStyle w:val="2"/>
        <w:rPr>
          <w:rFonts w:hint="eastAsia" w:ascii="微软雅黑" w:hAnsi="微软雅黑" w:eastAsia="微软雅黑" w:cs="微软雅黑"/>
          <w:color w:val="000000"/>
          <w:highlight w:val="none"/>
        </w:rPr>
      </w:pPr>
    </w:p>
    <w:p w14:paraId="04247ACA">
      <w:pPr>
        <w:rPr>
          <w:rFonts w:hint="eastAsia" w:ascii="微软雅黑" w:hAnsi="微软雅黑" w:eastAsia="微软雅黑" w:cs="微软雅黑"/>
          <w:color w:val="000000"/>
          <w:highlight w:val="none"/>
        </w:rPr>
      </w:pPr>
    </w:p>
    <w:p w14:paraId="65FFC77B">
      <w:pPr>
        <w:pStyle w:val="2"/>
        <w:rPr>
          <w:rFonts w:hint="eastAsia" w:ascii="微软雅黑" w:hAnsi="微软雅黑" w:eastAsia="微软雅黑" w:cs="微软雅黑"/>
          <w:color w:val="000000"/>
          <w:highlight w:val="none"/>
        </w:rPr>
      </w:pPr>
    </w:p>
    <w:p w14:paraId="719C24A8">
      <w:pPr>
        <w:rPr>
          <w:rFonts w:hint="eastAsia" w:ascii="微软雅黑" w:hAnsi="微软雅黑" w:eastAsia="微软雅黑" w:cs="微软雅黑"/>
          <w:color w:val="000000"/>
          <w:highlight w:val="none"/>
        </w:rPr>
      </w:pPr>
    </w:p>
    <w:p w14:paraId="6DE87645">
      <w:pPr>
        <w:pStyle w:val="2"/>
        <w:rPr>
          <w:rFonts w:hint="eastAsia" w:ascii="微软雅黑" w:hAnsi="微软雅黑" w:eastAsia="微软雅黑" w:cs="微软雅黑"/>
          <w:color w:val="000000"/>
          <w:highlight w:val="none"/>
        </w:rPr>
      </w:pPr>
    </w:p>
    <w:p w14:paraId="237C355E">
      <w:pPr>
        <w:rPr>
          <w:rFonts w:hint="eastAsia" w:ascii="微软雅黑" w:hAnsi="微软雅黑" w:eastAsia="微软雅黑" w:cs="微软雅黑"/>
          <w:color w:val="000000"/>
          <w:highlight w:val="none"/>
        </w:rPr>
      </w:pPr>
    </w:p>
    <w:p w14:paraId="6431C9B0">
      <w:pPr>
        <w:pStyle w:val="2"/>
        <w:rPr>
          <w:rFonts w:hint="eastAsia" w:ascii="微软雅黑" w:hAnsi="微软雅黑" w:eastAsia="微软雅黑" w:cs="微软雅黑"/>
          <w:color w:val="000000"/>
          <w:highlight w:val="none"/>
        </w:rPr>
      </w:pPr>
    </w:p>
    <w:p w14:paraId="71455491">
      <w:pPr>
        <w:rPr>
          <w:rFonts w:hint="eastAsia" w:ascii="微软雅黑" w:hAnsi="微软雅黑" w:eastAsia="微软雅黑" w:cs="微软雅黑"/>
          <w:color w:val="000000"/>
          <w:highlight w:val="none"/>
        </w:rPr>
      </w:pPr>
    </w:p>
    <w:p w14:paraId="5EF4825C">
      <w:pPr>
        <w:rPr>
          <w:rFonts w:hint="eastAsia" w:ascii="微软雅黑" w:hAnsi="微软雅黑" w:eastAsia="微软雅黑" w:cs="微软雅黑"/>
          <w:color w:val="000000"/>
          <w:highlight w:val="none"/>
        </w:rPr>
      </w:pPr>
    </w:p>
    <w:p w14:paraId="4733A70D">
      <w:pPr>
        <w:rPr>
          <w:rFonts w:hint="eastAsia" w:ascii="微软雅黑" w:hAnsi="微软雅黑" w:eastAsia="微软雅黑" w:cs="微软雅黑"/>
          <w:color w:val="000000"/>
          <w:highlight w:val="none"/>
        </w:rPr>
      </w:pPr>
    </w:p>
    <w:p w14:paraId="28A33C8F">
      <w:pPr>
        <w:pStyle w:val="2"/>
        <w:rPr>
          <w:rFonts w:hint="eastAsia" w:ascii="微软雅黑" w:hAnsi="微软雅黑" w:eastAsia="微软雅黑" w:cs="微软雅黑"/>
          <w:color w:val="000000"/>
          <w:highlight w:val="none"/>
        </w:rPr>
      </w:pPr>
    </w:p>
    <w:p w14:paraId="2E9F9397">
      <w:pPr>
        <w:pStyle w:val="2"/>
        <w:rPr>
          <w:rFonts w:hint="eastAsia"/>
        </w:rPr>
      </w:pPr>
    </w:p>
    <w:p w14:paraId="55705A1A">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78A1C07">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6F7D23A0">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811D37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425798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7C1596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6A9A8F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963453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D243F0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855C92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31B646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F727BD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83B4A14">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6B1B7F1">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5288EDD8">
      <w:pPr>
        <w:shd w:val="clear" w:color="auto" w:fill="FFFFFF"/>
        <w:spacing w:beforeAutospacing="1"/>
        <w:rPr>
          <w:rFonts w:hint="eastAsia" w:ascii="仿宋" w:hAnsi="仿宋" w:eastAsia="仿宋" w:cs="仿宋"/>
          <w:color w:val="000000"/>
          <w:sz w:val="21"/>
          <w:szCs w:val="24"/>
          <w:highlight w:val="none"/>
          <w:shd w:val="clear" w:color="auto" w:fill="FFFFFF"/>
        </w:rPr>
      </w:pPr>
    </w:p>
    <w:p w14:paraId="2E4DED9B">
      <w:pPr>
        <w:shd w:val="clear" w:color="auto" w:fill="FFFFFF"/>
        <w:spacing w:beforeAutospacing="1"/>
        <w:rPr>
          <w:rFonts w:hint="eastAsia" w:ascii="仿宋" w:hAnsi="仿宋" w:eastAsia="仿宋" w:cs="仿宋"/>
          <w:color w:val="000000"/>
          <w:sz w:val="21"/>
          <w:szCs w:val="24"/>
          <w:highlight w:val="none"/>
          <w:shd w:val="clear" w:color="auto" w:fill="FFFFFF"/>
        </w:rPr>
      </w:pPr>
    </w:p>
    <w:p w14:paraId="74C3D6C6">
      <w:pPr>
        <w:pStyle w:val="24"/>
        <w:rPr>
          <w:rFonts w:hint="eastAsia" w:ascii="仿宋" w:hAnsi="仿宋" w:eastAsia="仿宋" w:cs="仿宋"/>
        </w:rPr>
      </w:pPr>
    </w:p>
    <w:p w14:paraId="58E736BA">
      <w:pPr>
        <w:shd w:val="clear" w:color="auto" w:fill="FFFFFF"/>
        <w:spacing w:beforeAutospacing="1"/>
        <w:rPr>
          <w:rFonts w:hint="eastAsia" w:ascii="仿宋" w:hAnsi="仿宋" w:eastAsia="仿宋" w:cs="仿宋"/>
          <w:color w:val="000000"/>
          <w:sz w:val="21"/>
          <w:szCs w:val="24"/>
          <w:highlight w:val="none"/>
          <w:shd w:val="clear" w:color="auto" w:fill="FFFFFF"/>
        </w:rPr>
      </w:pPr>
    </w:p>
    <w:p w14:paraId="6BC28995">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155B48A5">
      <w:pPr>
        <w:spacing w:beforeAutospacing="1" w:line="360" w:lineRule="auto"/>
        <w:rPr>
          <w:rFonts w:hint="eastAsia" w:ascii="仿宋" w:hAnsi="仿宋" w:eastAsia="仿宋" w:cs="仿宋"/>
          <w:b/>
          <w:color w:val="000000"/>
          <w:sz w:val="48"/>
          <w:szCs w:val="48"/>
          <w:highlight w:val="none"/>
        </w:rPr>
      </w:pPr>
    </w:p>
    <w:p w14:paraId="18E5DC6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467A11CA">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53F04285">
      <w:pPr>
        <w:spacing w:beforeAutospacing="1" w:line="360" w:lineRule="auto"/>
        <w:rPr>
          <w:rFonts w:hint="eastAsia" w:ascii="仿宋" w:hAnsi="仿宋" w:eastAsia="仿宋" w:cs="仿宋"/>
          <w:b/>
          <w:color w:val="000000"/>
          <w:sz w:val="28"/>
          <w:szCs w:val="28"/>
          <w:highlight w:val="none"/>
        </w:rPr>
      </w:pPr>
    </w:p>
    <w:tbl>
      <w:tblPr>
        <w:tblStyle w:val="19"/>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56BA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262D5DF">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6BFF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F12E15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42BA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4CC62FE">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1A8F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760FFE55">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C1592D8">
      <w:pPr>
        <w:spacing w:beforeAutospacing="1" w:line="360" w:lineRule="auto"/>
        <w:rPr>
          <w:rFonts w:hint="eastAsia" w:ascii="仿宋_GB2312" w:eastAsia="仿宋_GB2312" w:cs="仿宋_GB2312"/>
          <w:b/>
          <w:color w:val="000000"/>
          <w:sz w:val="28"/>
          <w:szCs w:val="28"/>
          <w:highlight w:val="none"/>
        </w:rPr>
      </w:pPr>
    </w:p>
    <w:p w14:paraId="0C44E661">
      <w:pPr>
        <w:pStyle w:val="24"/>
        <w:rPr>
          <w:rFonts w:hint="eastAsia"/>
        </w:rPr>
      </w:pPr>
    </w:p>
    <w:p w14:paraId="6D2ADB80">
      <w:pPr>
        <w:pStyle w:val="24"/>
        <w:rPr>
          <w:rFonts w:hint="eastAsia"/>
        </w:rPr>
      </w:pPr>
    </w:p>
    <w:p w14:paraId="7676A2F5">
      <w:pPr>
        <w:pStyle w:val="24"/>
        <w:rPr>
          <w:rFonts w:hint="eastAsia"/>
        </w:rPr>
      </w:pPr>
    </w:p>
    <w:p w14:paraId="7E94338E">
      <w:pPr>
        <w:pStyle w:val="24"/>
        <w:rPr>
          <w:rFonts w:hint="eastAsia"/>
        </w:rPr>
      </w:pPr>
    </w:p>
    <w:p w14:paraId="4674C5D1">
      <w:pPr>
        <w:pStyle w:val="26"/>
        <w:ind w:firstLine="0" w:firstLineChars="0"/>
        <w:rPr>
          <w:rFonts w:hint="eastAsia" w:ascii="仿宋_GB2312" w:eastAsia="仿宋_GB2312" w:cs="仿宋_GB2312"/>
          <w:b/>
          <w:color w:val="000000"/>
          <w:sz w:val="28"/>
          <w:szCs w:val="28"/>
          <w:highlight w:val="none"/>
        </w:rPr>
      </w:pPr>
    </w:p>
    <w:p w14:paraId="461EDA23">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64655728">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54152E1A">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20666AEA">
      <w:pPr>
        <w:spacing w:beforeAutospacing="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甲方（</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）：中山大学孙逸仙纪念医院</w:t>
      </w:r>
    </w:p>
    <w:p w14:paraId="0737ABE8">
      <w:pPr>
        <w:spacing w:beforeAutospacing="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乙方（成交方）：</w:t>
      </w:r>
    </w:p>
    <w:p w14:paraId="208106F2">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p>
    <w:p w14:paraId="5BD8B71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根据《中华人民共和国民法典》及中山大学孙逸仙纪念医院2026-2028年公务车辆保险服务采购项目的采购结果和采购文件的要求，经甲、乙双方协商，本着平等互利和诚实信用的原则，一致同意订立本合同，共同遵守。具体条款如下：</w:t>
      </w:r>
    </w:p>
    <w:p w14:paraId="7071EF9A">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一、合同金额和合同期限</w:t>
      </w:r>
    </w:p>
    <w:p w14:paraId="40331539">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1.在合同服务期内，为甲方直接管理的20台车辆购置车辆保险（见附件），合同总金额：人民币</w:t>
      </w:r>
      <w:r>
        <w:rPr>
          <w:rFonts w:hint="eastAsia" w:ascii="仿宋" w:hAnsi="仿宋" w:eastAsia="仿宋" w:cs="仿宋"/>
          <w:b w:val="0"/>
          <w:bCs w:val="0"/>
          <w:sz w:val="24"/>
          <w:szCs w:val="24"/>
          <w:lang w:val="en-US" w:eastAsia="zh-CN"/>
        </w:rPr>
        <w:t>贰拾伍万元整</w:t>
      </w:r>
      <w:r>
        <w:rPr>
          <w:rFonts w:hint="eastAsia" w:ascii="仿宋" w:hAnsi="仿宋" w:eastAsia="仿宋" w:cs="仿宋"/>
          <w:b w:val="0"/>
          <w:bCs w:val="0"/>
          <w:sz w:val="24"/>
          <w:szCs w:val="24"/>
        </w:rPr>
        <w:t>。在本项目承保期限内，如甲方车辆发生报废更新、新增等情况，所参保车辆保险费用按实际产生费用结算，最终的数量和车辆信息随实际增购、报废情况变动。</w:t>
      </w:r>
    </w:p>
    <w:p w14:paraId="17A79DE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2.如附件清单内的车辆在本项目购买年度内到期报废，则该车辆的</w:t>
      </w:r>
      <w:r>
        <w:rPr>
          <w:rFonts w:hint="eastAsia" w:ascii="仿宋" w:hAnsi="仿宋" w:eastAsia="仿宋" w:cs="仿宋"/>
          <w:b w:val="0"/>
          <w:bCs w:val="0"/>
          <w:sz w:val="24"/>
          <w:szCs w:val="24"/>
          <w:lang w:val="en-US" w:eastAsia="zh-CN"/>
        </w:rPr>
        <w:t>商业</w:t>
      </w:r>
      <w:r>
        <w:rPr>
          <w:rFonts w:hint="eastAsia" w:ascii="仿宋" w:hAnsi="仿宋" w:eastAsia="仿宋" w:cs="仿宋"/>
          <w:b w:val="0"/>
          <w:bCs w:val="0"/>
          <w:sz w:val="24"/>
          <w:szCs w:val="24"/>
        </w:rPr>
        <w:t>保险自动减除。</w:t>
      </w:r>
    </w:p>
    <w:p w14:paraId="01204D56">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3.合同期限：2026年1月1日至2028年12月31日</w:t>
      </w:r>
    </w:p>
    <w:p w14:paraId="2AF4F4BA">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二、车辆保险内容</w:t>
      </w:r>
    </w:p>
    <w:p w14:paraId="73BF2B1D">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（一）保险险种和赔偿限额</w:t>
      </w:r>
    </w:p>
    <w:p w14:paraId="1EDD617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1.机动车交通事故责任强制保险（含车船税）；</w:t>
      </w:r>
    </w:p>
    <w:p w14:paraId="2AA491F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2.机动车商业险险种：</w:t>
      </w:r>
    </w:p>
    <w:p w14:paraId="4AF68F5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（1）机动车损失险（按参保车辆的实际价值确定）； </w:t>
      </w:r>
    </w:p>
    <w:p w14:paraId="08C6706C">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（2）机动车第三者责任险：每车每年保险金额200万元； </w:t>
      </w:r>
    </w:p>
    <w:p w14:paraId="5C98A0A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（3）车上人员责任险（含司机险、乘客险）：保险金额5万元/座，以车辆行驶证核定座位数为准。</w:t>
      </w:r>
    </w:p>
    <w:p w14:paraId="00ECF0D8">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（二）保费费率</w:t>
      </w:r>
    </w:p>
    <w:p w14:paraId="37B933CB">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1、机动车交通事故责任强制保险（含车船税）</w:t>
      </w:r>
    </w:p>
    <w:p w14:paraId="2E3D164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乙方对本项目中的机动车辆交通事故责任强制险（含汽车车船税）按国家金融监督管理总局（原为中国银行保险监督管理委员会）制定的《机动车交通事故责任强制保险费率方案》（以最新版本为准）统一规定执行。</w:t>
      </w:r>
    </w:p>
    <w:p w14:paraId="184AD480">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2、机动车商业险</w:t>
      </w:r>
    </w:p>
    <w:p w14:paraId="66543166">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乙方对项目中汽车、特种车的商业保险按《中国保险行业协会机动车综合商业保险示范条款》、《中国保险行业协会特种车综合商业保险示范条款》（以最新版本为准）的规定执行。车辆商业保险价格=中国保险行业协会商业车险费率基准×无赔款优待系数（NCD系数）×自主定价系数。（注：具体费率基准以在国家金融监督管理总局网站“在线服务-查询服务-商业车险示范条款及费率基准查询”栏目查询为准；NCD级数（无赔款优待系数）=出险次数-连续投保年限；根据全国联网的中保信平台反馈数据为准。） </w:t>
      </w:r>
    </w:p>
    <w:p w14:paraId="1830C78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default"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t>本项目的</w:t>
      </w:r>
      <w:r>
        <w:rPr>
          <w:rFonts w:hint="eastAsia" w:ascii="仿宋" w:hAnsi="仿宋" w:eastAsia="仿宋" w:cs="仿宋"/>
          <w:b w:val="0"/>
          <w:bCs w:val="0"/>
          <w:sz w:val="24"/>
          <w:szCs w:val="24"/>
        </w:rPr>
        <w:t>机动车商业险自主定价系数</w:t>
      </w:r>
      <w:r>
        <w:rPr>
          <w:rFonts w:hint="eastAsia" w:ascii="仿宋" w:hAnsi="仿宋" w:eastAsia="仿宋" w:cs="仿宋"/>
          <w:b w:val="0"/>
          <w:bCs w:val="0"/>
          <w:sz w:val="24"/>
          <w:szCs w:val="24"/>
          <w:lang w:val="en-US" w:eastAsia="zh-CN"/>
        </w:rPr>
        <w:t>为</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4E6BA0E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（三）保险责任</w:t>
      </w:r>
    </w:p>
    <w:p w14:paraId="55AA0E40">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在保险期限内，乙方根据甲方选择投保的险种，按照中国保险监督管理委员会批复条款所载明的保险责任承担赔偿。</w:t>
      </w:r>
    </w:p>
    <w:p w14:paraId="7DDC223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三、服务要求</w:t>
      </w:r>
    </w:p>
    <w:p w14:paraId="22DA3A70">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1、乙方须配合甲方对公务用车保险统一承保进行管理。</w:t>
      </w:r>
    </w:p>
    <w:p w14:paraId="20A4F25D">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2、乙方应设有统一服务热线，提供7天/24小时受理报案、查勘救援、投诉、咨询等服务，同时安排专人负责受理索赔报案，并提供便捷的定损理赔等服务。</w:t>
      </w:r>
    </w:p>
    <w:p w14:paraId="41D498CC">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3、乙方接到报案通知后，项目服务专员立即开始协助甲方办理后续理赔手续，并对理赔过程进行监督与协调，确保优质</w:t>
      </w:r>
      <w:r>
        <w:rPr>
          <w:rFonts w:hint="eastAsia" w:ascii="仿宋" w:hAnsi="仿宋" w:eastAsia="仿宋" w:cs="仿宋"/>
          <w:b w:val="0"/>
          <w:bCs w:val="0"/>
          <w:sz w:val="24"/>
          <w:szCs w:val="24"/>
          <w:lang w:eastAsia="zh-CN"/>
        </w:rPr>
        <w:t>高效地</w:t>
      </w:r>
      <w:r>
        <w:rPr>
          <w:rFonts w:hint="eastAsia" w:ascii="仿宋" w:hAnsi="仿宋" w:eastAsia="仿宋" w:cs="仿宋"/>
          <w:b w:val="0"/>
          <w:bCs w:val="0"/>
          <w:sz w:val="24"/>
          <w:szCs w:val="24"/>
        </w:rPr>
        <w:t>完成后续理赔工作。</w:t>
      </w:r>
    </w:p>
    <w:p w14:paraId="2EF9B8C6">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4、为确保定损的速度和质量，充分发挥甲方理赔人员数量多、专业技术好的优势，理赔服务专员可以调度对出险车型专业技术能力更强的定损人员完成本项目出险车辆的定损工作。</w:t>
      </w:r>
    </w:p>
    <w:p w14:paraId="6A28A48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5、乙方在接到甲方的出险报案后需要进行现场查勘的，广州市内（天河区、越秀区、荔湾区、海珠区、白云区）应</w:t>
      </w:r>
      <w:r>
        <w:rPr>
          <w:rFonts w:hint="eastAsia" w:ascii="仿宋" w:hAnsi="仿宋" w:eastAsia="仿宋" w:cs="仿宋"/>
          <w:b w:val="0"/>
          <w:bCs w:val="0"/>
          <w:sz w:val="24"/>
          <w:szCs w:val="24"/>
          <w:lang w:eastAsia="zh-CN"/>
        </w:rPr>
        <w:t>30分钟内</w:t>
      </w:r>
      <w:r>
        <w:rPr>
          <w:rFonts w:hint="eastAsia" w:ascii="仿宋" w:hAnsi="仿宋" w:eastAsia="仿宋" w:cs="仿宋"/>
          <w:b w:val="0"/>
          <w:bCs w:val="0"/>
          <w:sz w:val="24"/>
          <w:szCs w:val="24"/>
        </w:rPr>
        <w:t>赶到现场，广州市其他区域60分钟内应赶到现场。若甲方的参保车辆在广东省内其他市县出险，乙方应在2小时内到达现场，或由乙方位于出险地的分支机构进行现场查勘与检验定损。</w:t>
      </w:r>
    </w:p>
    <w:p w14:paraId="01A8A70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6、事故发生后，接到甲方报案后，对于属于保险责任的事故，乙方按照以下约定及时定损：</w:t>
      </w:r>
    </w:p>
    <w:p w14:paraId="58A1D89D">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a)1万元以下，1个工作日内定损完毕；</w:t>
      </w:r>
    </w:p>
    <w:p w14:paraId="134E7150">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b)1万元-3 万元，3个工作日内定损完毕；</w:t>
      </w:r>
    </w:p>
    <w:p w14:paraId="49DE3D16">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c)3万元-5 万元，7个工作日内定损完毕；</w:t>
      </w:r>
    </w:p>
    <w:p w14:paraId="0737375D">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d)特殊情况与甲方协商确定。</w:t>
      </w:r>
    </w:p>
    <w:p w14:paraId="1A6435FD">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7、在甲方提供完整必要的索赔材料后，乙方承诺按下列约定时限向甲方支付赔款：</w:t>
      </w:r>
    </w:p>
    <w:p w14:paraId="592B537A">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a)1万元以下，1个工作日内赔付；</w:t>
      </w:r>
    </w:p>
    <w:p w14:paraId="5E2FDE3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b)5万元以下，5个工作日内赔付；</w:t>
      </w:r>
    </w:p>
    <w:p w14:paraId="5F3EF48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c)20万元以下，10个工作日内赔付；</w:t>
      </w:r>
    </w:p>
    <w:p w14:paraId="280ECAD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d)20万元以上，15个工作日内赔付；</w:t>
      </w:r>
    </w:p>
    <w:p w14:paraId="33AAC0B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f)特殊情况与甲方协商确定。</w:t>
      </w:r>
    </w:p>
    <w:p w14:paraId="40EE87E9">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8、经乙方查勘现场的轻微人伤案件，人伤损失在3000元以内的，查勘员能现场处理且解决费用支付，乙方给予确认赔付。</w:t>
      </w:r>
    </w:p>
    <w:p w14:paraId="41DED1A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9、拖车服务。若参保车辆因故障丧失行驶能力，乙方将为甲方联系救援单位，在广州地区提供不限公里数的无偿拖车服务，在广州地区外提供不超过30公里无偿拖车服务（拖车不能进入的场所除外）。</w:t>
      </w:r>
    </w:p>
    <w:p w14:paraId="4B31648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10、更换轮胎服务。若参保车辆因爆胎或轮胎漏气而需要换备胎时，广州市范围内乙方将为甲方联系救援单位赶到事发地点提供</w:t>
      </w:r>
      <w:r>
        <w:rPr>
          <w:rFonts w:hint="eastAsia" w:ascii="仿宋" w:hAnsi="仿宋" w:eastAsia="仿宋" w:cs="仿宋"/>
          <w:b w:val="0"/>
          <w:bCs w:val="0"/>
          <w:sz w:val="24"/>
          <w:szCs w:val="24"/>
          <w:lang w:val="en-US" w:eastAsia="zh-CN"/>
        </w:rPr>
        <w:t>无偿</w:t>
      </w:r>
      <w:r>
        <w:rPr>
          <w:rFonts w:hint="eastAsia" w:ascii="仿宋" w:hAnsi="仿宋" w:eastAsia="仿宋" w:cs="仿宋"/>
          <w:b w:val="0"/>
          <w:bCs w:val="0"/>
          <w:sz w:val="24"/>
          <w:szCs w:val="24"/>
        </w:rPr>
        <w:t>更换备胎。</w:t>
      </w:r>
    </w:p>
    <w:p w14:paraId="47F905F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11、参保车辆发生人伤事故时，且在明确事故责任后，乙方能提供伤者医疗跟踪、伤残鉴定等咨询服务，要求乙方至少安排一名人伤事故处理经验丰富的人员，专门负责全程跟进医疗核损服务和理赔事宜，并根据伤者病情前往探望、了解病情、核实费用，促进赔案快速、圆满解决。</w:t>
      </w:r>
    </w:p>
    <w:p w14:paraId="125917B2">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12、乙方与甲方就赔偿结果无法达成一致，根据甲方的要求，应指定具有国内保险公估营业许可的双方认可的公估公司进行损失理算，并负担有关公估费用。</w:t>
      </w:r>
    </w:p>
    <w:p w14:paraId="6BA3FC9D">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13、如未按约定时间定损，造成财产损失无法确定，以甲方提供的财产损毁照片、损失清单和修理发票作为赔付理算依据。</w:t>
      </w:r>
    </w:p>
    <w:p w14:paraId="43C7E4C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14、车辆出险后，除了乙方推荐的修理厂外，甲方可自选资质合格的修理厂及专修厂修理受损车辆；对于甲方自选的资质合格的修理厂及专修厂，乙方予以认可。</w:t>
      </w:r>
    </w:p>
    <w:p w14:paraId="0632D53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15、受损车辆在双方共同认可的资质合格的修理厂或专修厂修理，定损应与修理厂或专修厂共同完成。</w:t>
      </w:r>
    </w:p>
    <w:p w14:paraId="78AD13B8">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16、受损车辆的维修以修复为原则，但涉及车辆行车安全的关键零部件（如：刹车系统、转向系统），同意一律予以更换。受损车辆更换零部件为原厂配件。</w:t>
      </w:r>
    </w:p>
    <w:p w14:paraId="4A76C02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17、甲方所投保的车辆发生财产、人伤保险事故时，乙方按保单给予最高限额赔付，不设免赔金额。</w:t>
      </w:r>
    </w:p>
    <w:p w14:paraId="15EB4BC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18、商业险按甲方所投保险种金额责任范围核定金额赔偿（含协商赔付），不设免赔赔付金额。</w:t>
      </w:r>
    </w:p>
    <w:p w14:paraId="1E5CB26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19、对于重大案件或发生纠纷的案件，乙方协助甲方处理事故，提供法律援助服务，避免不必要的损失。</w:t>
      </w:r>
    </w:p>
    <w:p w14:paraId="5F8DB6F8">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四、双方权利义务</w:t>
      </w:r>
    </w:p>
    <w:p w14:paraId="7306553B">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1、甲方的权利和义务</w:t>
      </w:r>
    </w:p>
    <w:p w14:paraId="7818AC1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甲方的权利包括：</w:t>
      </w:r>
    </w:p>
    <w:p w14:paraId="2CCDCCD8">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（1）按照保险合同约定，领取赔偿金的权利。</w:t>
      </w:r>
    </w:p>
    <w:p w14:paraId="3DE934E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（2）除保险法另有规定或者保险合同另有约定外，保险合同成立后，甲方可以解除合同，乙方不得解除合同。</w:t>
      </w:r>
    </w:p>
    <w:p w14:paraId="78975AF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甲方的义务：</w:t>
      </w:r>
    </w:p>
    <w:p w14:paraId="49C94DB6">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（1）保险合同成立后，负有按照约定交付保险费的义务；</w:t>
      </w:r>
    </w:p>
    <w:p w14:paraId="3D2B853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（2）对于乙方就保险标的或者甲方的有关情况提出的询问，甲方应当如实告知。</w:t>
      </w:r>
    </w:p>
    <w:p w14:paraId="651FD5AC">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（3）甲方知道保险事故发生后，应当及时通知乙方。</w:t>
      </w:r>
    </w:p>
    <w:p w14:paraId="61C07AE2">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（4）乙方向第三者行使代位请求赔偿的权利时，甲方应当向乙方提供必要的文件和所知道的有关情况。</w:t>
      </w:r>
    </w:p>
    <w:p w14:paraId="0E1523EA">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2、乙方的权利和义务</w:t>
      </w:r>
    </w:p>
    <w:p w14:paraId="2D416D90">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根据《保险法》的规定，乙方的权利包括：</w:t>
      </w:r>
    </w:p>
    <w:p w14:paraId="386F52C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（1）按照保险合同约定收取保险费的权利；</w:t>
      </w:r>
    </w:p>
    <w:p w14:paraId="03A8E36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（2）代位求偿权利——因第三者对保险标的的损害而造成保险事故的，乙方自向甲方赔偿保险金之日起，在赔偿金额范围内代位行使甲方对第三者请求赔偿的权利。</w:t>
      </w:r>
    </w:p>
    <w:p w14:paraId="3C150CD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乙方的义务包括：</w:t>
      </w:r>
    </w:p>
    <w:p w14:paraId="7F0CB169">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（1）按照保险合同（含附件保险条款）约定承担保险责任，履行赔偿或者给付保险金的义务；</w:t>
      </w:r>
    </w:p>
    <w:p w14:paraId="2CAB715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说明义务——乙方应当向甲方说明保险合同的内容，对保险合同中免除乙方责任的条款，乙方在订立合同时应当在投保单、保险单或者其他保险凭证上作出足以引起投保人注意的提示，并对该条款的内容以书面或者口头形式向投保人作出明确说明；</w:t>
      </w:r>
    </w:p>
    <w:p w14:paraId="0DDF3CB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（3）出险后，应当及时作出核定并依约按时赔付；</w:t>
      </w:r>
    </w:p>
    <w:p w14:paraId="7DBB4EB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（4）与合同正文内容相比，若附件保险条款载明的服务标准、规格较低的，在合法合规的情况下，乙方应按合同正文的约定提供服务。</w:t>
      </w:r>
    </w:p>
    <w:p w14:paraId="5C19E0FC">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（5）乙方必须保守国家机密，不得泄漏甲方所提供的属国家秘密的信息和数据；未经甲方允许，不得使用或者以其它方式给任何第三方提供本项目的相关信息或数据；</w:t>
      </w:r>
    </w:p>
    <w:p w14:paraId="1329F908">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五、结算方式</w:t>
      </w:r>
    </w:p>
    <w:p w14:paraId="1856B0FD">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保险费按实际购买车辆数据实结算。车辆保险到期前1个月内，乙方须提供服务专员主动上门服务，负责与甲方及时签订车辆保险单，并将《保费缴款通知书》（包含承保车辆明细信息）和支付车辆保险费用的申请送交甲方。经双方对服务车辆清单及费用确认后，甲方对保费予以结算，并在满足支付条件后30日内一次性支付保险费用，乙方根据甲方所支付的保费金额出具合法有效发票和保单，累计支付上限最高不超过25万元。</w:t>
      </w:r>
    </w:p>
    <w:p w14:paraId="6AE1C09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2、付款方式：采用银行转账形式。</w:t>
      </w:r>
    </w:p>
    <w:p w14:paraId="1AFBA5AC">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六、保密</w:t>
      </w:r>
    </w:p>
    <w:p w14:paraId="6479E9D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项目实施过程中至乙方正式向甲方交付技术文档资料时止，乙方必须采取措施对本项目实施过程中的数据、技术文档等资料保密，否则，由于乙方过错导致的上述资料泄密的，乙方必须承担一切责任。项目完成后，乙方仍有责任对本项目的技术保密承担责任。</w:t>
      </w:r>
    </w:p>
    <w:p w14:paraId="5ACC396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未经甲方事先书面同意，乙方不得将由甲方为本合同提供的条文、规格、计划、图纸、模型、样品或资料提供给予本合同无关的任何第三方，不得将其用于履行本合同之外的其他用途。即使向与履行本合同有关的人员提供，也应注意保密并限于履行合同所必需的范围。</w:t>
      </w:r>
    </w:p>
    <w:p w14:paraId="0E24FF9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（2）除了合同本身之外，上款所列举的任何物件均是甲方的财产。乙方应当在完成合同后应将上述物件及全部复制件还给甲方， 甲方同意由乙方持有的除外。</w:t>
      </w:r>
    </w:p>
    <w:p w14:paraId="019AEFD2">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七、违约责任与赔偿损失</w:t>
      </w:r>
    </w:p>
    <w:p w14:paraId="0996F97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1、乙方提供的服务不符合本合同规定的，甲方有权拒收，并且乙方须向甲方支付本合同总价5%的违约金。</w:t>
      </w:r>
    </w:p>
    <w:p w14:paraId="5D0C14C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2、乙方未能按本项目合同规定的时间提供承诺的服务，从逾期之日起每日按本合同总价3‰的数额向甲方支付违约金；逾期半个月以上的，甲方有权终止合同，由此造成的甲方经济损失由乙方承担。</w:t>
      </w:r>
    </w:p>
    <w:p w14:paraId="36F306A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3、其他违约责任按《中华人民共和国民法典》处理。</w:t>
      </w:r>
    </w:p>
    <w:p w14:paraId="7AD0EAF9">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八、合同变更、违约与终止</w:t>
      </w:r>
    </w:p>
    <w:p w14:paraId="59ECFDBB">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 任何对合同条件的变更或修改均须双方签订书面的修改书。</w:t>
      </w:r>
    </w:p>
    <w:p w14:paraId="7CBCE82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 在本合同执行过程中，甲方或其监管部门将定期或不定期对乙方执行合同的情况进行检查，如乙方违反甲方相关车辆管理规定，在甲方对乙方违约而采取的任何补救措施不受影响的情况下，甲方或其监管部门有权对乙方发出终止合同的书面通知，该书面通知一经发出，本合同即行终止。</w:t>
      </w:r>
    </w:p>
    <w:p w14:paraId="797DAD0B">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 乙方在任何情况下都不得向甲方及其经办人提供任何形式的回扣，一经发现，甲方可立即全面终止合同的执行，同时提请有关部门追究有关当事人的责任。</w:t>
      </w:r>
    </w:p>
    <w:p w14:paraId="1EA01A0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4.如果乙方破产或无清偿能力，甲方可在任何时候以书面形式通知乙方中止合同而不给乙方任何补偿。该中止合同将不损害或影响甲方已经采取或将要采取的任何行动或补救措施的权力。</w:t>
      </w:r>
    </w:p>
    <w:p w14:paraId="1450FD4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5.乙方在实际服务时，若被发现提供的服务未能达到采购文件中的有关要求和响应文件的承诺，将按有关法规进行处罚，甲方将有权单方面中止合同的执行,并追究因乙方所提供的未达到所承诺准确率服务而产生的所有损失和责任。</w:t>
      </w:r>
    </w:p>
    <w:p w14:paraId="406BC27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6.如因国家相关政策发生变化，应以最新的国家相关政策为准并进行执行，如因国家相关政策发生变化而导致本次项目的合同无法继续执行，甲方不承担任何责任，乙方自行承担由此带来的任何风险及后果。</w:t>
      </w:r>
    </w:p>
    <w:p w14:paraId="444CD2D6">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九、争议的解决</w:t>
      </w:r>
    </w:p>
    <w:p w14:paraId="5A981F2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签约双方在履约中发生争执和分歧，双方应通过友好协商解决，若经协商不能达成协议时，则向甲方所在地人民法院提起诉讼。受理期间，双方应继续执行合同其余部分。</w:t>
      </w:r>
    </w:p>
    <w:p w14:paraId="077B77A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十、不可抗力 </w:t>
      </w:r>
    </w:p>
    <w:p w14:paraId="11B11DBD">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6BD12C9">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十一、其他</w:t>
      </w:r>
    </w:p>
    <w:p w14:paraId="2711AA80">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1.本合同一式   份，具有同等法律效力，甲方执3份，乙方执   份。合同经双方法人代表或授权代表签字单位盖章后生效。本合同未尽事宜，由双方协商处理。</w:t>
      </w:r>
    </w:p>
    <w:p w14:paraId="5D6859A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2.本合同签订后所发生保险方面的合同纠纷，甲方委托乙方进行处理，乙方的代理权限以甲方签发的《授权委托书》为准。</w:t>
      </w:r>
    </w:p>
    <w:p w14:paraId="5F96903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3.甲方定期或不定期对乙方的合同执行情况进行检查，如发现未执行合同条款，将取消其承保资格。</w:t>
      </w:r>
    </w:p>
    <w:p w14:paraId="046942B9">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4.本合同之所有附件和结果通知书均为合同的有效组成部分，与本合同具有同样法律效力。</w:t>
      </w:r>
    </w:p>
    <w:p w14:paraId="367D1B2C">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5.除经甲方批准并事先书面同意外，乙方不得部分转让或全部转让其履行的合同义务。 </w:t>
      </w:r>
    </w:p>
    <w:p w14:paraId="2533525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6.本合同所有附件、谈判文件、响应文件、成交通知书均为合同的有效组成部分，与本合同具有同等法律效力。</w:t>
      </w:r>
    </w:p>
    <w:p w14:paraId="43700F8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7.在执行本合同的过程中，所有经双方签署确认的文件（包括会议纪要、补充协议、往来信函）即成为本合同的有效组成部分。</w:t>
      </w:r>
    </w:p>
    <w:p w14:paraId="03E8BBD9">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8.如一方地址、电话、传真号码有变更，应在变更当日内书面通知对方，否则应承担相应责任。</w:t>
      </w:r>
    </w:p>
    <w:p w14:paraId="57D4504A">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9.甲方使用的是财政资金，因甲方车辆续保期不同，乙方需在车辆投保规定的付款时间内向甲方及时准确报价、提交缴费通知书、价格清单及合法有效发票，便于甲方提出办理支付申请手续。</w:t>
      </w:r>
    </w:p>
    <w:p w14:paraId="53EA1B02">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10.对于附件清单外的新增车辆，乙方承诺可由甲方无条件新增投保需求，乙方应提供同等的承保、理赔等服务条件。</w:t>
      </w:r>
    </w:p>
    <w:p w14:paraId="7E4C8BF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476D2EE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甲方：中山大学孙逸仙纪念医院             乙方: </w:t>
      </w:r>
    </w:p>
    <w:p w14:paraId="39598E2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地址：广州市越秀区沿江西路107号         地址：   </w:t>
      </w:r>
    </w:p>
    <w:p w14:paraId="2473AE5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                             法定代表人：</w:t>
      </w:r>
    </w:p>
    <w:p w14:paraId="284ABBB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                             委托代理人：</w:t>
      </w:r>
    </w:p>
    <w:p w14:paraId="17A3373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邮政编码：510120                         邮政编码： </w:t>
      </w:r>
    </w:p>
    <w:p w14:paraId="00B44B52">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盖章：                                   盖章：</w:t>
      </w:r>
    </w:p>
    <w:p w14:paraId="612B878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日期：</w:t>
      </w:r>
    </w:p>
    <w:p w14:paraId="7AD9FC18">
      <w:pPr>
        <w:rPr>
          <w:rFonts w:hint="eastAsia" w:ascii="微软雅黑" w:hAnsi="微软雅黑" w:eastAsia="微软雅黑" w:cs="微软雅黑"/>
          <w:color w:val="000000" w:themeColor="text1"/>
          <w:highlight w:val="none"/>
          <w14:textFill>
            <w14:solidFill>
              <w14:schemeClr w14:val="tx1"/>
            </w14:solidFill>
          </w14:textFill>
        </w:rPr>
      </w:pPr>
    </w:p>
    <w:p w14:paraId="2934A488">
      <w:pPr>
        <w:spacing w:beforeAutospacing="1"/>
        <w:rPr>
          <w:rFonts w:hint="eastAsia" w:ascii="仿宋" w:hAnsi="仿宋" w:eastAsia="仿宋" w:cs="仿宋"/>
          <w:color w:val="000000" w:themeColor="text1"/>
          <w:sz w:val="24"/>
          <w:szCs w:val="24"/>
          <w:highlight w:val="none"/>
          <w14:textFill>
            <w14:solidFill>
              <w14:schemeClr w14:val="tx1"/>
            </w14:solidFill>
          </w14:textFill>
        </w:rPr>
      </w:pPr>
    </w:p>
    <w:p w14:paraId="6AAAE089"/>
    <w:p w14:paraId="6F91CD47">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7F6DB5C">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45734A2">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7B7E6257">
      <w:pPr>
        <w:pStyle w:val="26"/>
        <w:rPr>
          <w:rFonts w:hint="eastAsia"/>
          <w:color w:val="000000"/>
          <w:highlight w:val="none"/>
        </w:rPr>
      </w:pPr>
    </w:p>
    <w:p w14:paraId="30D32893">
      <w:pPr>
        <w:pStyle w:val="26"/>
        <w:rPr>
          <w:rFonts w:hint="eastAsia"/>
          <w:color w:val="000000"/>
          <w:highlight w:val="none"/>
        </w:rPr>
      </w:pPr>
    </w:p>
    <w:p w14:paraId="3B1E524E">
      <w:pPr>
        <w:pStyle w:val="26"/>
        <w:rPr>
          <w:rFonts w:hint="eastAsia"/>
          <w:color w:val="000000"/>
          <w:highlight w:val="none"/>
        </w:rPr>
      </w:pPr>
    </w:p>
    <w:p w14:paraId="2237CBA5">
      <w:pPr>
        <w:pStyle w:val="26"/>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7DFCF2B7">
      <w:pPr>
        <w:pStyle w:val="26"/>
        <w:rPr>
          <w:rFonts w:hint="eastAsia"/>
          <w:color w:val="FF0000"/>
          <w:highlight w:val="none"/>
        </w:rPr>
      </w:pPr>
    </w:p>
    <w:p w14:paraId="15A9277E">
      <w:pPr>
        <w:pStyle w:val="26"/>
        <w:rPr>
          <w:rFonts w:hint="eastAsia"/>
          <w:color w:val="000000"/>
          <w:highlight w:val="none"/>
        </w:rPr>
      </w:pPr>
    </w:p>
    <w:p w14:paraId="7C1FEF0A">
      <w:pPr>
        <w:pStyle w:val="26"/>
        <w:rPr>
          <w:rFonts w:hint="eastAsia"/>
          <w:color w:val="000000"/>
          <w:highlight w:val="none"/>
        </w:rPr>
      </w:pPr>
    </w:p>
    <w:p w14:paraId="173EC6FF">
      <w:pPr>
        <w:pStyle w:val="26"/>
        <w:rPr>
          <w:rFonts w:hint="eastAsia"/>
          <w:color w:val="000000"/>
          <w:highlight w:val="none"/>
        </w:rPr>
      </w:pPr>
    </w:p>
    <w:p w14:paraId="0CEAA3CB">
      <w:pPr>
        <w:pStyle w:val="26"/>
        <w:rPr>
          <w:rFonts w:hint="eastAsia"/>
          <w:color w:val="000000"/>
          <w:highlight w:val="none"/>
        </w:rPr>
      </w:pPr>
    </w:p>
    <w:p w14:paraId="11A88868">
      <w:pPr>
        <w:pStyle w:val="26"/>
        <w:rPr>
          <w:rFonts w:hint="eastAsia"/>
          <w:color w:val="000000"/>
          <w:highlight w:val="none"/>
        </w:rPr>
      </w:pPr>
    </w:p>
    <w:p w14:paraId="4F12A110">
      <w:pPr>
        <w:pStyle w:val="26"/>
        <w:rPr>
          <w:rFonts w:hint="eastAsia"/>
          <w:color w:val="000000"/>
          <w:highlight w:val="none"/>
        </w:rPr>
      </w:pPr>
    </w:p>
    <w:p w14:paraId="5E4DAFD9">
      <w:pPr>
        <w:pStyle w:val="26"/>
        <w:rPr>
          <w:rFonts w:hint="eastAsia"/>
          <w:color w:val="000000"/>
          <w:highlight w:val="none"/>
        </w:rPr>
      </w:pPr>
    </w:p>
    <w:p w14:paraId="5CC33679">
      <w:pPr>
        <w:pStyle w:val="26"/>
        <w:rPr>
          <w:rFonts w:hint="eastAsia"/>
          <w:color w:val="000000"/>
          <w:highlight w:val="none"/>
        </w:rPr>
      </w:pPr>
    </w:p>
    <w:p w14:paraId="6DB9CA80">
      <w:pPr>
        <w:pStyle w:val="26"/>
        <w:rPr>
          <w:rFonts w:hint="eastAsia"/>
          <w:color w:val="000000"/>
          <w:highlight w:val="none"/>
        </w:rPr>
      </w:pPr>
    </w:p>
    <w:p w14:paraId="76AF40C2">
      <w:pPr>
        <w:pStyle w:val="26"/>
        <w:rPr>
          <w:rFonts w:hint="eastAsia"/>
          <w:color w:val="000000"/>
          <w:highlight w:val="none"/>
        </w:rPr>
      </w:pPr>
    </w:p>
    <w:p w14:paraId="1E4A95CF">
      <w:pPr>
        <w:pStyle w:val="26"/>
        <w:rPr>
          <w:rFonts w:hint="eastAsia"/>
          <w:color w:val="000000"/>
          <w:highlight w:val="none"/>
        </w:rPr>
      </w:pPr>
    </w:p>
    <w:p w14:paraId="48622631">
      <w:pPr>
        <w:pStyle w:val="26"/>
        <w:rPr>
          <w:rFonts w:hint="eastAsia"/>
          <w:color w:val="000000"/>
          <w:highlight w:val="none"/>
        </w:rPr>
      </w:pPr>
    </w:p>
    <w:p w14:paraId="52FE2C37">
      <w:pPr>
        <w:pStyle w:val="26"/>
        <w:rPr>
          <w:rFonts w:hint="eastAsia"/>
          <w:color w:val="000000"/>
          <w:highlight w:val="none"/>
        </w:rPr>
      </w:pPr>
    </w:p>
    <w:p w14:paraId="16352E44">
      <w:pPr>
        <w:pStyle w:val="26"/>
        <w:rPr>
          <w:rFonts w:hint="eastAsia"/>
          <w:color w:val="000000"/>
          <w:highlight w:val="none"/>
        </w:rPr>
      </w:pPr>
    </w:p>
    <w:p w14:paraId="657D267F">
      <w:pPr>
        <w:pStyle w:val="26"/>
        <w:rPr>
          <w:rFonts w:hint="eastAsia"/>
          <w:color w:val="000000"/>
          <w:highlight w:val="none"/>
        </w:rPr>
      </w:pPr>
    </w:p>
    <w:p w14:paraId="16777D91">
      <w:pPr>
        <w:pStyle w:val="26"/>
        <w:rPr>
          <w:rFonts w:hint="eastAsia"/>
          <w:color w:val="000000"/>
          <w:highlight w:val="none"/>
        </w:rPr>
      </w:pPr>
    </w:p>
    <w:p w14:paraId="49BE27A4">
      <w:pPr>
        <w:pStyle w:val="26"/>
        <w:rPr>
          <w:rFonts w:hint="eastAsia"/>
          <w:color w:val="000000"/>
          <w:highlight w:val="none"/>
        </w:rPr>
      </w:pPr>
    </w:p>
    <w:p w14:paraId="1D8A01C5">
      <w:pPr>
        <w:pStyle w:val="26"/>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63E81B24">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（本提示内容非谈判</w:t>
      </w:r>
      <w:r>
        <w:rPr>
          <w:rFonts w:hint="eastAsia" w:ascii="黑体" w:hAnsi="黑体" w:eastAsia="黑体" w:cs="黑体"/>
          <w:color w:val="000000"/>
          <w:sz w:val="28"/>
          <w:szCs w:val="28"/>
          <w:highlight w:val="none"/>
          <w:lang w:eastAsia="zh-CN"/>
        </w:rPr>
        <w:t>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谈判文件</w:t>
      </w:r>
      <w:r>
        <w:rPr>
          <w:rFonts w:hint="eastAsia" w:ascii="黑体" w:hAnsi="黑体" w:eastAsia="黑体" w:cs="黑体"/>
          <w:color w:val="000000"/>
          <w:sz w:val="28"/>
          <w:szCs w:val="28"/>
          <w:highlight w:val="none"/>
          <w:lang w:val="en-US" w:eastAsia="zh-CN"/>
        </w:rPr>
        <w:t>为准。）</w:t>
      </w:r>
    </w:p>
    <w:p w14:paraId="455FC835">
      <w:pPr>
        <w:pStyle w:val="26"/>
        <w:numPr>
          <w:ilvl w:val="0"/>
          <w:numId w:val="7"/>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谈判文件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谈判文件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41109F0C">
      <w:pPr>
        <w:pStyle w:val="26"/>
        <w:numPr>
          <w:ilvl w:val="0"/>
          <w:numId w:val="7"/>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谈判文件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谈判文件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5BD26F7">
      <w:pPr>
        <w:pStyle w:val="26"/>
        <w:numPr>
          <w:ilvl w:val="0"/>
          <w:numId w:val="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凡关于谈判文件的所有响应资料（包含但不限于：承诺函、声明函等各类函件，资质证书等证明资料复印件，项目具体实施方案等)，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03AF5D39">
      <w:pPr>
        <w:pStyle w:val="26"/>
        <w:numPr>
          <w:ilvl w:val="0"/>
          <w:numId w:val="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6028108D">
      <w:pPr>
        <w:pStyle w:val="26"/>
        <w:numPr>
          <w:ilvl w:val="0"/>
          <w:numId w:val="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7D523C72">
      <w:pPr>
        <w:pStyle w:val="26"/>
        <w:numPr>
          <w:ilvl w:val="0"/>
          <w:numId w:val="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谈判文件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谈判邀请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30768494">
      <w:pPr>
        <w:pStyle w:val="26"/>
        <w:numPr>
          <w:ilvl w:val="0"/>
          <w:numId w:val="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0B34045C">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47D2EBA">
      <w:pPr>
        <w:pStyle w:val="26"/>
        <w:rPr>
          <w:rFonts w:hint="eastAsia" w:ascii="宋体" w:hAnsi="宋体" w:cs="宋体"/>
          <w:color w:val="000000"/>
          <w:sz w:val="32"/>
          <w:szCs w:val="32"/>
          <w:highlight w:val="none"/>
        </w:rPr>
      </w:pPr>
    </w:p>
    <w:p w14:paraId="6074F6C2">
      <w:pPr>
        <w:pStyle w:val="26"/>
        <w:rPr>
          <w:rFonts w:hint="eastAsia" w:ascii="宋体" w:hAnsi="宋体" w:cs="宋体"/>
          <w:color w:val="000000"/>
          <w:sz w:val="32"/>
          <w:szCs w:val="32"/>
          <w:highlight w:val="none"/>
        </w:rPr>
      </w:pPr>
    </w:p>
    <w:p w14:paraId="6055F1C2">
      <w:pPr>
        <w:pStyle w:val="26"/>
        <w:rPr>
          <w:rFonts w:hint="eastAsia" w:ascii="宋体" w:hAnsi="宋体" w:cs="宋体"/>
          <w:color w:val="000000"/>
          <w:sz w:val="32"/>
          <w:szCs w:val="32"/>
          <w:highlight w:val="none"/>
        </w:rPr>
      </w:pPr>
    </w:p>
    <w:p w14:paraId="0DC8AD04">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1F725ADA">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441D1A48">
      <w:pPr>
        <w:spacing w:line="360" w:lineRule="auto"/>
        <w:jc w:val="both"/>
        <w:rPr>
          <w:rFonts w:hint="eastAsia" w:ascii="华文中宋" w:hAnsi="华文中宋" w:eastAsia="华文中宋" w:cs="华文中宋"/>
          <w:b/>
          <w:color w:val="000000"/>
          <w:sz w:val="52"/>
          <w:szCs w:val="32"/>
          <w:highlight w:val="none"/>
        </w:rPr>
      </w:pPr>
    </w:p>
    <w:p w14:paraId="4051390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7F4710F8">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41893B0B">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42D0E5A7">
      <w:pPr>
        <w:pStyle w:val="12"/>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7758CD28">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466E1B5">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3D163A10">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A1BB6AB">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5664CC4">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83E7815">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7586B4F">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19" w:name="_Toc97049462"/>
      <w:bookmarkStart w:id="20"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504255CB">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222532C">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1E6F5BBE">
      <w:pPr>
        <w:pStyle w:val="12"/>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bookmarkEnd w:id="19"/>
    <w:p w14:paraId="5C862C2F">
      <w:pPr>
        <w:pStyle w:val="4"/>
        <w:pageBreakBefore/>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36"/>
          <w:szCs w:val="36"/>
          <w:highlight w:val="none"/>
          <w:lang w:val="en-US" w:eastAsia="zh-CN"/>
          <w14:textFill>
            <w14:solidFill>
              <w14:schemeClr w14:val="tx1"/>
            </w14:solidFill>
          </w14:textFill>
        </w:rPr>
        <w:t>响应</w:t>
      </w:r>
      <w:r>
        <w:rPr>
          <w:rFonts w:hint="eastAsia" w:ascii="仿宋" w:hAnsi="仿宋" w:eastAsia="仿宋" w:cs="仿宋"/>
          <w:color w:val="000000" w:themeColor="text1"/>
          <w:sz w:val="36"/>
          <w:szCs w:val="36"/>
          <w:highlight w:val="none"/>
          <w14:textFill>
            <w14:solidFill>
              <w14:schemeClr w14:val="tx1"/>
            </w14:solidFill>
          </w14:textFill>
        </w:rPr>
        <w:t>文件目录</w:t>
      </w:r>
      <w:r>
        <w:rPr>
          <w:rFonts w:hint="eastAsia" w:ascii="仿宋" w:hAnsi="仿宋" w:eastAsia="仿宋" w:cs="仿宋"/>
          <w:color w:val="000000" w:themeColor="text1"/>
          <w:sz w:val="24"/>
          <w:highlight w:val="none"/>
          <w14:textFill>
            <w14:solidFill>
              <w14:schemeClr w14:val="tx1"/>
            </w14:solidFill>
          </w14:textFill>
        </w:rPr>
        <w:fldChar w:fldCharType="begin"/>
      </w:r>
      <w:r>
        <w:rPr>
          <w:rFonts w:hint="eastAsia" w:ascii="仿宋" w:hAnsi="仿宋" w:eastAsia="仿宋" w:cs="仿宋"/>
          <w:color w:val="000000" w:themeColor="text1"/>
          <w:sz w:val="24"/>
          <w:highlight w:val="none"/>
          <w14:textFill>
            <w14:solidFill>
              <w14:schemeClr w14:val="tx1"/>
            </w14:solidFill>
          </w14:textFill>
        </w:rPr>
        <w:instrText xml:space="preserve"> TOC \o "1-3" \h \z \u </w:instrText>
      </w:r>
      <w:r>
        <w:rPr>
          <w:rFonts w:hint="eastAsia" w:ascii="仿宋" w:hAnsi="仿宋" w:eastAsia="仿宋" w:cs="仿宋"/>
          <w:color w:val="000000" w:themeColor="text1"/>
          <w:sz w:val="24"/>
          <w:highlight w:val="none"/>
          <w14:textFill>
            <w14:solidFill>
              <w14:schemeClr w14:val="tx1"/>
            </w14:solidFill>
          </w14:textFill>
        </w:rPr>
        <w:fldChar w:fldCharType="separate"/>
      </w:r>
    </w:p>
    <w:p w14:paraId="3C199F2C">
      <w:pPr>
        <w:keepNext w:val="0"/>
        <w:keepLines w:val="0"/>
        <w:widowControl/>
        <w:suppressLineNumbers w:val="0"/>
        <w:jc w:val="left"/>
        <w:rPr>
          <w:rFonts w:hint="eastAsia" w:ascii="仿宋" w:hAnsi="仿宋" w:eastAsia="仿宋" w:cs="仿宋"/>
          <w:color w:val="000000" w:themeColor="text1"/>
          <w:highlight w:val="none"/>
          <w14:textFill>
            <w14:solidFill>
              <w14:schemeClr w14:val="tx1"/>
            </w14:solidFill>
          </w14:textFill>
        </w:rPr>
      </w:pPr>
    </w:p>
    <w:p w14:paraId="66DA121A">
      <w:pPr>
        <w:shd w:val="clear" w:color="auto" w:fill="FFFFFF"/>
        <w:spacing w:line="360" w:lineRule="auto"/>
        <w:jc w:val="center"/>
        <w:rPr>
          <w:rFonts w:hint="eastAsia" w:ascii="仿宋" w:hAnsi="仿宋" w:eastAsia="仿宋" w:cs="仿宋"/>
          <w:color w:val="auto"/>
          <w:sz w:val="24"/>
          <w:szCs w:val="36"/>
          <w:highlight w:val="none"/>
          <w:lang w:val="en-US"/>
        </w:rPr>
      </w:pPr>
      <w:r>
        <w:rPr>
          <w:rFonts w:hint="eastAsia" w:ascii="仿宋" w:hAnsi="仿宋" w:eastAsia="仿宋" w:cs="仿宋"/>
          <w:color w:val="auto"/>
          <w:sz w:val="24"/>
          <w:szCs w:val="36"/>
          <w:highlight w:val="none"/>
        </w:rPr>
        <w:t>一、</w:t>
      </w:r>
      <w:r>
        <w:rPr>
          <w:rFonts w:hint="eastAsia" w:ascii="仿宋" w:hAnsi="仿宋" w:eastAsia="仿宋" w:cs="仿宋"/>
          <w:color w:val="auto"/>
          <w:sz w:val="24"/>
          <w:szCs w:val="36"/>
          <w:highlight w:val="none"/>
          <w:lang w:val="en-US" w:eastAsia="zh-CN"/>
        </w:rPr>
        <w:t>报价…………………………………………………………………………第（  ）页</w:t>
      </w:r>
    </w:p>
    <w:p w14:paraId="50F1FD2E">
      <w:pPr>
        <w:pStyle w:val="26"/>
        <w:spacing w:line="360" w:lineRule="auto"/>
        <w:ind w:left="0" w:leftChars="0" w:firstLine="0" w:firstLineChars="0"/>
        <w:jc w:val="center"/>
        <w:rPr>
          <w:rFonts w:hint="eastAsia" w:ascii="仿宋" w:hAnsi="仿宋" w:eastAsia="仿宋" w:cs="仿宋"/>
          <w:color w:val="auto"/>
          <w:sz w:val="24"/>
          <w:szCs w:val="36"/>
          <w:highlight w:val="none"/>
          <w:lang w:val="en-US" w:eastAsia="zh-CN"/>
        </w:rPr>
      </w:pPr>
      <w:r>
        <w:rPr>
          <w:rFonts w:hint="eastAsia" w:ascii="仿宋" w:hAnsi="仿宋" w:eastAsia="仿宋" w:cs="仿宋"/>
          <w:color w:val="auto"/>
          <w:sz w:val="24"/>
          <w:szCs w:val="36"/>
          <w:highlight w:val="none"/>
          <w:lang w:val="en-US" w:eastAsia="zh-CN"/>
        </w:rPr>
        <w:t>（一）首次报价表………………………………………………………………第（  ）页</w:t>
      </w:r>
    </w:p>
    <w:p w14:paraId="45A0E37D">
      <w:pPr>
        <w:pStyle w:val="26"/>
        <w:spacing w:line="360" w:lineRule="auto"/>
        <w:ind w:left="0" w:leftChars="0"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sz w:val="24"/>
          <w:szCs w:val="36"/>
          <w:highlight w:val="none"/>
          <w:lang w:val="en-US" w:eastAsia="zh-CN"/>
        </w:rPr>
        <w:t>（二）最终报价表………………………………………………………………第（  ）页</w:t>
      </w:r>
    </w:p>
    <w:p w14:paraId="579878FD">
      <w:pPr>
        <w:shd w:val="clear" w:color="auto" w:fill="FFFFFF"/>
        <w:spacing w:line="360" w:lineRule="auto"/>
        <w:jc w:val="center"/>
        <w:rPr>
          <w:rFonts w:hint="eastAsia" w:ascii="仿宋" w:hAnsi="仿宋" w:eastAsia="仿宋" w:cs="仿宋"/>
          <w:color w:val="000000" w:themeColor="text1"/>
          <w:sz w:val="24"/>
          <w:szCs w:val="36"/>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"http://192.168.70.199/seeyon/office/cache/20190929/-1981683210483646217/-1981683210483646217.html?rnd=94104.10036287415"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36"/>
          <w:highlight w:val="none"/>
          <w14:textFill>
            <w14:solidFill>
              <w14:schemeClr w14:val="tx1"/>
            </w14:solidFill>
          </w14:textFill>
        </w:rPr>
        <w:t>二、</w:t>
      </w:r>
      <w:r>
        <w:rPr>
          <w:rFonts w:hint="eastAsia" w:ascii="仿宋" w:hAnsi="仿宋" w:eastAsia="仿宋" w:cs="仿宋"/>
          <w:color w:val="000000" w:themeColor="text1"/>
          <w:szCs w:val="36"/>
          <w:highlight w:val="none"/>
          <w14:textFill>
            <w14:solidFill>
              <w14:schemeClr w14:val="tx1"/>
            </w14:solidFill>
          </w14:textFill>
        </w:rPr>
        <w:fldChar w:fldCharType="end"/>
      </w:r>
      <w:r>
        <w:rPr>
          <w:rFonts w:hint="eastAsia" w:ascii="仿宋" w:hAnsi="仿宋" w:eastAsia="仿宋" w:cs="仿宋"/>
          <w:color w:val="000000" w:themeColor="text1"/>
          <w:sz w:val="24"/>
          <w:szCs w:val="36"/>
          <w:highlight w:val="none"/>
          <w14:textFill>
            <w14:solidFill>
              <w14:schemeClr w14:val="tx1"/>
            </w14:solidFill>
          </w14:textFill>
        </w:rPr>
        <w:t>资格</w:t>
      </w:r>
      <w:r>
        <w:rPr>
          <w:rFonts w:hint="eastAsia" w:ascii="仿宋" w:hAnsi="仿宋" w:eastAsia="仿宋" w:cs="仿宋"/>
          <w:color w:val="000000" w:themeColor="text1"/>
          <w:sz w:val="24"/>
          <w:szCs w:val="36"/>
          <w:highlight w:val="none"/>
          <w:lang w:val="en-US" w:eastAsia="zh-CN"/>
          <w14:textFill>
            <w14:solidFill>
              <w14:schemeClr w14:val="tx1"/>
            </w14:solidFill>
          </w14:textFill>
        </w:rPr>
        <w:t>审查……………………………………………………………</w:t>
      </w:r>
      <w:r>
        <w:rPr>
          <w:rFonts w:hint="eastAsia" w:ascii="仿宋" w:hAnsi="仿宋" w:eastAsia="仿宋" w:cs="仿宋"/>
          <w:color w:val="auto"/>
          <w:sz w:val="24"/>
          <w:szCs w:val="36"/>
          <w:highlight w:val="none"/>
          <w:lang w:val="en-US" w:eastAsia="zh-CN"/>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……第（  ）页</w:t>
      </w:r>
    </w:p>
    <w:p w14:paraId="3E0B848E">
      <w:pPr>
        <w:pStyle w:val="26"/>
        <w:spacing w:line="360" w:lineRule="auto"/>
        <w:ind w:left="0" w:leftChars="0" w:firstLine="0" w:firstLineChars="0"/>
        <w:jc w:val="center"/>
        <w:rPr>
          <w:rFonts w:hint="eastAsia" w:ascii="仿宋" w:hAnsi="仿宋" w:eastAsia="仿宋" w:cs="仿宋"/>
          <w:color w:val="000000" w:themeColor="text1"/>
          <w:sz w:val="24"/>
          <w:szCs w:val="36"/>
          <w:highlight w:val="none"/>
          <w:lang w:val="en-US" w:eastAsia="zh-CN"/>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（一）资格自查表………………………………………………………………第（  ）页</w:t>
      </w:r>
    </w:p>
    <w:p w14:paraId="5E6FEB64">
      <w:pPr>
        <w:pStyle w:val="26"/>
        <w:spacing w:line="360" w:lineRule="auto"/>
        <w:ind w:left="0" w:leftChars="0" w:firstLine="0" w:firstLineChars="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（二）资格审查证明资料………………………………………………………第（  ）页</w:t>
      </w:r>
    </w:p>
    <w:p w14:paraId="09C48F97">
      <w:pPr>
        <w:shd w:val="clear" w:color="auto" w:fill="FFFFFF"/>
        <w:spacing w:line="360" w:lineRule="auto"/>
        <w:jc w:val="center"/>
        <w:rPr>
          <w:rFonts w:hint="eastAsia" w:ascii="仿宋" w:hAnsi="仿宋" w:eastAsia="仿宋" w:cs="仿宋"/>
          <w:color w:val="000000" w:themeColor="text1"/>
          <w:sz w:val="24"/>
          <w:szCs w:val="36"/>
          <w:highlight w:val="none"/>
          <w:lang w:eastAsia="zh-CN"/>
          <w14:textFill>
            <w14:solidFill>
              <w14:schemeClr w14:val="tx1"/>
            </w14:solidFill>
          </w14:textFill>
        </w:rPr>
      </w:pPr>
      <w:r>
        <w:rPr>
          <w:rFonts w:hint="eastAsia" w:ascii="仿宋" w:hAnsi="仿宋" w:eastAsia="仿宋" w:cs="仿宋"/>
          <w:color w:val="000000" w:themeColor="text1"/>
          <w:sz w:val="24"/>
          <w:szCs w:val="36"/>
          <w:highlight w:val="none"/>
          <w14:textFill>
            <w14:solidFill>
              <w14:schemeClr w14:val="tx1"/>
            </w14:solidFill>
          </w14:textFill>
        </w:rPr>
        <w:t>三、符合性</w:t>
      </w:r>
      <w:r>
        <w:rPr>
          <w:rFonts w:hint="eastAsia" w:ascii="仿宋" w:hAnsi="仿宋" w:eastAsia="仿宋" w:cs="仿宋"/>
          <w:color w:val="000000" w:themeColor="text1"/>
          <w:sz w:val="24"/>
          <w:szCs w:val="36"/>
          <w:highlight w:val="none"/>
          <w:lang w:val="en-US" w:eastAsia="zh-CN"/>
          <w14:textFill>
            <w14:solidFill>
              <w14:schemeClr w14:val="tx1"/>
            </w14:solidFill>
          </w14:textFill>
        </w:rPr>
        <w:t>审查…………………………………………………………</w:t>
      </w:r>
      <w:r>
        <w:rPr>
          <w:rFonts w:hint="eastAsia" w:ascii="仿宋" w:hAnsi="仿宋" w:eastAsia="仿宋" w:cs="仿宋"/>
          <w:color w:val="auto"/>
          <w:sz w:val="24"/>
          <w:szCs w:val="36"/>
          <w:highlight w:val="none"/>
          <w:lang w:val="en-US" w:eastAsia="zh-CN"/>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……第（  ）页</w:t>
      </w:r>
    </w:p>
    <w:p w14:paraId="42DBCD56">
      <w:pPr>
        <w:pStyle w:val="26"/>
        <w:spacing w:line="360" w:lineRule="auto"/>
        <w:ind w:left="0" w:leftChars="0" w:firstLine="0" w:firstLineChars="0"/>
        <w:jc w:val="center"/>
        <w:rPr>
          <w:rFonts w:hint="eastAsia" w:ascii="仿宋" w:hAnsi="仿宋" w:eastAsia="仿宋" w:cs="仿宋"/>
          <w:color w:val="000000" w:themeColor="text1"/>
          <w:sz w:val="24"/>
          <w:szCs w:val="36"/>
          <w:highlight w:val="none"/>
          <w:lang w:val="en-US" w:eastAsia="zh-CN"/>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（一）符合性自查表……………………………………………………………第（  ）页</w:t>
      </w:r>
    </w:p>
    <w:p w14:paraId="1D3FB97F">
      <w:pPr>
        <w:pStyle w:val="26"/>
        <w:spacing w:line="360" w:lineRule="auto"/>
        <w:ind w:left="0" w:leftChars="0" w:firstLine="0" w:firstLineChars="0"/>
        <w:jc w:val="center"/>
        <w:rPr>
          <w:rFonts w:hint="eastAsia" w:ascii="仿宋" w:hAnsi="仿宋" w:eastAsia="仿宋" w:cs="仿宋"/>
          <w:color w:val="000000" w:themeColor="text1"/>
          <w:sz w:val="24"/>
          <w:szCs w:val="36"/>
          <w:highlight w:val="none"/>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（二）符合性审查证明资料……………………………………………………第（  ）页</w:t>
      </w:r>
    </w:p>
    <w:p w14:paraId="282B3C23">
      <w:pPr>
        <w:shd w:val="clear" w:color="auto" w:fill="FFFFFF"/>
        <w:spacing w:line="360" w:lineRule="auto"/>
        <w:jc w:val="center"/>
        <w:rPr>
          <w:rFonts w:hint="eastAsia" w:ascii="仿宋" w:hAnsi="仿宋" w:eastAsia="仿宋" w:cs="仿宋"/>
          <w:color w:val="000000" w:themeColor="text1"/>
          <w:sz w:val="24"/>
          <w:szCs w:val="36"/>
          <w:highlight w:val="none"/>
          <w:lang w:eastAsia="zh-CN"/>
          <w14:textFill>
            <w14:solidFill>
              <w14:schemeClr w14:val="tx1"/>
            </w14:solidFill>
          </w14:textFill>
        </w:rPr>
      </w:pPr>
      <w:r>
        <w:rPr>
          <w:rFonts w:hint="eastAsia" w:ascii="仿宋" w:hAnsi="仿宋" w:eastAsia="仿宋" w:cs="仿宋"/>
          <w:color w:val="000000" w:themeColor="text1"/>
          <w:sz w:val="24"/>
          <w:szCs w:val="36"/>
          <w:highlight w:val="none"/>
          <w14:textFill>
            <w14:solidFill>
              <w14:schemeClr w14:val="tx1"/>
            </w14:solidFill>
          </w14:textFill>
        </w:rPr>
        <w:t>四、</w:t>
      </w:r>
      <w:r>
        <w:rPr>
          <w:rFonts w:hint="eastAsia" w:ascii="仿宋" w:hAnsi="仿宋" w:eastAsia="仿宋" w:cs="仿宋"/>
          <w:color w:val="000000" w:themeColor="text1"/>
          <w:sz w:val="24"/>
          <w:szCs w:val="36"/>
          <w:highlight w:val="none"/>
          <w:lang w:val="en-US" w:eastAsia="zh-CN"/>
          <w14:textFill>
            <w14:solidFill>
              <w14:schemeClr w14:val="tx1"/>
            </w14:solidFill>
          </w14:textFill>
        </w:rPr>
        <w:t>“★”条款响应审查………………………………………………</w:t>
      </w:r>
      <w:r>
        <w:rPr>
          <w:rFonts w:hint="eastAsia" w:ascii="仿宋" w:hAnsi="仿宋" w:eastAsia="仿宋" w:cs="仿宋"/>
          <w:color w:val="auto"/>
          <w:sz w:val="24"/>
          <w:szCs w:val="36"/>
          <w:highlight w:val="none"/>
          <w:lang w:val="en-US" w:eastAsia="zh-CN"/>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……第（  ）页</w:t>
      </w:r>
    </w:p>
    <w:p w14:paraId="72092484">
      <w:pPr>
        <w:shd w:val="clear" w:color="auto" w:fill="FFFFFF"/>
        <w:spacing w:line="360" w:lineRule="auto"/>
        <w:rPr>
          <w:rFonts w:hint="eastAsia" w:ascii="仿宋" w:hAnsi="仿宋" w:eastAsia="仿宋" w:cs="仿宋"/>
          <w:color w:val="000000" w:themeColor="text1"/>
          <w:sz w:val="24"/>
          <w:szCs w:val="36"/>
          <w:highlight w:val="none"/>
          <w14:textFill>
            <w14:solidFill>
              <w14:schemeClr w14:val="tx1"/>
            </w14:solidFill>
          </w14:textFill>
        </w:rPr>
      </w:pPr>
    </w:p>
    <w:p w14:paraId="3C7DEF06">
      <w:pPr>
        <w:pStyle w:val="26"/>
        <w:rPr>
          <w:rFonts w:hint="eastAsia" w:ascii="仿宋" w:hAnsi="仿宋" w:eastAsia="仿宋" w:cs="仿宋"/>
          <w:color w:val="000000" w:themeColor="text1"/>
          <w:highlight w:val="none"/>
          <w14:textFill>
            <w14:solidFill>
              <w14:schemeClr w14:val="tx1"/>
            </w14:solidFill>
          </w14:textFill>
        </w:rPr>
      </w:pPr>
    </w:p>
    <w:p w14:paraId="4855DA85">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14:paraId="622DC2E3">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14:paraId="4904C152">
      <w:pPr>
        <w:pStyle w:val="26"/>
        <w:ind w:firstLine="400"/>
        <w:rPr>
          <w:rFonts w:hint="eastAsia" w:ascii="仿宋" w:hAnsi="仿宋" w:eastAsia="仿宋" w:cs="仿宋"/>
          <w:color w:val="000000" w:themeColor="text1"/>
          <w:sz w:val="24"/>
          <w:szCs w:val="24"/>
          <w:highlight w:val="none"/>
          <w14:textFill>
            <w14:solidFill>
              <w14:schemeClr w14:val="tx1"/>
            </w14:solidFill>
          </w14:textFill>
        </w:rPr>
      </w:pPr>
    </w:p>
    <w:p w14:paraId="08917192">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特别提示与要求：</w:t>
      </w:r>
    </w:p>
    <w:p w14:paraId="6CFB94EF">
      <w:pPr>
        <w:pStyle w:val="26"/>
        <w:ind w:left="0" w:leftChars="0" w:firstLine="0" w:firstLineChars="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请</w:t>
      </w:r>
      <w:r>
        <w:rPr>
          <w:rFonts w:hint="eastAsia" w:ascii="仿宋" w:hAnsi="仿宋" w:eastAsia="仿宋" w:cs="仿宋"/>
          <w:color w:val="000000" w:themeColor="text1"/>
          <w:sz w:val="24"/>
          <w:szCs w:val="24"/>
          <w:highlight w:val="none"/>
          <w:u w:val="single"/>
          <w14:textFill>
            <w14:solidFill>
              <w14:schemeClr w14:val="tx1"/>
            </w14:solidFill>
          </w14:textFill>
        </w:rPr>
        <w:t>响应人</w:t>
      </w:r>
      <w:r>
        <w:rPr>
          <w:rFonts w:hint="eastAsia" w:ascii="仿宋" w:hAnsi="仿宋" w:eastAsia="仿宋" w:cs="仿宋"/>
          <w:color w:val="000000" w:themeColor="text1"/>
          <w:sz w:val="24"/>
          <w:szCs w:val="24"/>
          <w:highlight w:val="none"/>
          <w:lang w:eastAsia="zh-CN"/>
          <w14:textFill>
            <w14:solidFill>
              <w14:schemeClr w14:val="tx1"/>
            </w14:solidFill>
          </w14:textFill>
        </w:rPr>
        <w:t>按照以下要求的格式、内容、顺序制作</w:t>
      </w:r>
      <w:r>
        <w:rPr>
          <w:rFonts w:hint="eastAsia" w:ascii="仿宋" w:hAnsi="仿宋" w:eastAsia="仿宋" w:cs="仿宋"/>
          <w:color w:val="000000" w:themeColor="text1"/>
          <w:sz w:val="24"/>
          <w:szCs w:val="24"/>
          <w:highlight w:val="none"/>
          <w:u w:val="single"/>
          <w14:textFill>
            <w14:solidFill>
              <w14:schemeClr w14:val="tx1"/>
            </w14:solidFill>
          </w14:textFill>
        </w:rPr>
        <w:t>响应文件</w:t>
      </w:r>
      <w:r>
        <w:rPr>
          <w:rFonts w:hint="eastAsia" w:ascii="仿宋" w:hAnsi="仿宋" w:eastAsia="仿宋" w:cs="仿宋"/>
          <w:color w:val="000000" w:themeColor="text1"/>
          <w:sz w:val="24"/>
          <w:szCs w:val="24"/>
          <w:highlight w:val="none"/>
          <w:lang w:eastAsia="zh-CN"/>
          <w14:textFill>
            <w14:solidFill>
              <w14:schemeClr w14:val="tx1"/>
            </w14:solidFill>
          </w14:textFill>
        </w:rPr>
        <w:t>，并请</w:t>
      </w:r>
      <w:r>
        <w:rPr>
          <w:rFonts w:hint="eastAsia" w:ascii="仿宋" w:hAnsi="仿宋" w:eastAsia="仿宋" w:cs="仿宋"/>
          <w:b/>
          <w:bCs/>
          <w:color w:val="000000" w:themeColor="text1"/>
          <w:sz w:val="24"/>
          <w:szCs w:val="24"/>
          <w:highlight w:val="none"/>
          <w:lang w:eastAsia="zh-CN"/>
          <w14:textFill>
            <w14:solidFill>
              <w14:schemeClr w14:val="tx1"/>
            </w14:solidFill>
          </w14:textFill>
        </w:rPr>
        <w:t>编制目录及页码</w:t>
      </w:r>
      <w:r>
        <w:rPr>
          <w:rFonts w:hint="eastAsia" w:ascii="仿宋" w:hAnsi="仿宋" w:eastAsia="仿宋" w:cs="仿宋"/>
          <w:color w:val="000000" w:themeColor="text1"/>
          <w:sz w:val="24"/>
          <w:szCs w:val="24"/>
          <w:highlight w:val="none"/>
          <w:lang w:eastAsia="zh-CN"/>
          <w14:textFill>
            <w14:solidFill>
              <w14:schemeClr w14:val="tx1"/>
            </w14:solidFill>
          </w14:textFill>
        </w:rPr>
        <w:t>，否则可能将影响对</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lang w:eastAsia="zh-CN"/>
          <w14:textFill>
            <w14:solidFill>
              <w14:schemeClr w14:val="tx1"/>
            </w14:solidFill>
          </w14:textFill>
        </w:rPr>
        <w:t>文件的评价。</w:t>
      </w:r>
    </w:p>
    <w:p w14:paraId="099E6481">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响应人所递交的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所有</w:t>
      </w:r>
      <w:r>
        <w:rPr>
          <w:rFonts w:hint="eastAsia" w:ascii="仿宋" w:hAnsi="仿宋" w:eastAsia="仿宋" w:cs="仿宋"/>
          <w:b/>
          <w:bCs/>
          <w:color w:val="000000" w:themeColor="text1"/>
          <w:sz w:val="24"/>
          <w:szCs w:val="24"/>
          <w:highlight w:val="none"/>
          <w14:textFill>
            <w14:solidFill>
              <w14:schemeClr w14:val="tx1"/>
            </w14:solidFill>
          </w14:textFill>
        </w:rPr>
        <w:t>资料</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要求</w:t>
      </w:r>
      <w:r>
        <w:rPr>
          <w:rFonts w:hint="eastAsia" w:ascii="仿宋" w:hAnsi="仿宋" w:eastAsia="仿宋" w:cs="仿宋"/>
          <w:b/>
          <w:bCs/>
          <w:color w:val="000000" w:themeColor="text1"/>
          <w:sz w:val="24"/>
          <w:szCs w:val="24"/>
          <w:highlight w:val="none"/>
          <w14:textFill>
            <w14:solidFill>
              <w14:schemeClr w14:val="tx1"/>
            </w14:solidFill>
          </w14:textFill>
        </w:rPr>
        <w:t>加盖响应人公章。</w:t>
      </w:r>
    </w:p>
    <w:p w14:paraId="1BBF54B7">
      <w:pPr>
        <w:pStyle w:val="26"/>
        <w:ind w:left="0" w:leftChars="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36"/>
          <w:highlight w:val="none"/>
          <w14:textFill>
            <w14:solidFill>
              <w14:schemeClr w14:val="tx1"/>
            </w14:solidFill>
          </w14:textFill>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报价表</w:t>
      </w:r>
      <w:r>
        <w:rPr>
          <w:rFonts w:hint="eastAsia" w:ascii="仿宋" w:hAnsi="仿宋" w:eastAsia="仿宋" w:cs="仿宋"/>
          <w:color w:val="000000" w:themeColor="text1"/>
          <w:sz w:val="24"/>
          <w:szCs w:val="36"/>
          <w:highlight w:val="none"/>
          <w14:textFill>
            <w14:solidFill>
              <w14:schemeClr w14:val="tx1"/>
            </w14:solidFill>
          </w14:textFill>
        </w:rPr>
        <w:t>》应单独封装在</w:t>
      </w:r>
      <w:r>
        <w:rPr>
          <w:rFonts w:hint="eastAsia" w:ascii="仿宋" w:hAnsi="仿宋" w:eastAsia="仿宋" w:cs="仿宋"/>
          <w:color w:val="000000" w:themeColor="text1"/>
          <w:sz w:val="24"/>
          <w:szCs w:val="36"/>
          <w:highlight w:val="none"/>
          <w:lang w:val="en-US" w:eastAsia="zh-CN"/>
          <w14:textFill>
            <w14:solidFill>
              <w14:schemeClr w14:val="tx1"/>
            </w14:solidFill>
          </w14:textFill>
        </w:rPr>
        <w:t>报价</w:t>
      </w:r>
      <w:r>
        <w:rPr>
          <w:rFonts w:hint="eastAsia" w:ascii="仿宋" w:hAnsi="仿宋" w:eastAsia="仿宋" w:cs="仿宋"/>
          <w:color w:val="000000" w:themeColor="text1"/>
          <w:sz w:val="24"/>
          <w:szCs w:val="36"/>
          <w:highlight w:val="none"/>
          <w14:textFill>
            <w14:solidFill>
              <w14:schemeClr w14:val="tx1"/>
            </w14:solidFill>
          </w14:textFill>
        </w:rPr>
        <w:t>信封中</w:t>
      </w:r>
      <w:r>
        <w:rPr>
          <w:rFonts w:hint="eastAsia" w:ascii="仿宋" w:hAnsi="仿宋" w:eastAsia="仿宋" w:cs="仿宋"/>
          <w:color w:val="000000" w:themeColor="text1"/>
          <w:sz w:val="24"/>
          <w:szCs w:val="36"/>
          <w:highlight w:val="none"/>
          <w:lang w:eastAsia="zh-CN"/>
          <w14:textFill>
            <w14:solidFill>
              <w14:schemeClr w14:val="tx1"/>
            </w14:solidFill>
          </w14:textFill>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具体要求同“第三章响应须知”</w:t>
      </w:r>
      <w:r>
        <w:rPr>
          <w:rFonts w:hint="eastAsia" w:ascii="仿宋" w:hAnsi="仿宋" w:eastAsia="仿宋" w:cs="仿宋"/>
          <w:color w:val="000000" w:themeColor="text1"/>
          <w:sz w:val="24"/>
          <w:szCs w:val="36"/>
          <w:highlight w:val="none"/>
          <w14:textFill>
            <w14:solidFill>
              <w14:schemeClr w14:val="tx1"/>
            </w14:solidFill>
          </w14:textFill>
        </w:rPr>
        <w:t>。</w:t>
      </w:r>
    </w:p>
    <w:p w14:paraId="7FA6CF16">
      <w:pPr>
        <w:pStyle w:val="16"/>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5684A0D1">
      <w:pPr>
        <w:spacing w:before="240" w:line="360" w:lineRule="auto"/>
        <w:rPr>
          <w:rFonts w:ascii="宋体" w:hAnsi="宋体"/>
          <w:color w:val="000000"/>
          <w:sz w:val="24"/>
          <w:highlight w:val="none"/>
        </w:rPr>
      </w:pPr>
      <w:r>
        <w:rPr>
          <w:rFonts w:hint="eastAsia" w:ascii="仿宋" w:hAnsi="仿宋" w:eastAsia="仿宋" w:cs="仿宋"/>
          <w:b/>
          <w:bCs/>
          <w:color w:val="000000" w:themeColor="text1"/>
          <w:sz w:val="24"/>
          <w:highlight w:val="none"/>
          <w:lang w:val="zh-CN"/>
          <w14:textFill>
            <w14:solidFill>
              <w14:schemeClr w14:val="tx1"/>
            </w14:solidFill>
          </w14:textFill>
        </w:rPr>
        <w:fldChar w:fldCharType="end"/>
      </w:r>
    </w:p>
    <w:p w14:paraId="0804EAD9">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0"/>
    <w:p w14:paraId="2F03705A">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74C804F">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首次报价表</w:t>
      </w:r>
    </w:p>
    <w:tbl>
      <w:tblPr>
        <w:tblStyle w:val="19"/>
        <w:tblW w:w="0" w:type="auto"/>
        <w:jc w:val="center"/>
        <w:tblLayout w:type="autofit"/>
        <w:tblCellMar>
          <w:top w:w="0" w:type="dxa"/>
          <w:left w:w="108" w:type="dxa"/>
          <w:bottom w:w="0" w:type="dxa"/>
          <w:right w:w="108" w:type="dxa"/>
        </w:tblCellMar>
      </w:tblPr>
      <w:tblGrid>
        <w:gridCol w:w="1560"/>
        <w:gridCol w:w="2593"/>
        <w:gridCol w:w="1517"/>
        <w:gridCol w:w="3172"/>
      </w:tblGrid>
      <w:tr w14:paraId="287544DC">
        <w:tblPrEx>
          <w:tblCellMar>
            <w:top w:w="0" w:type="dxa"/>
            <w:left w:w="108" w:type="dxa"/>
            <w:bottom w:w="0" w:type="dxa"/>
            <w:right w:w="108" w:type="dxa"/>
          </w:tblCellMar>
        </w:tblPrEx>
        <w:trPr>
          <w:jc w:val="center"/>
        </w:trPr>
        <w:tc>
          <w:tcPr>
            <w:tcW w:w="1560" w:type="dxa"/>
            <w:vAlign w:val="bottom"/>
          </w:tcPr>
          <w:p w14:paraId="412078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282" w:type="dxa"/>
            <w:gridSpan w:val="3"/>
            <w:tcBorders>
              <w:top w:val="nil"/>
              <w:left w:val="nil"/>
              <w:bottom w:val="single" w:color="auto" w:sz="4" w:space="0"/>
              <w:right w:val="nil"/>
            </w:tcBorders>
            <w:vAlign w:val="bottom"/>
          </w:tcPr>
          <w:p w14:paraId="331401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中山大学孙逸仙纪念医院2026-2028年公务车辆保险服务采购项目</w:t>
            </w:r>
          </w:p>
        </w:tc>
      </w:tr>
      <w:tr w14:paraId="147F93ED">
        <w:tblPrEx>
          <w:tblCellMar>
            <w:top w:w="0" w:type="dxa"/>
            <w:left w:w="108" w:type="dxa"/>
            <w:bottom w:w="0" w:type="dxa"/>
            <w:right w:w="108" w:type="dxa"/>
          </w:tblCellMar>
        </w:tblPrEx>
        <w:trPr>
          <w:jc w:val="center"/>
        </w:trPr>
        <w:tc>
          <w:tcPr>
            <w:tcW w:w="1560" w:type="dxa"/>
            <w:vAlign w:val="bottom"/>
          </w:tcPr>
          <w:p w14:paraId="595B2FF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148D98CE">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0297688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3172" w:type="dxa"/>
            <w:tcBorders>
              <w:top w:val="single" w:color="auto" w:sz="4" w:space="0"/>
              <w:left w:val="nil"/>
              <w:bottom w:val="single" w:color="auto" w:sz="4" w:space="0"/>
              <w:right w:val="nil"/>
            </w:tcBorders>
          </w:tcPr>
          <w:p w14:paraId="5AC786D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60BE8EB8">
        <w:tblPrEx>
          <w:tblCellMar>
            <w:top w:w="0" w:type="dxa"/>
            <w:left w:w="108" w:type="dxa"/>
            <w:bottom w:w="0" w:type="dxa"/>
            <w:right w:w="108" w:type="dxa"/>
          </w:tblCellMar>
        </w:tblPrEx>
        <w:trPr>
          <w:jc w:val="center"/>
        </w:trPr>
        <w:tc>
          <w:tcPr>
            <w:tcW w:w="1560" w:type="dxa"/>
            <w:vAlign w:val="bottom"/>
          </w:tcPr>
          <w:p w14:paraId="6D5A4D6E">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018D1DF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40001D2E">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3172" w:type="dxa"/>
            <w:tcBorders>
              <w:top w:val="single" w:color="auto" w:sz="4" w:space="0"/>
              <w:left w:val="nil"/>
              <w:bottom w:val="single" w:color="auto" w:sz="4" w:space="0"/>
              <w:right w:val="nil"/>
            </w:tcBorders>
          </w:tcPr>
          <w:p w14:paraId="6B09E77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640A9405">
      <w:pPr>
        <w:pStyle w:val="2"/>
        <w:spacing w:line="360" w:lineRule="auto"/>
        <w:jc w:val="left"/>
        <w:outlineLvl w:val="1"/>
        <w:rPr>
          <w:rFonts w:ascii="宋体" w:hAnsi="宋体" w:cs="宋体"/>
          <w:bCs/>
          <w:color w:val="000000"/>
          <w:sz w:val="10"/>
          <w:szCs w:val="21"/>
          <w:highlight w:val="none"/>
        </w:rPr>
      </w:pPr>
    </w:p>
    <w:p w14:paraId="19092D2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我单位作为</w:t>
      </w:r>
      <w:r>
        <w:rPr>
          <w:rFonts w:hint="eastAsia" w:ascii="仿宋" w:hAnsi="仿宋" w:eastAsia="仿宋" w:cs="仿宋"/>
          <w:sz w:val="21"/>
          <w:szCs w:val="21"/>
          <w:lang w:eastAsia="zh-CN"/>
        </w:rPr>
        <w:t>响应人</w:t>
      </w:r>
      <w:r>
        <w:rPr>
          <w:rFonts w:hint="eastAsia" w:ascii="仿宋" w:hAnsi="仿宋" w:eastAsia="仿宋" w:cs="仿宋"/>
          <w:sz w:val="21"/>
          <w:szCs w:val="21"/>
        </w:rPr>
        <w:t>,对此次</w:t>
      </w:r>
      <w:r>
        <w:rPr>
          <w:rFonts w:hint="eastAsia" w:ascii="仿宋" w:hAnsi="仿宋" w:eastAsia="仿宋" w:cs="仿宋"/>
          <w:sz w:val="21"/>
          <w:szCs w:val="21"/>
          <w:lang w:eastAsia="zh-CN"/>
        </w:rPr>
        <w:t>评审</w:t>
      </w:r>
      <w:r>
        <w:rPr>
          <w:rFonts w:hint="eastAsia" w:ascii="仿宋" w:hAnsi="仿宋" w:eastAsia="仿宋" w:cs="仿宋"/>
          <w:sz w:val="21"/>
          <w:szCs w:val="21"/>
        </w:rPr>
        <w:t>活动中我方所承诺的条款已经完全明确,也深知所承诺的事项和作出的报价可能给我方带来的风险和后果。如果我方在</w:t>
      </w:r>
      <w:r>
        <w:rPr>
          <w:rFonts w:hint="eastAsia" w:ascii="仿宋" w:hAnsi="仿宋" w:eastAsia="仿宋" w:cs="仿宋"/>
          <w:sz w:val="21"/>
          <w:szCs w:val="21"/>
          <w:lang w:eastAsia="zh-CN"/>
        </w:rPr>
        <w:t>评审</w:t>
      </w:r>
      <w:r>
        <w:rPr>
          <w:rFonts w:hint="eastAsia" w:ascii="仿宋" w:hAnsi="仿宋" w:eastAsia="仿宋" w:cs="仿宋"/>
          <w:sz w:val="21"/>
          <w:szCs w:val="21"/>
        </w:rPr>
        <w:t>活动中有弄虚作假等违法违规行为，以及</w:t>
      </w:r>
      <w:r>
        <w:rPr>
          <w:rFonts w:hint="eastAsia" w:ascii="仿宋" w:hAnsi="仿宋" w:eastAsia="仿宋" w:cs="仿宋"/>
          <w:sz w:val="21"/>
          <w:szCs w:val="21"/>
          <w:lang w:val="en-US" w:eastAsia="zh-CN"/>
        </w:rPr>
        <w:t>成交</w:t>
      </w:r>
      <w:r>
        <w:rPr>
          <w:rFonts w:hint="eastAsia" w:ascii="仿宋" w:hAnsi="仿宋" w:eastAsia="仿宋" w:cs="仿宋"/>
          <w:sz w:val="21"/>
          <w:szCs w:val="21"/>
        </w:rPr>
        <w:t>后因报价低或不执行承诺条款而不履约,本单位愿承担一切责任（包括赔偿损失、取消</w:t>
      </w:r>
      <w:r>
        <w:rPr>
          <w:rFonts w:hint="eastAsia" w:ascii="仿宋" w:hAnsi="仿宋" w:eastAsia="仿宋" w:cs="仿宋"/>
          <w:sz w:val="21"/>
          <w:szCs w:val="21"/>
          <w:lang w:eastAsia="zh-CN"/>
        </w:rPr>
        <w:t>评审</w:t>
      </w:r>
      <w:r>
        <w:rPr>
          <w:rFonts w:hint="eastAsia" w:ascii="仿宋" w:hAnsi="仿宋" w:eastAsia="仿宋" w:cs="仿宋"/>
          <w:sz w:val="21"/>
          <w:szCs w:val="21"/>
        </w:rPr>
        <w:t>及</w:t>
      </w:r>
      <w:r>
        <w:rPr>
          <w:rFonts w:hint="eastAsia" w:ascii="仿宋" w:hAnsi="仿宋" w:eastAsia="仿宋" w:cs="仿宋"/>
          <w:sz w:val="21"/>
          <w:szCs w:val="21"/>
          <w:lang w:val="en-US" w:eastAsia="zh-CN"/>
        </w:rPr>
        <w:t>成交</w:t>
      </w:r>
      <w:r>
        <w:rPr>
          <w:rFonts w:hint="eastAsia" w:ascii="仿宋" w:hAnsi="仿宋" w:eastAsia="仿宋" w:cs="仿宋"/>
          <w:sz w:val="21"/>
          <w:szCs w:val="21"/>
        </w:rPr>
        <w:t>资格等），我单位报价为：</w:t>
      </w:r>
    </w:p>
    <w:p w14:paraId="5E655AC7">
      <w:pPr>
        <w:pStyle w:val="2"/>
        <w:rPr>
          <w:rFonts w:hint="eastAsia"/>
        </w:rPr>
      </w:pPr>
    </w:p>
    <w:tbl>
      <w:tblPr>
        <w:tblStyle w:val="19"/>
        <w:tblW w:w="78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2470"/>
        <w:gridCol w:w="2776"/>
        <w:gridCol w:w="2617"/>
      </w:tblGrid>
      <w:tr w14:paraId="3AD41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470" w:type="dxa"/>
            <w:shd w:val="clear" w:color="auto" w:fill="EEECE1"/>
            <w:vAlign w:val="center"/>
          </w:tcPr>
          <w:p w14:paraId="36B2A226">
            <w:pPr>
              <w:pStyle w:val="42"/>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val="en-US" w:eastAsia="zh-CN"/>
              </w:rPr>
              <w:t>项目</w:t>
            </w:r>
            <w:r>
              <w:rPr>
                <w:rFonts w:hint="eastAsia" w:ascii="仿宋" w:hAnsi="仿宋" w:eastAsia="仿宋" w:cs="仿宋"/>
                <w:b/>
                <w:bCs/>
                <w:color w:val="auto"/>
                <w:kern w:val="0"/>
                <w:sz w:val="22"/>
                <w:szCs w:val="22"/>
                <w:highlight w:val="none"/>
              </w:rPr>
              <w:t>名称</w:t>
            </w:r>
          </w:p>
        </w:tc>
        <w:tc>
          <w:tcPr>
            <w:tcW w:w="2776" w:type="dxa"/>
            <w:shd w:val="clear" w:color="auto" w:fill="EEECE1"/>
            <w:vAlign w:val="center"/>
          </w:tcPr>
          <w:p w14:paraId="0E2533A3">
            <w:pPr>
              <w:pStyle w:val="42"/>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自主定价系数（%）</w:t>
            </w:r>
          </w:p>
        </w:tc>
        <w:tc>
          <w:tcPr>
            <w:tcW w:w="2617" w:type="dxa"/>
            <w:shd w:val="clear" w:color="auto" w:fill="EEECE1"/>
            <w:vAlign w:val="center"/>
          </w:tcPr>
          <w:p w14:paraId="107A1819">
            <w:pPr>
              <w:pStyle w:val="42"/>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响应有效期</w:t>
            </w:r>
          </w:p>
        </w:tc>
      </w:tr>
      <w:tr w14:paraId="32D16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2470" w:type="dxa"/>
            <w:shd w:val="clear" w:color="auto" w:fill="FFFFFF"/>
            <w:vAlign w:val="center"/>
          </w:tcPr>
          <w:p w14:paraId="0B7460EC">
            <w:pPr>
              <w:pStyle w:val="42"/>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Cs/>
                <w:color w:val="auto"/>
                <w:kern w:val="0"/>
                <w:sz w:val="22"/>
                <w:szCs w:val="22"/>
                <w:highlight w:val="none"/>
              </w:rPr>
            </w:pPr>
            <w:r>
              <w:rPr>
                <w:rFonts w:hint="eastAsia" w:ascii="仿宋" w:hAnsi="仿宋" w:eastAsia="仿宋" w:cs="仿宋"/>
                <w:color w:val="auto"/>
                <w:sz w:val="22"/>
                <w:szCs w:val="22"/>
                <w:highlight w:val="none"/>
                <w:lang w:val="en-US" w:eastAsia="zh-CN"/>
              </w:rPr>
              <w:t>中山大学孙逸仙纪念医院</w:t>
            </w:r>
            <w:r>
              <w:rPr>
                <w:rFonts w:hint="eastAsia" w:ascii="仿宋" w:hAnsi="仿宋" w:eastAsia="仿宋" w:cs="仿宋"/>
                <w:color w:val="auto"/>
                <w:sz w:val="22"/>
                <w:szCs w:val="22"/>
                <w:highlight w:val="none"/>
              </w:rPr>
              <w:t>202</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-202</w:t>
            </w: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rPr>
              <w:t>年公务车辆保险服务采购项目</w:t>
            </w:r>
          </w:p>
        </w:tc>
        <w:tc>
          <w:tcPr>
            <w:tcW w:w="2776" w:type="dxa"/>
            <w:shd w:val="clear" w:color="auto" w:fill="FFFFFF"/>
            <w:vAlign w:val="center"/>
          </w:tcPr>
          <w:p w14:paraId="7AC5E002">
            <w:pPr>
              <w:keepNext w:val="0"/>
              <w:keepLines w:val="0"/>
              <w:suppressLineNumbers w:val="0"/>
              <w:overflowPunct w:val="0"/>
              <w:spacing w:before="0" w:beforeAutospacing="0" w:after="0" w:afterAutospacing="0" w:line="460" w:lineRule="exact"/>
              <w:ind w:left="0" w:leftChars="0" w:right="0" w:rightChars="0"/>
              <w:rPr>
                <w:rFonts w:hint="eastAsia" w:ascii="仿宋" w:hAnsi="仿宋" w:eastAsia="仿宋" w:cs="仿宋"/>
                <w:color w:val="auto"/>
                <w:sz w:val="22"/>
                <w:szCs w:val="22"/>
                <w:highlight w:val="none"/>
              </w:rPr>
            </w:pPr>
          </w:p>
        </w:tc>
        <w:tc>
          <w:tcPr>
            <w:tcW w:w="2617" w:type="dxa"/>
            <w:shd w:val="clear" w:color="auto" w:fill="FFFFFF"/>
            <w:vAlign w:val="center"/>
          </w:tcPr>
          <w:p w14:paraId="12A32EB7">
            <w:pPr>
              <w:pStyle w:val="42"/>
              <w:keepNext w:val="0"/>
              <w:keepLines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自提交响应文件的截止之日起90个公历日</w:t>
            </w:r>
          </w:p>
        </w:tc>
      </w:tr>
    </w:tbl>
    <w:p w14:paraId="4861ADB4">
      <w:pPr>
        <w:pStyle w:val="2"/>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14:paraId="7AADA082">
      <w:pPr>
        <w:pStyle w:val="2"/>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14:paraId="3D27E56B">
      <w:pPr>
        <w:pStyle w:val="26"/>
        <w:rPr>
          <w:rFonts w:hint="eastAsia" w:ascii="仿宋" w:hAnsi="仿宋" w:eastAsia="仿宋" w:cs="仿宋"/>
          <w:color w:val="000000" w:themeColor="text1"/>
          <w:sz w:val="21"/>
          <w:szCs w:val="21"/>
          <w:highlight w:val="none"/>
          <w14:textFill>
            <w14:solidFill>
              <w14:schemeClr w14:val="tx1"/>
            </w14:solidFill>
          </w14:textFill>
        </w:rPr>
      </w:pPr>
    </w:p>
    <w:p w14:paraId="333BFF71">
      <w:pPr>
        <w:pStyle w:val="26"/>
        <w:rPr>
          <w:rFonts w:hint="eastAsia" w:ascii="仿宋" w:hAnsi="仿宋" w:eastAsia="仿宋" w:cs="仿宋"/>
          <w:color w:val="000000" w:themeColor="text1"/>
          <w:sz w:val="21"/>
          <w:szCs w:val="21"/>
          <w:highlight w:val="none"/>
          <w14:textFill>
            <w14:solidFill>
              <w14:schemeClr w14:val="tx1"/>
            </w14:solidFill>
          </w14:textFill>
        </w:rPr>
      </w:pPr>
    </w:p>
    <w:p w14:paraId="564058BB">
      <w:pPr>
        <w:pStyle w:val="26"/>
        <w:rPr>
          <w:rFonts w:hint="eastAsia" w:ascii="仿宋" w:hAnsi="仿宋" w:eastAsia="仿宋" w:cs="仿宋"/>
          <w:color w:val="000000" w:themeColor="text1"/>
          <w:sz w:val="21"/>
          <w:szCs w:val="21"/>
          <w:highlight w:val="none"/>
          <w14:textFill>
            <w14:solidFill>
              <w14:schemeClr w14:val="tx1"/>
            </w14:solidFill>
          </w14:textFill>
        </w:rPr>
      </w:pPr>
    </w:p>
    <w:p w14:paraId="2AB56B96">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w:t>
      </w:r>
    </w:p>
    <w:p w14:paraId="0B9DC0C2">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1、响应人须按要求填写所有信息，不得随意更改本表格式。</w:t>
      </w:r>
    </w:p>
    <w:p w14:paraId="0EFC1F1D">
      <w:pPr>
        <w:pStyle w:val="26"/>
        <w:rPr>
          <w:rFonts w:hint="eastAsia" w:ascii="仿宋" w:hAnsi="仿宋" w:eastAsia="仿宋" w:cs="仿宋"/>
          <w:color w:val="auto"/>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2、</w:t>
      </w:r>
      <w:r>
        <w:rPr>
          <w:rFonts w:hint="eastAsia" w:ascii="仿宋" w:hAnsi="仿宋" w:eastAsia="仿宋" w:cs="仿宋"/>
          <w:color w:val="auto"/>
          <w:sz w:val="21"/>
          <w:szCs w:val="21"/>
          <w:highlight w:val="none"/>
        </w:rPr>
        <w:t>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p>
    <w:p w14:paraId="44068479">
      <w:pPr>
        <w:pStyle w:val="26"/>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5D208F77">
      <w:pPr>
        <w:pStyle w:val="26"/>
        <w:rPr>
          <w:rFonts w:hint="eastAsia" w:ascii="仿宋" w:hAnsi="仿宋" w:eastAsia="仿宋" w:cs="仿宋"/>
          <w:color w:val="000000" w:themeColor="text1"/>
          <w:highlight w:val="none"/>
          <w14:textFill>
            <w14:solidFill>
              <w14:schemeClr w14:val="tx1"/>
            </w14:solidFill>
          </w14:textFill>
        </w:rPr>
      </w:pPr>
    </w:p>
    <w:p w14:paraId="5546F5C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lang w:eastAsia="zh-CN"/>
          <w14:textFill>
            <w14:solidFill>
              <w14:schemeClr w14:val="tx1"/>
            </w14:solidFill>
          </w14:textFill>
        </w:rPr>
      </w:pPr>
    </w:p>
    <w:p w14:paraId="7BA51FF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人名称（盖公章）：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1079BB4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人法定代表人或</w:t>
      </w:r>
      <w:r>
        <w:rPr>
          <w:rFonts w:hint="eastAsia" w:ascii="仿宋" w:hAnsi="仿宋" w:eastAsia="仿宋" w:cs="仿宋"/>
          <w:color w:val="000000" w:themeColor="text1"/>
          <w:sz w:val="24"/>
          <w:highlight w:val="none"/>
          <w:lang w:val="en-US" w:eastAsia="zh-CN"/>
          <w14:textFill>
            <w14:solidFill>
              <w14:schemeClr w14:val="tx1"/>
            </w14:solidFill>
          </w14:textFill>
        </w:rPr>
        <w:t>法定</w:t>
      </w:r>
      <w:r>
        <w:rPr>
          <w:rFonts w:hint="eastAsia" w:ascii="仿宋" w:hAnsi="仿宋" w:eastAsia="仿宋" w:cs="仿宋"/>
          <w:color w:val="000000" w:themeColor="text1"/>
          <w:sz w:val="24"/>
          <w:highlight w:val="none"/>
          <w14:textFill>
            <w14:solidFill>
              <w14:schemeClr w14:val="tx1"/>
            </w14:solidFill>
          </w14:textFill>
        </w:rPr>
        <w:t>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3DF5FF12">
      <w:pPr>
        <w:pageBreakBefore w:val="0"/>
        <w:kinsoku/>
        <w:wordWrap/>
        <w:overflowPunct/>
        <w:topLinePunct w:val="0"/>
        <w:bidi w:val="0"/>
        <w:spacing w:line="360" w:lineRule="auto"/>
        <w:ind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2BAB6AA7">
      <w:pPr>
        <w:pStyle w:val="2"/>
        <w:rPr>
          <w:rFonts w:hint="eastAsia" w:ascii="仿宋" w:hAnsi="仿宋" w:eastAsia="仿宋" w:cs="仿宋"/>
          <w:color w:val="000000" w:themeColor="text1"/>
          <w:sz w:val="24"/>
          <w:highlight w:val="none"/>
          <w14:textFill>
            <w14:solidFill>
              <w14:schemeClr w14:val="tx1"/>
            </w14:solidFill>
          </w14:textFill>
        </w:rPr>
      </w:pPr>
    </w:p>
    <w:p w14:paraId="7557CFA8">
      <w:pPr>
        <w:rPr>
          <w:rFonts w:hint="eastAsia" w:ascii="仿宋" w:hAnsi="仿宋" w:eastAsia="仿宋" w:cs="仿宋"/>
          <w:color w:val="000000" w:themeColor="text1"/>
          <w:sz w:val="24"/>
          <w:highlight w:val="none"/>
          <w14:textFill>
            <w14:solidFill>
              <w14:schemeClr w14:val="tx1"/>
            </w14:solidFill>
          </w14:textFill>
        </w:rPr>
      </w:pPr>
    </w:p>
    <w:p w14:paraId="1A82635C">
      <w:pPr>
        <w:rPr>
          <w:rFonts w:hint="eastAsia" w:ascii="仿宋" w:hAnsi="仿宋" w:eastAsia="仿宋" w:cs="仿宋"/>
          <w:color w:val="000000" w:themeColor="text1"/>
          <w:sz w:val="24"/>
          <w:highlight w:val="none"/>
          <w14:textFill>
            <w14:solidFill>
              <w14:schemeClr w14:val="tx1"/>
            </w14:solidFill>
          </w14:textFill>
        </w:rPr>
      </w:pPr>
    </w:p>
    <w:p w14:paraId="53099F63">
      <w:pPr>
        <w:pStyle w:val="2"/>
        <w:rPr>
          <w:rFonts w:hint="eastAsia" w:ascii="仿宋" w:hAnsi="仿宋" w:eastAsia="仿宋" w:cs="仿宋"/>
          <w:color w:val="000000" w:themeColor="text1"/>
          <w:sz w:val="24"/>
          <w:highlight w:val="none"/>
          <w14:textFill>
            <w14:solidFill>
              <w14:schemeClr w14:val="tx1"/>
            </w14:solidFill>
          </w14:textFill>
        </w:rPr>
      </w:pPr>
    </w:p>
    <w:p w14:paraId="68ADC4EA">
      <w:pPr>
        <w:rPr>
          <w:rFonts w:hint="eastAsia"/>
        </w:rPr>
      </w:pPr>
    </w:p>
    <w:p w14:paraId="5B8C6AB5">
      <w:pPr>
        <w:widowControl w:val="0"/>
        <w:numPr>
          <w:ilvl w:val="0"/>
          <w:numId w:val="8"/>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最终报价</w:t>
      </w:r>
      <w:r>
        <w:rPr>
          <w:rFonts w:hint="eastAsia" w:ascii="仿宋" w:hAnsi="仿宋" w:eastAsia="仿宋" w:cs="仿宋"/>
          <w:b/>
          <w:bCs/>
          <w:color w:val="000000" w:themeColor="text1"/>
          <w:sz w:val="36"/>
          <w:szCs w:val="36"/>
          <w:highlight w:val="none"/>
          <w:lang w:eastAsia="zh-CN"/>
          <w14:textFill>
            <w14:solidFill>
              <w14:schemeClr w14:val="tx1"/>
            </w14:solidFill>
          </w14:textFill>
        </w:rPr>
        <w:t>表</w:t>
      </w:r>
    </w:p>
    <w:p w14:paraId="47AC5DF0">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（此表</w:t>
      </w:r>
      <w:r>
        <w:rPr>
          <w:rFonts w:hint="eastAsia" w:ascii="仿宋" w:hAnsi="仿宋" w:eastAsia="仿宋" w:cs="仿宋"/>
          <w:b/>
          <w:color w:val="auto"/>
          <w:sz w:val="30"/>
          <w:szCs w:val="30"/>
          <w:highlight w:val="none"/>
          <w:lang w:val="en-US" w:eastAsia="zh-CN"/>
        </w:rPr>
        <w:t>现场谈判</w:t>
      </w:r>
      <w:r>
        <w:rPr>
          <w:rFonts w:hint="eastAsia" w:ascii="仿宋" w:hAnsi="仿宋" w:eastAsia="仿宋" w:cs="仿宋"/>
          <w:b/>
          <w:color w:val="auto"/>
          <w:sz w:val="30"/>
          <w:szCs w:val="30"/>
          <w:highlight w:val="none"/>
          <w:lang w:eastAsia="zh-CN"/>
        </w:rPr>
        <w:t>后再交）</w:t>
      </w:r>
    </w:p>
    <w:tbl>
      <w:tblPr>
        <w:tblStyle w:val="19"/>
        <w:tblW w:w="0" w:type="auto"/>
        <w:jc w:val="center"/>
        <w:tblLayout w:type="autofit"/>
        <w:tblCellMar>
          <w:top w:w="0" w:type="dxa"/>
          <w:left w:w="108" w:type="dxa"/>
          <w:bottom w:w="0" w:type="dxa"/>
          <w:right w:w="108" w:type="dxa"/>
        </w:tblCellMar>
      </w:tblPr>
      <w:tblGrid>
        <w:gridCol w:w="1560"/>
        <w:gridCol w:w="7182"/>
      </w:tblGrid>
      <w:tr w14:paraId="0701914C">
        <w:trPr>
          <w:jc w:val="center"/>
        </w:trPr>
        <w:tc>
          <w:tcPr>
            <w:tcW w:w="1560" w:type="dxa"/>
            <w:vAlign w:val="bottom"/>
          </w:tcPr>
          <w:p w14:paraId="0E67669D">
            <w:pPr>
              <w:keepNext w:val="0"/>
              <w:keepLines w:val="0"/>
              <w:suppressLineNumbers w:val="0"/>
              <w:spacing w:before="240" w:beforeAutospacing="0" w:after="0" w:afterAutospacing="0"/>
              <w:ind w:left="0" w:right="0"/>
              <w:rPr>
                <w:rFonts w:hint="eastAsia"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color w:val="000000" w:themeColor="text1"/>
                <w:sz w:val="24"/>
                <w:szCs w:val="32"/>
                <w:highlight w:val="none"/>
                <w14:textFill>
                  <w14:solidFill>
                    <w14:schemeClr w14:val="tx1"/>
                  </w14:solidFill>
                </w14:textFill>
              </w:rPr>
              <w:t>项目名称：</w:t>
            </w:r>
          </w:p>
        </w:tc>
        <w:tc>
          <w:tcPr>
            <w:tcW w:w="7182" w:type="dxa"/>
            <w:tcBorders>
              <w:top w:val="nil"/>
              <w:left w:val="nil"/>
              <w:bottom w:val="single" w:color="auto" w:sz="4" w:space="0"/>
              <w:right w:val="nil"/>
            </w:tcBorders>
            <w:vAlign w:val="bottom"/>
          </w:tcPr>
          <w:p w14:paraId="1CC5DACB">
            <w:pPr>
              <w:keepNext w:val="0"/>
              <w:keepLines w:val="0"/>
              <w:suppressLineNumbers w:val="0"/>
              <w:spacing w:before="240" w:beforeAutospacing="0" w:after="0" w:afterAutospacing="0"/>
              <w:ind w:left="0" w:right="0"/>
              <w:rPr>
                <w:rFonts w:hint="eastAsia"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color w:val="000000" w:themeColor="text1"/>
                <w:sz w:val="24"/>
                <w:szCs w:val="32"/>
                <w:highlight w:val="none"/>
                <w14:textFill>
                  <w14:solidFill>
                    <w14:schemeClr w14:val="tx1"/>
                  </w14:solidFill>
                </w14:textFill>
              </w:rPr>
              <w:t>中山大学孙逸仙纪念医院2026-2028年公务车辆保险服务采购项目</w:t>
            </w:r>
          </w:p>
        </w:tc>
      </w:tr>
    </w:tbl>
    <w:p w14:paraId="651987A8">
      <w:pPr>
        <w:pStyle w:val="2"/>
        <w:spacing w:line="360" w:lineRule="auto"/>
        <w:jc w:val="left"/>
        <w:outlineLvl w:val="1"/>
        <w:rPr>
          <w:rFonts w:hint="eastAsia" w:ascii="仿宋" w:hAnsi="仿宋" w:eastAsia="仿宋" w:cs="仿宋"/>
          <w:bCs/>
          <w:color w:val="000000" w:themeColor="text1"/>
          <w:sz w:val="10"/>
          <w:szCs w:val="21"/>
          <w:highlight w:val="none"/>
          <w14:textFill>
            <w14:solidFill>
              <w14:schemeClr w14:val="tx1"/>
            </w14:solidFill>
          </w14:textFill>
        </w:rPr>
      </w:pPr>
    </w:p>
    <w:p w14:paraId="7607D1C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我单位作为</w:t>
      </w:r>
      <w:r>
        <w:rPr>
          <w:rFonts w:hint="eastAsia" w:ascii="仿宋" w:hAnsi="仿宋" w:eastAsia="仿宋" w:cs="仿宋"/>
          <w:sz w:val="21"/>
          <w:szCs w:val="21"/>
          <w:lang w:eastAsia="zh-CN"/>
        </w:rPr>
        <w:t>响应人</w:t>
      </w:r>
      <w:r>
        <w:rPr>
          <w:rFonts w:hint="eastAsia" w:ascii="仿宋" w:hAnsi="仿宋" w:eastAsia="仿宋" w:cs="仿宋"/>
          <w:sz w:val="21"/>
          <w:szCs w:val="21"/>
        </w:rPr>
        <w:t>,对此次</w:t>
      </w:r>
      <w:r>
        <w:rPr>
          <w:rFonts w:hint="eastAsia" w:ascii="仿宋" w:hAnsi="仿宋" w:eastAsia="仿宋" w:cs="仿宋"/>
          <w:sz w:val="21"/>
          <w:szCs w:val="21"/>
          <w:lang w:eastAsia="zh-CN"/>
        </w:rPr>
        <w:t>评审</w:t>
      </w:r>
      <w:r>
        <w:rPr>
          <w:rFonts w:hint="eastAsia" w:ascii="仿宋" w:hAnsi="仿宋" w:eastAsia="仿宋" w:cs="仿宋"/>
          <w:sz w:val="21"/>
          <w:szCs w:val="21"/>
        </w:rPr>
        <w:t>活动中我方所承诺的条款已经完全明确,也深知所承诺的事项和作出的报价可能给我方带来的风险和后果。如果我方在</w:t>
      </w:r>
      <w:r>
        <w:rPr>
          <w:rFonts w:hint="eastAsia" w:ascii="仿宋" w:hAnsi="仿宋" w:eastAsia="仿宋" w:cs="仿宋"/>
          <w:sz w:val="21"/>
          <w:szCs w:val="21"/>
          <w:lang w:eastAsia="zh-CN"/>
        </w:rPr>
        <w:t>评审</w:t>
      </w:r>
      <w:r>
        <w:rPr>
          <w:rFonts w:hint="eastAsia" w:ascii="仿宋" w:hAnsi="仿宋" w:eastAsia="仿宋" w:cs="仿宋"/>
          <w:sz w:val="21"/>
          <w:szCs w:val="21"/>
        </w:rPr>
        <w:t>活动中有弄虚作假等违法违规行为，以及</w:t>
      </w:r>
      <w:r>
        <w:rPr>
          <w:rFonts w:hint="eastAsia" w:ascii="仿宋" w:hAnsi="仿宋" w:eastAsia="仿宋" w:cs="仿宋"/>
          <w:sz w:val="21"/>
          <w:szCs w:val="21"/>
          <w:lang w:val="en-US" w:eastAsia="zh-CN"/>
        </w:rPr>
        <w:t>成交</w:t>
      </w:r>
      <w:r>
        <w:rPr>
          <w:rFonts w:hint="eastAsia" w:ascii="仿宋" w:hAnsi="仿宋" w:eastAsia="仿宋" w:cs="仿宋"/>
          <w:sz w:val="21"/>
          <w:szCs w:val="21"/>
        </w:rPr>
        <w:t>后因报价低或不执行承诺条款而不履约,本单位愿承担一切责任（包括赔偿损失、取消</w:t>
      </w:r>
      <w:r>
        <w:rPr>
          <w:rFonts w:hint="eastAsia" w:ascii="仿宋" w:hAnsi="仿宋" w:eastAsia="仿宋" w:cs="仿宋"/>
          <w:sz w:val="21"/>
          <w:szCs w:val="21"/>
          <w:lang w:eastAsia="zh-CN"/>
        </w:rPr>
        <w:t>评审</w:t>
      </w:r>
      <w:r>
        <w:rPr>
          <w:rFonts w:hint="eastAsia" w:ascii="仿宋" w:hAnsi="仿宋" w:eastAsia="仿宋" w:cs="仿宋"/>
          <w:sz w:val="21"/>
          <w:szCs w:val="21"/>
        </w:rPr>
        <w:t>及</w:t>
      </w:r>
      <w:r>
        <w:rPr>
          <w:rFonts w:hint="eastAsia" w:ascii="仿宋" w:hAnsi="仿宋" w:eastAsia="仿宋" w:cs="仿宋"/>
          <w:sz w:val="21"/>
          <w:szCs w:val="21"/>
          <w:lang w:val="en-US" w:eastAsia="zh-CN"/>
        </w:rPr>
        <w:t>成交</w:t>
      </w:r>
      <w:r>
        <w:rPr>
          <w:rFonts w:hint="eastAsia" w:ascii="仿宋" w:hAnsi="仿宋" w:eastAsia="仿宋" w:cs="仿宋"/>
          <w:sz w:val="21"/>
          <w:szCs w:val="21"/>
        </w:rPr>
        <w:t>资格等），我单位报价为：</w:t>
      </w:r>
    </w:p>
    <w:p w14:paraId="40BB2501">
      <w:pPr>
        <w:pStyle w:val="2"/>
        <w:rPr>
          <w:rFonts w:hint="eastAsia" w:ascii="仿宋" w:hAnsi="仿宋" w:eastAsia="仿宋" w:cs="仿宋"/>
          <w:sz w:val="21"/>
          <w:szCs w:val="21"/>
        </w:rPr>
      </w:pPr>
    </w:p>
    <w:p w14:paraId="26A474B6">
      <w:pPr>
        <w:rPr>
          <w:rFonts w:hint="eastAsia"/>
        </w:rPr>
      </w:pPr>
    </w:p>
    <w:tbl>
      <w:tblPr>
        <w:tblStyle w:val="19"/>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2650"/>
        <w:gridCol w:w="2264"/>
        <w:gridCol w:w="1912"/>
      </w:tblGrid>
      <w:tr w14:paraId="1972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55" w:type="dxa"/>
            <w:tcBorders>
              <w:top w:val="single" w:color="auto" w:sz="4" w:space="0"/>
              <w:left w:val="single" w:color="auto" w:sz="4" w:space="0"/>
              <w:bottom w:val="single" w:color="auto" w:sz="4" w:space="0"/>
              <w:right w:val="single" w:color="auto" w:sz="4" w:space="0"/>
            </w:tcBorders>
            <w:noWrap w:val="0"/>
            <w:vAlign w:val="center"/>
          </w:tcPr>
          <w:p w14:paraId="29F4EF86">
            <w:pPr>
              <w:pStyle w:val="42"/>
              <w:keepNext w:val="0"/>
              <w:keepLines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b/>
                <w:sz w:val="24"/>
                <w:szCs w:val="24"/>
                <w:lang w:val="en-US" w:eastAsia="zh-CN"/>
              </w:rPr>
            </w:pPr>
            <w:r>
              <w:rPr>
                <w:rFonts w:hint="eastAsia" w:ascii="仿宋" w:hAnsi="仿宋" w:eastAsia="仿宋" w:cs="仿宋"/>
                <w:b/>
                <w:bCs/>
                <w:color w:val="auto"/>
                <w:kern w:val="0"/>
                <w:sz w:val="22"/>
                <w:szCs w:val="22"/>
                <w:highlight w:val="none"/>
                <w:lang w:val="en-US" w:eastAsia="zh-CN"/>
              </w:rPr>
              <w:t>项目</w:t>
            </w:r>
            <w:r>
              <w:rPr>
                <w:rFonts w:hint="eastAsia" w:ascii="仿宋" w:hAnsi="仿宋" w:eastAsia="仿宋" w:cs="仿宋"/>
                <w:b/>
                <w:bCs/>
                <w:color w:val="auto"/>
                <w:kern w:val="0"/>
                <w:sz w:val="22"/>
                <w:szCs w:val="22"/>
                <w:highlight w:val="none"/>
              </w:rPr>
              <w:t>名称</w:t>
            </w:r>
          </w:p>
        </w:tc>
        <w:tc>
          <w:tcPr>
            <w:tcW w:w="2650" w:type="dxa"/>
            <w:tcBorders>
              <w:top w:val="single" w:color="auto" w:sz="4" w:space="0"/>
              <w:left w:val="single" w:color="auto" w:sz="4" w:space="0"/>
              <w:bottom w:val="single" w:color="auto" w:sz="4" w:space="0"/>
              <w:right w:val="single" w:color="auto" w:sz="4" w:space="0"/>
            </w:tcBorders>
            <w:noWrap w:val="0"/>
            <w:vAlign w:val="center"/>
          </w:tcPr>
          <w:p w14:paraId="3D9BF0C1">
            <w:pPr>
              <w:pStyle w:val="42"/>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b/>
                <w:bCs/>
                <w:color w:val="auto"/>
                <w:kern w:val="0"/>
                <w:sz w:val="22"/>
                <w:szCs w:val="22"/>
                <w:highlight w:val="none"/>
              </w:rPr>
              <w:t>自主定价系数（%）</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2B8823F4">
            <w:pPr>
              <w:pStyle w:val="42"/>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b/>
                <w:bCs/>
                <w:color w:val="auto"/>
                <w:kern w:val="0"/>
                <w:sz w:val="22"/>
                <w:szCs w:val="22"/>
                <w:highlight w:val="none"/>
              </w:rPr>
              <w:t>响应有效期</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1C885B73">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lang w:val="en-US" w:eastAsia="zh-CN"/>
              </w:rPr>
              <w:t>供应商</w:t>
            </w:r>
            <w:r>
              <w:rPr>
                <w:rFonts w:hint="eastAsia" w:ascii="仿宋" w:hAnsi="仿宋" w:eastAsia="仿宋" w:cs="仿宋"/>
                <w:b/>
                <w:sz w:val="24"/>
                <w:szCs w:val="24"/>
              </w:rPr>
              <w:t>委托人签名确认</w:t>
            </w:r>
          </w:p>
        </w:tc>
      </w:tr>
      <w:tr w14:paraId="7885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855" w:type="dxa"/>
            <w:tcBorders>
              <w:top w:val="single" w:color="auto" w:sz="4" w:space="0"/>
              <w:left w:val="single" w:color="auto" w:sz="4" w:space="0"/>
              <w:right w:val="single" w:color="auto" w:sz="4" w:space="0"/>
            </w:tcBorders>
            <w:noWrap w:val="0"/>
            <w:vAlign w:val="center"/>
          </w:tcPr>
          <w:p w14:paraId="483BCA2D">
            <w:pPr>
              <w:pStyle w:val="42"/>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8"/>
                <w:sz w:val="24"/>
                <w:szCs w:val="24"/>
                <w:lang w:val="en-US" w:eastAsia="zh-CN"/>
              </w:rPr>
            </w:pPr>
            <w:r>
              <w:rPr>
                <w:rFonts w:hint="eastAsia" w:ascii="仿宋" w:hAnsi="仿宋" w:eastAsia="仿宋" w:cs="仿宋"/>
                <w:color w:val="auto"/>
                <w:sz w:val="22"/>
                <w:szCs w:val="22"/>
                <w:highlight w:val="none"/>
                <w:lang w:val="en-US" w:eastAsia="zh-CN"/>
              </w:rPr>
              <w:t>中山大学孙逸仙纪念医院</w:t>
            </w:r>
            <w:r>
              <w:rPr>
                <w:rFonts w:hint="eastAsia" w:ascii="仿宋" w:hAnsi="仿宋" w:eastAsia="仿宋" w:cs="仿宋"/>
                <w:color w:val="auto"/>
                <w:sz w:val="22"/>
                <w:szCs w:val="22"/>
                <w:highlight w:val="none"/>
              </w:rPr>
              <w:t>202</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-202</w:t>
            </w: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rPr>
              <w:t>年公务车辆保险服务采购项目</w:t>
            </w:r>
          </w:p>
        </w:tc>
        <w:tc>
          <w:tcPr>
            <w:tcW w:w="2650" w:type="dxa"/>
            <w:tcBorders>
              <w:top w:val="single" w:color="auto" w:sz="4" w:space="0"/>
              <w:left w:val="single" w:color="auto" w:sz="4" w:space="0"/>
              <w:bottom w:val="single" w:color="auto" w:sz="4" w:space="0"/>
              <w:right w:val="single" w:color="auto" w:sz="4" w:space="0"/>
            </w:tcBorders>
            <w:noWrap w:val="0"/>
            <w:vAlign w:val="center"/>
          </w:tcPr>
          <w:p w14:paraId="4D0757B9">
            <w:pPr>
              <w:keepNext w:val="0"/>
              <w:keepLines w:val="0"/>
              <w:suppressLineNumbers w:val="0"/>
              <w:overflowPunct w:val="0"/>
              <w:spacing w:before="0" w:beforeAutospacing="0" w:after="0" w:afterAutospacing="0" w:line="460" w:lineRule="exact"/>
              <w:ind w:left="0" w:leftChars="0" w:right="0" w:rightChars="0"/>
              <w:rPr>
                <w:rFonts w:hint="eastAsia" w:ascii="仿宋" w:hAnsi="仿宋" w:eastAsia="仿宋" w:cs="仿宋"/>
                <w:kern w:val="28"/>
                <w:sz w:val="24"/>
                <w:szCs w:val="24"/>
                <w:lang w:val="en-US" w:eastAsia="zh-CN"/>
              </w:rPr>
            </w:pPr>
          </w:p>
        </w:tc>
        <w:tc>
          <w:tcPr>
            <w:tcW w:w="2264" w:type="dxa"/>
            <w:tcBorders>
              <w:top w:val="single" w:color="auto" w:sz="4" w:space="0"/>
              <w:left w:val="single" w:color="auto" w:sz="4" w:space="0"/>
              <w:right w:val="single" w:color="auto" w:sz="4" w:space="0"/>
            </w:tcBorders>
            <w:noWrap w:val="0"/>
            <w:vAlign w:val="center"/>
          </w:tcPr>
          <w:p w14:paraId="3F5FC3D0">
            <w:pPr>
              <w:pStyle w:val="42"/>
              <w:keepNext w:val="0"/>
              <w:keepLines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sz w:val="24"/>
                <w:szCs w:val="24"/>
              </w:rPr>
            </w:pPr>
            <w:r>
              <w:rPr>
                <w:rFonts w:hint="eastAsia" w:ascii="仿宋" w:hAnsi="仿宋" w:eastAsia="仿宋" w:cs="仿宋"/>
                <w:color w:val="auto"/>
                <w:sz w:val="22"/>
                <w:szCs w:val="22"/>
                <w:highlight w:val="none"/>
              </w:rPr>
              <w:t>自提交响应文件的截止之日起90个公历日</w:t>
            </w:r>
          </w:p>
        </w:tc>
        <w:tc>
          <w:tcPr>
            <w:tcW w:w="1912" w:type="dxa"/>
            <w:tcBorders>
              <w:top w:val="single" w:color="auto" w:sz="4" w:space="0"/>
              <w:left w:val="single" w:color="auto" w:sz="4" w:space="0"/>
              <w:right w:val="single" w:color="auto" w:sz="4" w:space="0"/>
            </w:tcBorders>
            <w:noWrap w:val="0"/>
            <w:vAlign w:val="center"/>
          </w:tcPr>
          <w:p w14:paraId="638CD1A3">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bl>
    <w:p w14:paraId="453AB971">
      <w:pPr>
        <w:rPr>
          <w:rFonts w:hint="eastAsia" w:ascii="仿宋" w:hAnsi="仿宋" w:eastAsia="仿宋" w:cs="仿宋"/>
          <w:sz w:val="21"/>
          <w:szCs w:val="21"/>
        </w:rPr>
      </w:pPr>
    </w:p>
    <w:p w14:paraId="51E17980">
      <w:pPr>
        <w:pStyle w:val="2"/>
        <w:rPr>
          <w:rFonts w:hint="eastAsia" w:ascii="仿宋" w:hAnsi="仿宋" w:eastAsia="仿宋" w:cs="仿宋"/>
          <w:sz w:val="21"/>
          <w:szCs w:val="21"/>
        </w:rPr>
      </w:pPr>
    </w:p>
    <w:p w14:paraId="62FAA6FE">
      <w:pPr>
        <w:rPr>
          <w:rFonts w:hint="eastAsia"/>
        </w:rPr>
      </w:pPr>
    </w:p>
    <w:p w14:paraId="4F9FE39A">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w:t>
      </w:r>
    </w:p>
    <w:p w14:paraId="07DA0608">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1、响应人须按要求填写所有信息，不得随意更改本表格式。</w:t>
      </w:r>
    </w:p>
    <w:p w14:paraId="71CE1B47">
      <w:pPr>
        <w:pStyle w:val="26"/>
        <w:numPr>
          <w:ilvl w:val="0"/>
          <w:numId w:val="0"/>
        </w:numPr>
        <w:spacing w:line="240" w:lineRule="auto"/>
        <w:ind w:firstLine="422" w:firstLineChars="200"/>
        <w:rPr>
          <w:rFonts w:hint="eastAsia" w:ascii="仿宋" w:hAnsi="仿宋" w:eastAsia="仿宋" w:cs="仿宋"/>
          <w:b/>
          <w:bCs/>
          <w:i w:val="0"/>
          <w:iCs w:val="0"/>
          <w:color w:val="FF0000"/>
          <w:sz w:val="21"/>
          <w:szCs w:val="21"/>
          <w:highlight w:val="yellow"/>
          <w:lang w:val="en-US" w:eastAsia="zh-CN"/>
        </w:rPr>
      </w:pPr>
      <w:r>
        <w:rPr>
          <w:rFonts w:hint="eastAsia" w:ascii="仿宋" w:hAnsi="仿宋" w:eastAsia="仿宋" w:cs="仿宋"/>
          <w:b/>
          <w:bCs/>
          <w:i w:val="0"/>
          <w:iCs w:val="0"/>
          <w:color w:val="FF0000"/>
          <w:sz w:val="21"/>
          <w:szCs w:val="21"/>
          <w:highlight w:val="yellow"/>
          <w:lang w:val="en-US" w:eastAsia="zh-CN"/>
        </w:rPr>
        <w:t>2、此表无需密封在响应文件中，可准备盖好公章的空白表格，在谈判评审当天提交。</w:t>
      </w:r>
    </w:p>
    <w:p w14:paraId="69E3B1EB">
      <w:pPr>
        <w:pStyle w:val="26"/>
        <w:rPr>
          <w:rFonts w:hint="eastAsia" w:ascii="仿宋" w:hAnsi="仿宋" w:eastAsia="仿宋" w:cs="仿宋"/>
          <w:color w:val="000000" w:themeColor="text1"/>
          <w:highlight w:val="none"/>
          <w14:textFill>
            <w14:solidFill>
              <w14:schemeClr w14:val="tx1"/>
            </w14:solidFill>
          </w14:textFill>
        </w:rPr>
      </w:pPr>
    </w:p>
    <w:p w14:paraId="7C793608">
      <w:pPr>
        <w:pStyle w:val="26"/>
        <w:rPr>
          <w:rFonts w:hint="eastAsia" w:ascii="仿宋" w:hAnsi="仿宋" w:eastAsia="仿宋" w:cs="仿宋"/>
          <w:color w:val="000000" w:themeColor="text1"/>
          <w:highlight w:val="none"/>
          <w14:textFill>
            <w14:solidFill>
              <w14:schemeClr w14:val="tx1"/>
            </w14:solidFill>
          </w14:textFill>
        </w:rPr>
      </w:pPr>
    </w:p>
    <w:p w14:paraId="07C03B41">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人名称（盖公章）：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33B656E3">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人法定代表人或</w:t>
      </w:r>
      <w:r>
        <w:rPr>
          <w:rFonts w:hint="eastAsia" w:ascii="仿宋" w:hAnsi="仿宋" w:eastAsia="仿宋" w:cs="仿宋"/>
          <w:color w:val="000000" w:themeColor="text1"/>
          <w:sz w:val="24"/>
          <w:highlight w:val="none"/>
          <w:lang w:val="en-US" w:eastAsia="zh-CN"/>
          <w14:textFill>
            <w14:solidFill>
              <w14:schemeClr w14:val="tx1"/>
            </w14:solidFill>
          </w14:textFill>
        </w:rPr>
        <w:t>法定</w:t>
      </w:r>
      <w:r>
        <w:rPr>
          <w:rFonts w:hint="eastAsia" w:ascii="仿宋" w:hAnsi="仿宋" w:eastAsia="仿宋" w:cs="仿宋"/>
          <w:color w:val="000000" w:themeColor="text1"/>
          <w:sz w:val="24"/>
          <w:highlight w:val="none"/>
          <w14:textFill>
            <w14:solidFill>
              <w14:schemeClr w14:val="tx1"/>
            </w14:solidFill>
          </w14:textFill>
        </w:rPr>
        <w:t>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28C56F0E">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5FA9BC63">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4DB2E3E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9"/>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2606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54" w:hRule="atLeast"/>
          <w:jc w:val="center"/>
        </w:trPr>
        <w:tc>
          <w:tcPr>
            <w:tcW w:w="589" w:type="dxa"/>
            <w:vAlign w:val="center"/>
          </w:tcPr>
          <w:p w14:paraId="6BAEAB5D">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3822CDFA">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谈判文件</w:t>
            </w:r>
            <w:r>
              <w:rPr>
                <w:rFonts w:hint="eastAsia" w:ascii="仿宋" w:hAnsi="仿宋" w:eastAsia="仿宋" w:cs="仿宋"/>
                <w:bCs/>
                <w:szCs w:val="21"/>
                <w:highlight w:val="none"/>
              </w:rPr>
              <w:t>要求</w:t>
            </w:r>
          </w:p>
        </w:tc>
        <w:tc>
          <w:tcPr>
            <w:tcW w:w="1515" w:type="dxa"/>
            <w:vAlign w:val="center"/>
          </w:tcPr>
          <w:p w14:paraId="4507A1CF">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6B38CDFD">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4EE74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7F139CE">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5325764B">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7D7C6A8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（1）具有良好的商业信誉和健全的财务会计制度；</w:t>
            </w:r>
          </w:p>
          <w:p w14:paraId="29934AF3">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（2）有依法缴纳税收和社会保障资金的良好记录；</w:t>
            </w:r>
          </w:p>
          <w:p w14:paraId="07BF445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（3）具备履行合同所必需的设备和专业技术能力；</w:t>
            </w:r>
          </w:p>
          <w:p w14:paraId="4E930193">
            <w:pPr>
              <w:keepNext w:val="0"/>
              <w:keepLines w:val="0"/>
              <w:suppressLineNumbers w:val="0"/>
              <w:spacing w:before="0" w:beforeAutospacing="0" w:after="0" w:afterAutospacing="0"/>
              <w:ind w:left="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（4）参加本次采购活动前三年内，在经营活动中没有重大违法记录。（出具有效的声明函加盖公章，格式详见“1、资格声明函”）</w:t>
            </w:r>
          </w:p>
        </w:tc>
        <w:tc>
          <w:tcPr>
            <w:tcW w:w="1515" w:type="dxa"/>
            <w:vAlign w:val="center"/>
          </w:tcPr>
          <w:p w14:paraId="3687AE4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3A7A35A">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91D3F80">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9AD81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1587976">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31CB8F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7D0DB9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AD7F73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8E72205">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F4ADA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3E2FAE5">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B0531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184D348">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28713B7">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375B7367">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B1E05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B2F7A8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94EC7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本项目不接受联合体响应，成交供应商不得以任何方式转包或分包本项目。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0B5ED9F8">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76B1321">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38BAD85">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21F6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744" w:hRule="atLeast"/>
          <w:jc w:val="center"/>
        </w:trPr>
        <w:tc>
          <w:tcPr>
            <w:tcW w:w="589" w:type="dxa"/>
            <w:vMerge w:val="continue"/>
            <w:vAlign w:val="center"/>
          </w:tcPr>
          <w:p w14:paraId="34B47CE9">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3EF089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谈判会议现场查询结果为准）</w:t>
            </w:r>
          </w:p>
        </w:tc>
        <w:tc>
          <w:tcPr>
            <w:tcW w:w="1515" w:type="dxa"/>
            <w:vAlign w:val="center"/>
          </w:tcPr>
          <w:p w14:paraId="7C8DAD9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3EACC5A">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0FCE14D5">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0ADB38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22" w:hRule="atLeast"/>
          <w:jc w:val="center"/>
        </w:trPr>
        <w:tc>
          <w:tcPr>
            <w:tcW w:w="589" w:type="dxa"/>
            <w:vMerge w:val="continue"/>
            <w:vAlign w:val="center"/>
          </w:tcPr>
          <w:p w14:paraId="2679BADC">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3CFA8C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8"/>
                <w:sz w:val="20"/>
                <w:szCs w:val="20"/>
                <w:highlight w:val="none"/>
                <w:lang w:val="en-US" w:eastAsia="zh-CN"/>
              </w:rPr>
            </w:pPr>
            <w:r>
              <w:rPr>
                <w:rFonts w:hint="eastAsia" w:ascii="仿宋" w:hAnsi="仿宋" w:eastAsia="仿宋" w:cs="仿宋"/>
                <w:sz w:val="21"/>
                <w:szCs w:val="21"/>
                <w:highlight w:val="none"/>
                <w:lang w:val="en-US" w:eastAsia="zh-CN"/>
              </w:rPr>
              <w:t>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630B51B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08A134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3A16B3E">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14E05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94" w:hRule="atLeast"/>
          <w:jc w:val="center"/>
        </w:trPr>
        <w:tc>
          <w:tcPr>
            <w:tcW w:w="589" w:type="dxa"/>
            <w:vMerge w:val="continue"/>
            <w:vAlign w:val="center"/>
          </w:tcPr>
          <w:p w14:paraId="26A108DC">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418102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须持有有效的《经营保险业务许可证》或《保险许可证》或《保险公司法人许可证》。同一法人单位只能授权一家分支机构参加本项目响应（总公司与分支机构同时参与响应的，或总公司授权一家以上分支机构同时参与响应的，将同时作无效响应处理）。（提供有效证件复印件加盖供应商公章，原件备查）</w:t>
            </w:r>
          </w:p>
        </w:tc>
        <w:tc>
          <w:tcPr>
            <w:tcW w:w="1515" w:type="dxa"/>
            <w:vAlign w:val="center"/>
          </w:tcPr>
          <w:p w14:paraId="118AA29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6E0FA8B">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AA3D0DF">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72E2A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34" w:hRule="atLeast"/>
          <w:jc w:val="center"/>
        </w:trPr>
        <w:tc>
          <w:tcPr>
            <w:tcW w:w="589" w:type="dxa"/>
            <w:vMerge w:val="continue"/>
            <w:vAlign w:val="center"/>
          </w:tcPr>
          <w:p w14:paraId="5F50E00D">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77DDDD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2507508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3B48B4A">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3ADB4D8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w:t>
            </w:r>
          </w:p>
        </w:tc>
      </w:tr>
    </w:tbl>
    <w:p w14:paraId="433BC569">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0FFC087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79511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64180A2B">
      <w:pPr>
        <w:pStyle w:val="26"/>
        <w:rPr>
          <w:rFonts w:hint="eastAsia" w:ascii="仿宋" w:hAnsi="仿宋" w:eastAsia="仿宋" w:cs="仿宋"/>
          <w:color w:val="000000"/>
          <w:szCs w:val="21"/>
          <w:highlight w:val="none"/>
          <w:lang w:eastAsia="zh-CN"/>
        </w:rPr>
      </w:pPr>
      <w:r>
        <w:rPr>
          <w:rFonts w:hint="eastAsia" w:ascii="仿宋" w:hAnsi="仿宋" w:eastAsia="仿宋" w:cs="仿宋"/>
          <w:color w:val="auto"/>
          <w:kern w:val="0"/>
          <w:sz w:val="21"/>
          <w:szCs w:val="22"/>
          <w:highlight w:val="none"/>
          <w:lang w:val="en-US" w:eastAsia="zh-CN"/>
        </w:rPr>
        <w:t>3、本自查表不得擅自删改。</w:t>
      </w:r>
    </w:p>
    <w:p w14:paraId="2BE2DB41">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5B973818">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ADA9550">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7146223">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A832510">
      <w:pPr>
        <w:pStyle w:val="26"/>
        <w:rPr>
          <w:rFonts w:ascii="仿宋_GB2312" w:hAnsi="华文仿宋" w:eastAsia="仿宋_GB2312" w:cs="华文仿宋"/>
          <w:bCs/>
          <w:color w:val="000000"/>
          <w:szCs w:val="21"/>
          <w:highlight w:val="none"/>
        </w:rPr>
      </w:pPr>
    </w:p>
    <w:p w14:paraId="184D9CBE">
      <w:pPr>
        <w:pStyle w:val="26"/>
        <w:rPr>
          <w:rFonts w:hint="eastAsia" w:ascii="宋体" w:hAnsi="宋体" w:cs="宋体"/>
          <w:color w:val="000000"/>
          <w:szCs w:val="21"/>
          <w:highlight w:val="none"/>
          <w:lang w:eastAsia="zh-CN"/>
        </w:rPr>
      </w:pPr>
    </w:p>
    <w:p w14:paraId="2864DD9C">
      <w:pPr>
        <w:pStyle w:val="26"/>
        <w:rPr>
          <w:rFonts w:ascii="仿宋_GB2312" w:hAnsi="华文仿宋" w:eastAsia="仿宋_GB2312" w:cs="华文仿宋"/>
          <w:bCs/>
          <w:color w:val="000000"/>
          <w:szCs w:val="21"/>
          <w:highlight w:val="none"/>
        </w:rPr>
      </w:pPr>
    </w:p>
    <w:p w14:paraId="596346E3">
      <w:pPr>
        <w:pStyle w:val="26"/>
        <w:rPr>
          <w:rFonts w:hint="eastAsia" w:ascii="宋体" w:hAnsi="宋体" w:cs="宋体"/>
          <w:color w:val="000000"/>
          <w:szCs w:val="21"/>
          <w:highlight w:val="none"/>
          <w:lang w:eastAsia="zh-CN"/>
        </w:rPr>
      </w:pPr>
    </w:p>
    <w:p w14:paraId="69DDADDC">
      <w:pPr>
        <w:pStyle w:val="26"/>
        <w:rPr>
          <w:rFonts w:hint="eastAsia" w:ascii="宋体" w:hAnsi="宋体" w:cs="宋体"/>
          <w:color w:val="000000"/>
          <w:szCs w:val="21"/>
          <w:highlight w:val="none"/>
          <w:lang w:eastAsia="zh-CN"/>
        </w:rPr>
      </w:pPr>
    </w:p>
    <w:p w14:paraId="2C1D3319">
      <w:pPr>
        <w:pStyle w:val="26"/>
        <w:rPr>
          <w:rFonts w:hint="eastAsia" w:ascii="宋体" w:hAnsi="宋体" w:cs="宋体"/>
          <w:color w:val="000000"/>
          <w:szCs w:val="21"/>
          <w:highlight w:val="none"/>
          <w:lang w:eastAsia="zh-CN"/>
        </w:rPr>
      </w:pPr>
    </w:p>
    <w:p w14:paraId="7827AABB">
      <w:pPr>
        <w:pStyle w:val="26"/>
        <w:rPr>
          <w:rFonts w:hint="eastAsia" w:ascii="宋体" w:hAnsi="宋体" w:cs="宋体"/>
          <w:color w:val="000000"/>
          <w:szCs w:val="21"/>
          <w:highlight w:val="none"/>
          <w:lang w:eastAsia="zh-CN"/>
        </w:rPr>
      </w:pPr>
    </w:p>
    <w:p w14:paraId="255D3309">
      <w:pPr>
        <w:pStyle w:val="26"/>
        <w:rPr>
          <w:rFonts w:hint="eastAsia" w:ascii="宋体" w:hAnsi="宋体" w:cs="宋体"/>
          <w:color w:val="000000"/>
          <w:szCs w:val="21"/>
          <w:highlight w:val="none"/>
          <w:lang w:eastAsia="zh-CN"/>
        </w:rPr>
      </w:pPr>
    </w:p>
    <w:p w14:paraId="46A5455A">
      <w:pPr>
        <w:pStyle w:val="26"/>
        <w:rPr>
          <w:rFonts w:hint="eastAsia" w:ascii="宋体" w:hAnsi="宋体" w:cs="宋体"/>
          <w:color w:val="000000"/>
          <w:szCs w:val="21"/>
          <w:highlight w:val="none"/>
          <w:lang w:eastAsia="zh-CN"/>
        </w:rPr>
      </w:pPr>
    </w:p>
    <w:p w14:paraId="2F1A0C02">
      <w:pPr>
        <w:pStyle w:val="26"/>
        <w:rPr>
          <w:rFonts w:hint="eastAsia" w:ascii="宋体" w:hAnsi="宋体" w:cs="宋体"/>
          <w:color w:val="000000"/>
          <w:szCs w:val="21"/>
          <w:highlight w:val="none"/>
          <w:lang w:eastAsia="zh-CN"/>
        </w:rPr>
      </w:pPr>
    </w:p>
    <w:p w14:paraId="1367180E">
      <w:pPr>
        <w:pStyle w:val="26"/>
        <w:rPr>
          <w:rFonts w:hint="eastAsia" w:ascii="宋体" w:hAnsi="宋体" w:cs="宋体"/>
          <w:color w:val="000000"/>
          <w:szCs w:val="21"/>
          <w:highlight w:val="none"/>
          <w:lang w:eastAsia="zh-CN"/>
        </w:rPr>
      </w:pPr>
    </w:p>
    <w:p w14:paraId="7BB66914">
      <w:pPr>
        <w:pStyle w:val="26"/>
        <w:rPr>
          <w:rFonts w:ascii="仿宋_GB2312" w:hAnsi="华文仿宋" w:eastAsia="仿宋_GB2312" w:cs="华文仿宋"/>
          <w:bCs/>
          <w:color w:val="000000"/>
          <w:szCs w:val="21"/>
          <w:highlight w:val="none"/>
        </w:rPr>
      </w:pPr>
    </w:p>
    <w:p w14:paraId="4696A160">
      <w:pPr>
        <w:pStyle w:val="26"/>
        <w:rPr>
          <w:rFonts w:hint="eastAsia" w:ascii="宋体" w:hAnsi="宋体" w:cs="宋体"/>
          <w:color w:val="000000"/>
          <w:szCs w:val="21"/>
          <w:highlight w:val="none"/>
          <w:lang w:eastAsia="zh-CN"/>
        </w:rPr>
      </w:pPr>
    </w:p>
    <w:p w14:paraId="20D99EBD">
      <w:pPr>
        <w:pStyle w:val="26"/>
        <w:rPr>
          <w:rFonts w:hint="eastAsia" w:ascii="宋体" w:hAnsi="宋体" w:cs="宋体"/>
          <w:color w:val="000000"/>
          <w:szCs w:val="21"/>
          <w:highlight w:val="none"/>
          <w:lang w:eastAsia="zh-CN"/>
        </w:rPr>
      </w:pPr>
    </w:p>
    <w:p w14:paraId="68DD4C11">
      <w:pPr>
        <w:pStyle w:val="26"/>
        <w:rPr>
          <w:rFonts w:hint="eastAsia" w:ascii="宋体" w:hAnsi="宋体" w:cs="宋体"/>
          <w:color w:val="000000"/>
          <w:szCs w:val="21"/>
          <w:highlight w:val="none"/>
          <w:lang w:eastAsia="zh-CN"/>
        </w:rPr>
      </w:pPr>
    </w:p>
    <w:p w14:paraId="0CC9DCDD">
      <w:pPr>
        <w:pStyle w:val="26"/>
        <w:rPr>
          <w:rFonts w:hint="eastAsia" w:ascii="宋体" w:hAnsi="宋体" w:cs="宋体"/>
          <w:color w:val="000000"/>
          <w:szCs w:val="21"/>
          <w:highlight w:val="none"/>
          <w:lang w:eastAsia="zh-CN"/>
        </w:rPr>
      </w:pPr>
    </w:p>
    <w:p w14:paraId="340DD184">
      <w:pPr>
        <w:pStyle w:val="26"/>
        <w:rPr>
          <w:rFonts w:hint="eastAsia" w:ascii="宋体" w:hAnsi="宋体" w:cs="宋体"/>
          <w:color w:val="000000"/>
          <w:szCs w:val="21"/>
          <w:highlight w:val="none"/>
          <w:lang w:eastAsia="zh-CN"/>
        </w:rPr>
      </w:pPr>
    </w:p>
    <w:p w14:paraId="00501770">
      <w:pPr>
        <w:pStyle w:val="26"/>
        <w:rPr>
          <w:rFonts w:hint="eastAsia" w:ascii="宋体" w:hAnsi="宋体" w:cs="宋体"/>
          <w:color w:val="000000"/>
          <w:szCs w:val="21"/>
          <w:highlight w:val="none"/>
          <w:lang w:eastAsia="zh-CN"/>
        </w:rPr>
      </w:pPr>
    </w:p>
    <w:p w14:paraId="6261067A">
      <w:pPr>
        <w:pStyle w:val="26"/>
        <w:rPr>
          <w:rFonts w:hint="eastAsia" w:ascii="宋体" w:hAnsi="宋体" w:cs="宋体"/>
          <w:color w:val="000000"/>
          <w:szCs w:val="21"/>
          <w:highlight w:val="none"/>
          <w:lang w:eastAsia="zh-CN"/>
        </w:rPr>
      </w:pPr>
    </w:p>
    <w:p w14:paraId="53EC56F2">
      <w:pPr>
        <w:pStyle w:val="26"/>
        <w:rPr>
          <w:rFonts w:hint="eastAsia" w:ascii="宋体" w:hAnsi="宋体" w:cs="宋体"/>
          <w:color w:val="000000"/>
          <w:szCs w:val="21"/>
          <w:highlight w:val="none"/>
          <w:lang w:eastAsia="zh-CN"/>
        </w:rPr>
      </w:pPr>
    </w:p>
    <w:p w14:paraId="35EC8B5F">
      <w:pPr>
        <w:pStyle w:val="26"/>
        <w:rPr>
          <w:rFonts w:hint="eastAsia" w:ascii="宋体" w:hAnsi="宋体" w:cs="宋体"/>
          <w:color w:val="000000"/>
          <w:szCs w:val="21"/>
          <w:highlight w:val="none"/>
          <w:lang w:eastAsia="zh-CN"/>
        </w:rPr>
      </w:pPr>
    </w:p>
    <w:p w14:paraId="66D8E6BE">
      <w:pPr>
        <w:pStyle w:val="26"/>
        <w:rPr>
          <w:rFonts w:hint="eastAsia" w:ascii="宋体" w:hAnsi="宋体" w:cs="宋体"/>
          <w:color w:val="000000"/>
          <w:szCs w:val="21"/>
          <w:highlight w:val="none"/>
          <w:lang w:eastAsia="zh-CN"/>
        </w:rPr>
      </w:pPr>
    </w:p>
    <w:p w14:paraId="2BAD3C2C">
      <w:pPr>
        <w:pStyle w:val="26"/>
        <w:rPr>
          <w:rFonts w:hint="eastAsia" w:ascii="宋体" w:hAnsi="宋体" w:cs="宋体"/>
          <w:color w:val="000000"/>
          <w:szCs w:val="21"/>
          <w:highlight w:val="none"/>
          <w:lang w:eastAsia="zh-CN"/>
        </w:rPr>
      </w:pPr>
    </w:p>
    <w:p w14:paraId="7053586F">
      <w:pPr>
        <w:pStyle w:val="26"/>
        <w:rPr>
          <w:rFonts w:hint="eastAsia" w:ascii="宋体" w:hAnsi="宋体" w:cs="宋体"/>
          <w:color w:val="000000"/>
          <w:szCs w:val="21"/>
          <w:highlight w:val="none"/>
          <w:lang w:eastAsia="zh-CN"/>
        </w:rPr>
      </w:pPr>
    </w:p>
    <w:p w14:paraId="740DD86B">
      <w:pPr>
        <w:pStyle w:val="26"/>
        <w:rPr>
          <w:rFonts w:hint="eastAsia" w:ascii="宋体" w:hAnsi="宋体" w:cs="宋体"/>
          <w:color w:val="000000"/>
          <w:szCs w:val="21"/>
          <w:highlight w:val="none"/>
          <w:lang w:eastAsia="zh-CN"/>
        </w:rPr>
      </w:pPr>
    </w:p>
    <w:p w14:paraId="659A086F">
      <w:pPr>
        <w:pStyle w:val="26"/>
        <w:rPr>
          <w:rFonts w:hint="eastAsia" w:ascii="宋体" w:hAnsi="宋体" w:cs="宋体"/>
          <w:color w:val="000000"/>
          <w:szCs w:val="21"/>
          <w:highlight w:val="none"/>
          <w:lang w:eastAsia="zh-CN"/>
        </w:rPr>
      </w:pPr>
    </w:p>
    <w:p w14:paraId="18AA3A6C">
      <w:pPr>
        <w:pStyle w:val="26"/>
        <w:rPr>
          <w:rFonts w:hint="eastAsia" w:ascii="宋体" w:hAnsi="宋体" w:cs="宋体"/>
          <w:color w:val="000000"/>
          <w:szCs w:val="21"/>
          <w:highlight w:val="none"/>
          <w:lang w:eastAsia="zh-CN"/>
        </w:rPr>
      </w:pPr>
    </w:p>
    <w:p w14:paraId="64BCD787">
      <w:pPr>
        <w:pStyle w:val="26"/>
        <w:rPr>
          <w:rFonts w:hint="eastAsia" w:ascii="宋体" w:hAnsi="宋体" w:cs="宋体"/>
          <w:color w:val="000000"/>
          <w:szCs w:val="21"/>
          <w:highlight w:val="none"/>
          <w:lang w:eastAsia="zh-CN"/>
        </w:rPr>
      </w:pPr>
    </w:p>
    <w:p w14:paraId="576EBDBC">
      <w:pPr>
        <w:pStyle w:val="26"/>
        <w:rPr>
          <w:rFonts w:hint="eastAsia" w:ascii="宋体" w:hAnsi="宋体" w:cs="宋体"/>
          <w:color w:val="000000"/>
          <w:szCs w:val="21"/>
          <w:highlight w:val="none"/>
          <w:lang w:eastAsia="zh-CN"/>
        </w:rPr>
      </w:pPr>
    </w:p>
    <w:p w14:paraId="02805C15">
      <w:pPr>
        <w:pStyle w:val="26"/>
        <w:rPr>
          <w:rFonts w:hint="eastAsia" w:ascii="宋体" w:hAnsi="宋体" w:cs="宋体"/>
          <w:color w:val="000000"/>
          <w:szCs w:val="21"/>
          <w:highlight w:val="none"/>
          <w:lang w:eastAsia="zh-CN"/>
        </w:rPr>
      </w:pPr>
    </w:p>
    <w:p w14:paraId="6C3FDEC3">
      <w:pPr>
        <w:pStyle w:val="26"/>
        <w:rPr>
          <w:rFonts w:hint="eastAsia" w:ascii="宋体" w:hAnsi="宋体" w:cs="宋体"/>
          <w:color w:val="000000"/>
          <w:szCs w:val="21"/>
          <w:highlight w:val="none"/>
          <w:lang w:eastAsia="zh-CN"/>
        </w:rPr>
      </w:pPr>
    </w:p>
    <w:p w14:paraId="68317DF7">
      <w:pPr>
        <w:pStyle w:val="26"/>
        <w:rPr>
          <w:rFonts w:hint="eastAsia" w:ascii="宋体" w:hAnsi="宋体" w:cs="宋体"/>
          <w:color w:val="000000"/>
          <w:szCs w:val="21"/>
          <w:highlight w:val="none"/>
          <w:lang w:eastAsia="zh-CN"/>
        </w:rPr>
      </w:pPr>
    </w:p>
    <w:p w14:paraId="0FE0B863">
      <w:pPr>
        <w:pStyle w:val="26"/>
        <w:rPr>
          <w:rFonts w:hint="eastAsia" w:ascii="宋体" w:hAnsi="宋体" w:cs="宋体"/>
          <w:color w:val="000000"/>
          <w:szCs w:val="21"/>
          <w:highlight w:val="none"/>
          <w:lang w:eastAsia="zh-CN"/>
        </w:rPr>
      </w:pPr>
    </w:p>
    <w:p w14:paraId="066CAF0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7FB821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2E70764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2A5C737C">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14D999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5E8A99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10897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lang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DC5BD20">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本项目谈判文件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2AC44F4B">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6E16CBD0">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58D7BFF6">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3371985F">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7BBD8683">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EFC2D67">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2823EA2B">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48F744A">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4065870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34432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7219BE02">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B8B33AA">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27AAC9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FEB70B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76F1CBC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2C258742">
      <w:pPr>
        <w:pStyle w:val="26"/>
        <w:rPr>
          <w:rFonts w:hint="eastAsia" w:ascii="宋体" w:hAnsi="宋体" w:cs="宋体"/>
          <w:color w:val="auto"/>
          <w:szCs w:val="21"/>
          <w:highlight w:val="none"/>
          <w:lang w:eastAsia="zh-CN"/>
        </w:rPr>
      </w:pPr>
    </w:p>
    <w:p w14:paraId="7735C370">
      <w:pPr>
        <w:pStyle w:val="26"/>
        <w:rPr>
          <w:rFonts w:hint="eastAsia" w:ascii="宋体" w:hAnsi="宋体" w:cs="宋体"/>
          <w:color w:val="auto"/>
          <w:szCs w:val="21"/>
          <w:highlight w:val="none"/>
          <w:lang w:eastAsia="zh-CN"/>
        </w:rPr>
      </w:pPr>
    </w:p>
    <w:p w14:paraId="5393909D">
      <w:pPr>
        <w:pStyle w:val="26"/>
        <w:rPr>
          <w:rFonts w:hint="eastAsia" w:ascii="宋体" w:hAnsi="宋体" w:cs="宋体"/>
          <w:color w:val="auto"/>
          <w:szCs w:val="21"/>
          <w:highlight w:val="none"/>
          <w:lang w:eastAsia="zh-CN"/>
        </w:rPr>
      </w:pPr>
    </w:p>
    <w:p w14:paraId="61D8AE5B">
      <w:pPr>
        <w:pStyle w:val="26"/>
        <w:rPr>
          <w:rFonts w:hint="eastAsia" w:ascii="宋体" w:hAnsi="宋体" w:cs="宋体"/>
          <w:color w:val="auto"/>
          <w:szCs w:val="21"/>
          <w:highlight w:val="none"/>
          <w:lang w:eastAsia="zh-CN"/>
        </w:rPr>
      </w:pPr>
    </w:p>
    <w:p w14:paraId="6BFB9AEC">
      <w:pPr>
        <w:pStyle w:val="26"/>
        <w:rPr>
          <w:rFonts w:hint="eastAsia" w:ascii="宋体" w:hAnsi="宋体" w:cs="宋体"/>
          <w:color w:val="auto"/>
          <w:szCs w:val="21"/>
          <w:highlight w:val="none"/>
          <w:lang w:eastAsia="zh-CN"/>
        </w:rPr>
      </w:pPr>
    </w:p>
    <w:p w14:paraId="77241BEC">
      <w:pPr>
        <w:pStyle w:val="26"/>
        <w:rPr>
          <w:rFonts w:hint="eastAsia" w:ascii="宋体" w:hAnsi="宋体" w:cs="宋体"/>
          <w:color w:val="auto"/>
          <w:szCs w:val="21"/>
          <w:highlight w:val="none"/>
          <w:lang w:eastAsia="zh-CN"/>
        </w:rPr>
      </w:pPr>
    </w:p>
    <w:p w14:paraId="7C1D12D0">
      <w:pPr>
        <w:pStyle w:val="26"/>
        <w:rPr>
          <w:rFonts w:hint="eastAsia" w:ascii="宋体" w:hAnsi="宋体" w:cs="宋体"/>
          <w:color w:val="auto"/>
          <w:szCs w:val="21"/>
          <w:highlight w:val="none"/>
          <w:lang w:eastAsia="zh-CN"/>
        </w:rPr>
      </w:pPr>
    </w:p>
    <w:p w14:paraId="02AD0270">
      <w:pPr>
        <w:pStyle w:val="26"/>
        <w:rPr>
          <w:rFonts w:hint="eastAsia" w:ascii="宋体" w:hAnsi="宋体" w:cs="宋体"/>
          <w:color w:val="auto"/>
          <w:szCs w:val="21"/>
          <w:highlight w:val="none"/>
          <w:lang w:eastAsia="zh-CN"/>
        </w:rPr>
      </w:pPr>
    </w:p>
    <w:p w14:paraId="641CE190">
      <w:pPr>
        <w:pStyle w:val="26"/>
        <w:rPr>
          <w:rFonts w:hint="eastAsia" w:ascii="宋体" w:hAnsi="宋体" w:cs="宋体"/>
          <w:color w:val="auto"/>
          <w:szCs w:val="21"/>
          <w:highlight w:val="none"/>
          <w:lang w:eastAsia="zh-CN"/>
        </w:rPr>
      </w:pPr>
    </w:p>
    <w:p w14:paraId="793EE279">
      <w:pPr>
        <w:pStyle w:val="26"/>
        <w:rPr>
          <w:rFonts w:hint="eastAsia" w:ascii="宋体" w:hAnsi="宋体" w:cs="宋体"/>
          <w:color w:val="auto"/>
          <w:szCs w:val="21"/>
          <w:highlight w:val="none"/>
          <w:lang w:eastAsia="zh-CN"/>
        </w:rPr>
      </w:pPr>
    </w:p>
    <w:p w14:paraId="2CB0205F">
      <w:pPr>
        <w:pStyle w:val="26"/>
        <w:rPr>
          <w:rFonts w:hint="eastAsia" w:ascii="宋体" w:hAnsi="宋体" w:cs="宋体"/>
          <w:color w:val="auto"/>
          <w:szCs w:val="21"/>
          <w:highlight w:val="none"/>
          <w:lang w:eastAsia="zh-CN"/>
        </w:rPr>
      </w:pPr>
    </w:p>
    <w:p w14:paraId="37075E0B">
      <w:pPr>
        <w:pStyle w:val="26"/>
        <w:rPr>
          <w:rFonts w:hint="eastAsia" w:ascii="宋体" w:hAnsi="宋体" w:cs="宋体"/>
          <w:color w:val="auto"/>
          <w:szCs w:val="21"/>
          <w:highlight w:val="none"/>
          <w:lang w:eastAsia="zh-CN"/>
        </w:rPr>
      </w:pPr>
    </w:p>
    <w:p w14:paraId="0F2522EE">
      <w:pPr>
        <w:pStyle w:val="26"/>
        <w:rPr>
          <w:rFonts w:hint="eastAsia" w:ascii="宋体" w:hAnsi="宋体" w:cs="宋体"/>
          <w:color w:val="auto"/>
          <w:szCs w:val="21"/>
          <w:highlight w:val="none"/>
          <w:lang w:eastAsia="zh-CN"/>
        </w:rPr>
      </w:pPr>
    </w:p>
    <w:p w14:paraId="3D2C49EF">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3、《经营保险业务许可证》或《保险许可证》或《保险公司法人许可证》</w:t>
      </w:r>
    </w:p>
    <w:p w14:paraId="71529940">
      <w:pPr>
        <w:pStyle w:val="24"/>
        <w:jc w:val="center"/>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rPr>
        <w:t>同一法人单位只能授权一家分支机构参加本项目响应（总公司与分支机构同时参与响应的，或总公司授权一家以上分支机构同时参与响应的，将同时作无效响应处理.（提供有效证件复印件加盖供应商公章）</w:t>
      </w:r>
    </w:p>
    <w:p w14:paraId="788E022C">
      <w:pPr>
        <w:pStyle w:val="24"/>
        <w:jc w:val="center"/>
        <w:rPr>
          <w:rFonts w:hint="eastAsia" w:ascii="仿宋" w:hAnsi="仿宋" w:eastAsia="仿宋" w:cs="仿宋"/>
          <w:color w:val="000000" w:themeColor="text1"/>
          <w:highlight w:val="none"/>
          <w14:textFill>
            <w14:solidFill>
              <w14:schemeClr w14:val="tx1"/>
            </w14:solidFill>
          </w14:textFill>
        </w:rPr>
      </w:pPr>
    </w:p>
    <w:p w14:paraId="2C0BE6A1">
      <w:pPr>
        <w:pStyle w:val="24"/>
        <w:rPr>
          <w:rFonts w:hint="eastAsia" w:ascii="仿宋" w:hAnsi="仿宋" w:eastAsia="仿宋" w:cs="仿宋"/>
          <w:color w:val="000000" w:themeColor="text1"/>
          <w:highlight w:val="none"/>
          <w14:textFill>
            <w14:solidFill>
              <w14:schemeClr w14:val="tx1"/>
            </w14:solidFill>
          </w14:textFill>
        </w:rPr>
      </w:pPr>
    </w:p>
    <w:p w14:paraId="2F0D15A0">
      <w:pPr>
        <w:pStyle w:val="24"/>
        <w:rPr>
          <w:rFonts w:hint="eastAsia" w:ascii="仿宋" w:hAnsi="仿宋" w:eastAsia="仿宋" w:cs="仿宋"/>
          <w:color w:val="000000" w:themeColor="text1"/>
          <w:highlight w:val="none"/>
          <w14:textFill>
            <w14:solidFill>
              <w14:schemeClr w14:val="tx1"/>
            </w14:solidFill>
          </w14:textFill>
        </w:rPr>
      </w:pPr>
    </w:p>
    <w:p w14:paraId="65B2735F">
      <w:pPr>
        <w:pStyle w:val="24"/>
        <w:rPr>
          <w:rFonts w:hint="eastAsia" w:ascii="仿宋" w:hAnsi="仿宋" w:eastAsia="仿宋" w:cs="仿宋"/>
          <w:color w:val="000000" w:themeColor="text1"/>
          <w:highlight w:val="none"/>
          <w14:textFill>
            <w14:solidFill>
              <w14:schemeClr w14:val="tx1"/>
            </w14:solidFill>
          </w14:textFill>
        </w:rPr>
      </w:pPr>
    </w:p>
    <w:p w14:paraId="29D36B6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5EFC0A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61C5BA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06470A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D6B877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D10355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42FFC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6378BF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61290F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5D3CBE2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9"/>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576018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EA089CE">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411063F7">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谈判文件</w:t>
            </w:r>
            <w:r>
              <w:rPr>
                <w:rFonts w:hint="eastAsia" w:ascii="仿宋" w:hAnsi="仿宋" w:eastAsia="仿宋" w:cs="仿宋"/>
                <w:bCs/>
                <w:szCs w:val="21"/>
                <w:highlight w:val="none"/>
              </w:rPr>
              <w:t>要求</w:t>
            </w:r>
          </w:p>
        </w:tc>
        <w:tc>
          <w:tcPr>
            <w:tcW w:w="1100" w:type="dxa"/>
            <w:vAlign w:val="center"/>
          </w:tcPr>
          <w:p w14:paraId="1EAE4A31">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252EF383">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425A4C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55662DAC">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14:paraId="0DA6E51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响应报价：</w:t>
            </w:r>
          </w:p>
          <w:p w14:paraId="70A6125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①响应报价未超</w:t>
            </w:r>
            <w:r>
              <w:rPr>
                <w:rFonts w:hint="eastAsia" w:ascii="仿宋" w:hAnsi="仿宋" w:eastAsia="仿宋" w:cs="仿宋"/>
                <w:sz w:val="20"/>
                <w:szCs w:val="20"/>
                <w:lang w:val="en-US" w:eastAsia="zh-CN"/>
              </w:rPr>
              <w:t>出50%-100%的范围</w:t>
            </w:r>
            <w:r>
              <w:rPr>
                <w:rFonts w:hint="eastAsia" w:ascii="仿宋" w:hAnsi="仿宋" w:eastAsia="仿宋" w:cs="仿宋"/>
                <w:sz w:val="20"/>
                <w:szCs w:val="20"/>
              </w:rPr>
              <w:t>。</w:t>
            </w:r>
          </w:p>
          <w:p w14:paraId="01F3CA8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076F471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lang w:val="en-US" w:eastAsia="zh-CN"/>
              </w:rPr>
              <w:t>服务</w:t>
            </w:r>
            <w:r>
              <w:rPr>
                <w:rFonts w:hint="eastAsia" w:ascii="仿宋" w:hAnsi="仿宋" w:eastAsia="仿宋" w:cs="仿宋"/>
                <w:sz w:val="20"/>
                <w:szCs w:val="20"/>
              </w:rPr>
              <w:t>质量的书面说明等相关证明材料的。</w:t>
            </w:r>
          </w:p>
          <w:p w14:paraId="43A2E12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④响应报价是唯一确定的，不得存在区间值（如</w:t>
            </w:r>
            <w:r>
              <w:rPr>
                <w:rFonts w:hint="eastAsia" w:ascii="仿宋" w:hAnsi="仿宋" w:eastAsia="仿宋" w:cs="仿宋"/>
                <w:sz w:val="20"/>
                <w:szCs w:val="20"/>
                <w:lang w:val="en-US" w:eastAsia="zh-CN"/>
              </w:rPr>
              <w:t>90</w:t>
            </w:r>
            <w:r>
              <w:rPr>
                <w:rFonts w:hint="eastAsia" w:ascii="仿宋" w:hAnsi="仿宋" w:eastAsia="仿宋" w:cs="仿宋"/>
                <w:sz w:val="20"/>
                <w:szCs w:val="20"/>
              </w:rPr>
              <w:t>%～</w:t>
            </w:r>
            <w:r>
              <w:rPr>
                <w:rFonts w:hint="eastAsia" w:ascii="仿宋" w:hAnsi="仿宋" w:eastAsia="仿宋" w:cs="仿宋"/>
                <w:sz w:val="20"/>
                <w:szCs w:val="20"/>
                <w:lang w:val="en-US" w:eastAsia="zh-CN"/>
              </w:rPr>
              <w:t>95</w:t>
            </w:r>
            <w:r>
              <w:rPr>
                <w:rFonts w:hint="eastAsia" w:ascii="仿宋" w:hAnsi="仿宋" w:eastAsia="仿宋" w:cs="仿宋"/>
                <w:sz w:val="20"/>
                <w:szCs w:val="20"/>
              </w:rPr>
              <w:t>%）。</w:t>
            </w:r>
          </w:p>
          <w:p w14:paraId="5536B6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sz w:val="20"/>
                <w:szCs w:val="20"/>
              </w:rPr>
              <w:t>⑤响应报价均应包含国家规定的税费。</w:t>
            </w:r>
          </w:p>
        </w:tc>
        <w:tc>
          <w:tcPr>
            <w:tcW w:w="1100" w:type="dxa"/>
            <w:vAlign w:val="center"/>
          </w:tcPr>
          <w:p w14:paraId="3A64431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AB45368">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13323B0D">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59F0E7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10C4C0D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14:paraId="2836C38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77D2EB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3DBF1B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39B29DD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002B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4457FA2">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14:paraId="1DC2F423">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2A6240C6">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2E83B99E">
            <w:pPr>
              <w:pStyle w:val="26"/>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72EF43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2CCBB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D1B16AD">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14:paraId="7C171AF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不得改动本谈判文件中已明确要求不得擅自删改的部分，以及遵守谈判文件中已列明必须遵照执行否则按无效响应处理的各类要求。</w:t>
            </w:r>
          </w:p>
        </w:tc>
        <w:tc>
          <w:tcPr>
            <w:tcW w:w="1100" w:type="dxa"/>
            <w:vAlign w:val="center"/>
          </w:tcPr>
          <w:p w14:paraId="560A03C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25487B3">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5219796B">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50C373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3DE02B5C">
            <w:pPr>
              <w:keepNext w:val="0"/>
              <w:keepLines w:val="0"/>
              <w:suppressLineNumbers w:val="0"/>
              <w:tabs>
                <w:tab w:val="left" w:pos="2880"/>
              </w:tabs>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w:t>
            </w:r>
            <w:r>
              <w:rPr>
                <w:rFonts w:hint="eastAsia" w:ascii="仿宋" w:hAnsi="仿宋" w:eastAsia="仿宋" w:cs="仿宋"/>
                <w:szCs w:val="21"/>
                <w:highlight w:val="none"/>
                <w:lang w:eastAsia="zh-CN"/>
              </w:rPr>
              <w:t>谈判文件</w:t>
            </w:r>
            <w:r>
              <w:rPr>
                <w:rFonts w:hint="eastAsia" w:ascii="仿宋" w:hAnsi="仿宋" w:eastAsia="仿宋" w:cs="仿宋"/>
                <w:szCs w:val="21"/>
                <w:highlight w:val="none"/>
              </w:rPr>
              <w:t>中的“★”号条款要求</w:t>
            </w:r>
          </w:p>
        </w:tc>
        <w:tc>
          <w:tcPr>
            <w:tcW w:w="4418" w:type="dxa"/>
            <w:vAlign w:val="top"/>
          </w:tcPr>
          <w:p w14:paraId="104F404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“★”号条款要求</w:t>
            </w:r>
          </w:p>
        </w:tc>
        <w:tc>
          <w:tcPr>
            <w:tcW w:w="1100" w:type="dxa"/>
            <w:vAlign w:val="center"/>
          </w:tcPr>
          <w:p w14:paraId="57F2011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2D449B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E5E241B">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0F942B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7CA516BA">
            <w:pPr>
              <w:keepNext w:val="0"/>
              <w:keepLines w:val="0"/>
              <w:suppressLineNumbers w:val="0"/>
              <w:tabs>
                <w:tab w:val="left" w:pos="2880"/>
              </w:tabs>
              <w:spacing w:before="0" w:beforeAutospacing="0" w:after="0" w:afterAutospacing="0"/>
              <w:ind w:left="0" w:leftChars="0" w:right="0" w:rightChars="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14:paraId="09CB48C5">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7DFDEC5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466B6A9">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25B57CC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31E7B7D5">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7856DFE7">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D69624D">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469D6C88">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61243A80">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609F6145">
      <w:pPr>
        <w:pStyle w:val="9"/>
        <w:shd w:val="clear" w:color="auto" w:fill="FFFFFF"/>
        <w:rPr>
          <w:rFonts w:hint="eastAsia" w:ascii="仿宋" w:hAnsi="仿宋" w:eastAsia="仿宋" w:cs="仿宋"/>
          <w:sz w:val="21"/>
          <w:szCs w:val="21"/>
          <w:highlight w:val="none"/>
        </w:rPr>
      </w:pPr>
    </w:p>
    <w:p w14:paraId="6A4F993F">
      <w:pPr>
        <w:pStyle w:val="9"/>
        <w:shd w:val="clear" w:color="auto" w:fill="FFFFFF"/>
        <w:rPr>
          <w:rFonts w:hint="eastAsia" w:ascii="仿宋" w:hAnsi="仿宋" w:eastAsia="仿宋" w:cs="仿宋"/>
          <w:sz w:val="21"/>
          <w:szCs w:val="21"/>
          <w:highlight w:val="none"/>
        </w:rPr>
      </w:pPr>
    </w:p>
    <w:p w14:paraId="5EFC8B8B">
      <w:pPr>
        <w:pStyle w:val="9"/>
        <w:shd w:val="clear" w:color="auto" w:fill="FFFFFF"/>
        <w:rPr>
          <w:rFonts w:hint="eastAsia" w:ascii="仿宋" w:hAnsi="仿宋" w:eastAsia="仿宋" w:cs="仿宋"/>
          <w:sz w:val="21"/>
          <w:szCs w:val="21"/>
          <w:highlight w:val="none"/>
        </w:rPr>
      </w:pPr>
    </w:p>
    <w:p w14:paraId="3480E05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4FA32C5">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A3F5504">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CA1695F">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124B1B02">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6F776DD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167D5AB8">
      <w:pPr>
        <w:pStyle w:val="10"/>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41D43BA2">
      <w:pPr>
        <w:pStyle w:val="10"/>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08C9CF07">
      <w:pPr>
        <w:pStyle w:val="10"/>
        <w:tabs>
          <w:tab w:val="left" w:pos="900"/>
        </w:tabs>
        <w:spacing w:line="400" w:lineRule="exact"/>
        <w:ind w:firstLine="0"/>
        <w:rPr>
          <w:rFonts w:hint="eastAsia" w:ascii="仿宋" w:hAnsi="仿宋" w:eastAsia="仿宋" w:cs="仿宋"/>
          <w:bCs/>
          <w:color w:val="000000"/>
          <w:highlight w:val="none"/>
          <w:lang w:val="en-US"/>
        </w:rPr>
      </w:pPr>
    </w:p>
    <w:p w14:paraId="7D308768">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372ECD10">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1E70AA2C">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03441E4B">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2AFCA04B">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5C3E8B3A">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2A97052F">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438F5BAE">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30C1F92">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66B4BAF9">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6DCA1D9E">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3D01A7C7">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2"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00B975EA">
                              <w:pPr>
                                <w:spacing w:before="0" w:line="240" w:lineRule="auto"/>
                                <w:rPr>
                                  <w:sz w:val="20"/>
                                </w:rPr>
                              </w:pPr>
                            </w:p>
                            <w:p w14:paraId="61A73E9D">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1154CBE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MwSXQTVAAAABQEAAA8AAAAAAAAAAQAgAAAAIgAAAGRycy9kb3ducmV2LnhtbFBLAQIUABQA&#10;AAAIAIdO4kCD8lhfngIAALgGAAAOAAAAAAAAAAEAIAAAACQBAABkcnMvZTJvRG9jLnhtbFBLBQYA&#10;AAAABgAGAFkBAAA0Bg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00B975EA">
                        <w:pPr>
                          <w:spacing w:before="0" w:line="240" w:lineRule="auto"/>
                          <w:rPr>
                            <w:sz w:val="20"/>
                          </w:rPr>
                        </w:pPr>
                      </w:p>
                      <w:p w14:paraId="61A73E9D">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1154CBE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FF86C06">
                            <w:pPr>
                              <w:pStyle w:val="2"/>
                              <w:rPr>
                                <w:sz w:val="20"/>
                              </w:rPr>
                            </w:pPr>
                          </w:p>
                          <w:p w14:paraId="623697A3">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3519D6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0FF86C06">
                      <w:pPr>
                        <w:pStyle w:val="2"/>
                        <w:rPr>
                          <w:sz w:val="20"/>
                        </w:rPr>
                      </w:pPr>
                    </w:p>
                    <w:p w14:paraId="623697A3">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3519D6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68138D90">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28409694">
      <w:pPr>
        <w:pStyle w:val="26"/>
        <w:ind w:left="0" w:leftChars="0" w:firstLine="0" w:firstLineChars="0"/>
        <w:rPr>
          <w:rFonts w:hint="eastAsia" w:ascii="仿宋" w:hAnsi="仿宋" w:eastAsia="仿宋" w:cs="仿宋"/>
          <w:highlight w:val="none"/>
          <w:lang w:eastAsia="zh-CN"/>
        </w:rPr>
      </w:pPr>
    </w:p>
    <w:p w14:paraId="73EF0FA5">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4CFB752">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188E1549">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D6059D5">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FD1912C">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6E008BB">
      <w:pPr>
        <w:pStyle w:val="10"/>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0EC23FF9">
      <w:pPr>
        <w:pStyle w:val="10"/>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3EA0CD28">
      <w:pPr>
        <w:pStyle w:val="10"/>
        <w:tabs>
          <w:tab w:val="left" w:pos="900"/>
        </w:tabs>
        <w:spacing w:line="400" w:lineRule="exact"/>
        <w:ind w:firstLine="0"/>
        <w:rPr>
          <w:rFonts w:hint="eastAsia" w:ascii="仿宋" w:hAnsi="仿宋" w:eastAsia="仿宋" w:cs="仿宋"/>
          <w:bCs/>
          <w:color w:val="000000"/>
          <w:sz w:val="24"/>
          <w:szCs w:val="24"/>
          <w:highlight w:val="none"/>
          <w:lang w:val="en-US"/>
        </w:rPr>
      </w:pPr>
    </w:p>
    <w:p w14:paraId="79A0F458">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39A7EFBC">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5C651CE">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020E7A21">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2F89BDEC">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15349BDF">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52A6F1C2">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11265076">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5EE0C259">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085DA2B4">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7780ED8F">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1EAE26EE">
                            <w:pPr>
                              <w:pStyle w:val="2"/>
                              <w:rPr>
                                <w:sz w:val="20"/>
                              </w:rPr>
                            </w:pPr>
                          </w:p>
                          <w:p w14:paraId="5EFC9ABC">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50BBF69">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1EAE26EE">
                      <w:pPr>
                        <w:pStyle w:val="2"/>
                        <w:rPr>
                          <w:sz w:val="20"/>
                        </w:rPr>
                      </w:pPr>
                    </w:p>
                    <w:p w14:paraId="5EFC9ABC">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50BBF69">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8618513">
                            <w:pPr>
                              <w:pStyle w:val="2"/>
                              <w:rPr>
                                <w:rFonts w:hint="eastAsia" w:ascii="华文中宋" w:hAnsi="华文中宋" w:eastAsia="华文中宋" w:cs="华文中宋"/>
                                <w:sz w:val="21"/>
                                <w:szCs w:val="21"/>
                              </w:rPr>
                            </w:pPr>
                          </w:p>
                          <w:p w14:paraId="7B3DC29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BCB7EF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38618513">
                      <w:pPr>
                        <w:pStyle w:val="2"/>
                        <w:rPr>
                          <w:rFonts w:hint="eastAsia" w:ascii="华文中宋" w:hAnsi="华文中宋" w:eastAsia="华文中宋" w:cs="华文中宋"/>
                          <w:sz w:val="21"/>
                          <w:szCs w:val="21"/>
                        </w:rPr>
                      </w:pPr>
                    </w:p>
                    <w:p w14:paraId="7B3DC29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BCB7EF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445AC37A">
      <w:pPr>
        <w:pStyle w:val="26"/>
        <w:ind w:left="0" w:leftChars="0" w:firstLine="0" w:firstLineChars="0"/>
        <w:rPr>
          <w:rFonts w:hint="eastAsia" w:ascii="宋体" w:hAnsi="宋体" w:eastAsia="宋体" w:cs="仿宋_GB2312"/>
          <w:bCs/>
          <w:color w:val="000000"/>
          <w:sz w:val="30"/>
          <w:szCs w:val="30"/>
          <w:highlight w:val="none"/>
          <w:lang w:val="en-US"/>
        </w:rPr>
      </w:pPr>
    </w:p>
    <w:p w14:paraId="1F4CFC21">
      <w:pPr>
        <w:pStyle w:val="26"/>
        <w:ind w:left="0" w:leftChars="0" w:firstLine="0" w:firstLineChars="0"/>
        <w:rPr>
          <w:rFonts w:hint="eastAsia" w:ascii="宋体" w:hAnsi="宋体" w:eastAsia="宋体" w:cs="宋体"/>
          <w:b/>
          <w:bCs/>
          <w:sz w:val="28"/>
          <w:szCs w:val="36"/>
          <w:highlight w:val="none"/>
          <w:lang w:eastAsia="zh-CN"/>
        </w:rPr>
      </w:pPr>
    </w:p>
    <w:p w14:paraId="7DD43EC7">
      <w:pPr>
        <w:pStyle w:val="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3C3498B1">
      <w:pPr>
        <w:pStyle w:val="26"/>
        <w:ind w:left="0" w:leftChars="0" w:firstLine="0" w:firstLineChars="0"/>
        <w:rPr>
          <w:rFonts w:hint="eastAsia" w:ascii="宋体" w:hAnsi="宋体" w:eastAsia="宋体" w:cs="仿宋_GB2312"/>
          <w:bCs/>
          <w:color w:val="000000"/>
          <w:sz w:val="30"/>
          <w:szCs w:val="30"/>
          <w:highlight w:val="none"/>
          <w:lang w:val="en-US"/>
        </w:rPr>
      </w:pPr>
    </w:p>
    <w:p w14:paraId="2FA38323">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66CF7EE5">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7BAE6C3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1D96E20E">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6164A478">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3C16CA51">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1、同意并接受谈判文件的各项要求，遵守谈判文件中的各项规定，按谈判文件的要求提供报价。</w:t>
      </w:r>
    </w:p>
    <w:p w14:paraId="2581AF51">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247B607A">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3、我方已经详细地阅读了全部谈判文件及其附件，包括澄清及参考文件(如果有的话)。我方已完全清晰理解谈判文件的要求，不存在任何含糊不清和误解之处，同意放弃对这些文件所提出的异议和质疑的权利。</w:t>
      </w:r>
    </w:p>
    <w:p w14:paraId="186208CD">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4、如果我单位成交，我方将保证按照院方认可的条件，以本谈判文件内写明的金额、方式和时间要求提交履约保证金（如有）。</w:t>
      </w:r>
    </w:p>
    <w:p w14:paraId="565A3A0B">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3BFB55AC">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6、我方承诺能够完全对谈判文件所有带“★”号条款作出响应，具体证明材料见响应文件“三、‘★’条款响应审查”。</w:t>
      </w:r>
    </w:p>
    <w:p w14:paraId="093EA11D">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51C15FFB">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D7E7E85">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w:t>
      </w:r>
    </w:p>
    <w:p w14:paraId="6F5B10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79C02F9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6F5EBA8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5ACD2D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D5C308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3A65257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366DA51">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42BF7B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D09AB2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20E719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4C0615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DBC3C5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4260E2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5BCC97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E713FB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36"/>
          <w:szCs w:val="36"/>
          <w:highlight w:val="none"/>
          <w:lang w:val="en-US" w:eastAsia="zh-CN"/>
        </w:rPr>
      </w:pPr>
      <w:r>
        <w:rPr>
          <w:rFonts w:hint="eastAsia" w:ascii="黑体" w:hAnsi="黑体" w:eastAsia="黑体" w:cs="黑体"/>
          <w:b/>
          <w:bCs/>
          <w:sz w:val="40"/>
          <w:szCs w:val="40"/>
          <w:highlight w:val="none"/>
          <w:lang w:val="en-US" w:eastAsia="zh-CN"/>
        </w:rPr>
        <w:t>三、“★”条款响应审查</w:t>
      </w:r>
    </w:p>
    <w:p w14:paraId="47C5CC27">
      <w:pPr>
        <w:keepNext w:val="0"/>
        <w:keepLines w:val="0"/>
        <w:pageBreakBefore w:val="0"/>
        <w:widowControl w:val="0"/>
        <w:kinsoku/>
        <w:wordWrap/>
        <w:overflowPunct/>
        <w:topLinePunct w:val="0"/>
        <w:autoSpaceDE/>
        <w:autoSpaceDN/>
        <w:bidi w:val="0"/>
        <w:adjustRightInd w:val="0"/>
        <w:snapToGrid w:val="0"/>
        <w:spacing w:line="240" w:lineRule="auto"/>
        <w:ind w:right="-395" w:rightChars="-188"/>
        <w:textAlignment w:val="auto"/>
        <w:rPr>
          <w:rFonts w:hint="eastAsia" w:ascii="仿宋" w:hAnsi="仿宋" w:eastAsia="仿宋" w:cs="仿宋"/>
          <w:b/>
          <w:bCs/>
          <w:color w:val="auto"/>
          <w:sz w:val="21"/>
          <w:szCs w:val="21"/>
          <w:highlight w:val="none"/>
          <w:lang w:eastAsia="zh-CN"/>
        </w:rPr>
      </w:pPr>
    </w:p>
    <w:p w14:paraId="5702FA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395" w:rightChars="-188"/>
        <w:textAlignment w:val="auto"/>
        <w:rPr>
          <w:rFonts w:hint="eastAsia" w:ascii="仿宋" w:hAnsi="仿宋" w:eastAsia="仿宋" w:cs="仿宋"/>
          <w:b/>
          <w:bCs/>
          <w:color w:val="auto"/>
          <w:sz w:val="21"/>
          <w:szCs w:val="21"/>
          <w:highlight w:val="none"/>
          <w:lang w:val="en-GB" w:eastAsia="zh-CN"/>
        </w:rPr>
      </w:pPr>
      <w:r>
        <w:rPr>
          <w:rFonts w:hint="eastAsia" w:ascii="仿宋" w:hAnsi="仿宋" w:eastAsia="仿宋" w:cs="仿宋"/>
          <w:b/>
          <w:bCs/>
          <w:color w:val="auto"/>
          <w:sz w:val="21"/>
          <w:szCs w:val="21"/>
          <w:highlight w:val="none"/>
          <w:lang w:val="en-GB" w:eastAsia="zh-CN"/>
        </w:rPr>
        <w:t>供应商必须按谈判文件中“★”条款响应审查内容据实填写，不得虚假应答，否则将取消其成交资格。</w:t>
      </w:r>
    </w:p>
    <w:tbl>
      <w:tblPr>
        <w:tblStyle w:val="19"/>
        <w:tblpPr w:leftFromText="180" w:rightFromText="180" w:vertAnchor="text" w:horzAnchor="margin" w:tblpXSpec="center" w:tblpY="327"/>
        <w:tblOverlap w:val="never"/>
        <w:tblW w:w="10314" w:type="dxa"/>
        <w:tblInd w:w="0" w:type="dxa"/>
        <w:tblLayout w:type="fixed"/>
        <w:tblCellMar>
          <w:top w:w="0" w:type="dxa"/>
          <w:left w:w="108" w:type="dxa"/>
          <w:bottom w:w="0" w:type="dxa"/>
          <w:right w:w="108" w:type="dxa"/>
        </w:tblCellMar>
      </w:tblPr>
      <w:tblGrid>
        <w:gridCol w:w="611"/>
        <w:gridCol w:w="7157"/>
        <w:gridCol w:w="1206"/>
        <w:gridCol w:w="1340"/>
      </w:tblGrid>
      <w:tr w14:paraId="105D9B0C">
        <w:tblPrEx>
          <w:tblCellMar>
            <w:top w:w="0" w:type="dxa"/>
            <w:left w:w="108" w:type="dxa"/>
            <w:bottom w:w="0" w:type="dxa"/>
            <w:right w:w="108" w:type="dxa"/>
          </w:tblCellMar>
        </w:tblPrEx>
        <w:trPr>
          <w:trHeight w:val="285" w:hRule="atLeast"/>
        </w:trPr>
        <w:tc>
          <w:tcPr>
            <w:tcW w:w="1031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0A3D513">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4"/>
                <w:highlight w:val="none"/>
                <w:lang w:val="en-US" w:eastAsia="zh-CN"/>
              </w:rPr>
            </w:pPr>
            <w:r>
              <w:rPr>
                <w:rFonts w:hint="eastAsia" w:ascii="仿宋" w:hAnsi="仿宋" w:eastAsia="仿宋" w:cs="仿宋"/>
                <w:b/>
                <w:bCs/>
                <w:color w:val="000000"/>
                <w:kern w:val="0"/>
                <w:sz w:val="24"/>
                <w:highlight w:val="none"/>
              </w:rPr>
              <w:t>“★”条款响应</w:t>
            </w:r>
            <w:r>
              <w:rPr>
                <w:rFonts w:hint="eastAsia" w:ascii="仿宋" w:hAnsi="仿宋" w:eastAsia="仿宋" w:cs="仿宋"/>
                <w:b/>
                <w:bCs/>
                <w:color w:val="000000"/>
                <w:kern w:val="0"/>
                <w:sz w:val="24"/>
                <w:highlight w:val="none"/>
                <w:lang w:val="en-US" w:eastAsia="zh-CN"/>
              </w:rPr>
              <w:t>情况</w:t>
            </w:r>
          </w:p>
        </w:tc>
      </w:tr>
      <w:tr w14:paraId="7D0550AB">
        <w:tblPrEx>
          <w:tblCellMar>
            <w:top w:w="0" w:type="dxa"/>
            <w:left w:w="108" w:type="dxa"/>
            <w:bottom w:w="0" w:type="dxa"/>
            <w:right w:w="108" w:type="dxa"/>
          </w:tblCellMar>
        </w:tblPrEx>
        <w:trPr>
          <w:trHeight w:val="285" w:hRule="atLeast"/>
        </w:trPr>
        <w:tc>
          <w:tcPr>
            <w:tcW w:w="7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C3B65D">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rPr>
            </w:pPr>
            <w:r>
              <w:rPr>
                <w:rFonts w:hint="eastAsia" w:ascii="仿宋" w:hAnsi="仿宋" w:eastAsia="仿宋" w:cs="仿宋"/>
                <w:b/>
                <w:bCs/>
                <w:color w:val="000000"/>
                <w:kern w:val="0"/>
                <w:sz w:val="24"/>
                <w:highlight w:val="none"/>
              </w:rPr>
              <w:t>“★”条款</w:t>
            </w:r>
            <w:r>
              <w:rPr>
                <w:rFonts w:hint="eastAsia" w:ascii="仿宋" w:hAnsi="仿宋" w:eastAsia="仿宋" w:cs="仿宋"/>
                <w:b/>
                <w:bCs/>
                <w:color w:val="000000"/>
                <w:kern w:val="0"/>
                <w:sz w:val="22"/>
                <w:szCs w:val="22"/>
                <w:highlight w:val="none"/>
              </w:rPr>
              <w:t>要求</w:t>
            </w:r>
          </w:p>
        </w:tc>
        <w:tc>
          <w:tcPr>
            <w:tcW w:w="1206" w:type="dxa"/>
            <w:tcBorders>
              <w:top w:val="nil"/>
              <w:left w:val="nil"/>
              <w:bottom w:val="single" w:color="auto" w:sz="4" w:space="0"/>
              <w:right w:val="single" w:color="auto" w:sz="4" w:space="0"/>
            </w:tcBorders>
            <w:shd w:val="clear" w:color="auto" w:fill="auto"/>
            <w:noWrap/>
            <w:vAlign w:val="center"/>
          </w:tcPr>
          <w:p w14:paraId="067A74D2">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rPr>
              <w:t>是否响应</w:t>
            </w:r>
          </w:p>
        </w:tc>
        <w:tc>
          <w:tcPr>
            <w:tcW w:w="1340" w:type="dxa"/>
            <w:tcBorders>
              <w:top w:val="nil"/>
              <w:left w:val="nil"/>
              <w:bottom w:val="single" w:color="auto" w:sz="4" w:space="0"/>
              <w:right w:val="single" w:color="auto" w:sz="4" w:space="0"/>
            </w:tcBorders>
            <w:shd w:val="clear" w:color="auto" w:fill="auto"/>
            <w:noWrap/>
            <w:vAlign w:val="center"/>
          </w:tcPr>
          <w:p w14:paraId="0CC82F52">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证明文件</w:t>
            </w:r>
          </w:p>
        </w:tc>
      </w:tr>
      <w:tr w14:paraId="4057F81E">
        <w:tblPrEx>
          <w:tblCellMar>
            <w:top w:w="0" w:type="dxa"/>
            <w:left w:w="108" w:type="dxa"/>
            <w:bottom w:w="0" w:type="dxa"/>
            <w:right w:w="108" w:type="dxa"/>
          </w:tblCellMar>
        </w:tblPrEx>
        <w:trPr>
          <w:trHeight w:val="965" w:hRule="atLeast"/>
        </w:trPr>
        <w:tc>
          <w:tcPr>
            <w:tcW w:w="611" w:type="dxa"/>
            <w:vMerge w:val="restart"/>
            <w:tcBorders>
              <w:top w:val="single" w:color="auto" w:sz="4" w:space="0"/>
              <w:left w:val="single" w:color="auto" w:sz="4" w:space="0"/>
              <w:right w:val="single" w:color="auto" w:sz="4" w:space="0"/>
            </w:tcBorders>
            <w:shd w:val="clear" w:color="auto" w:fill="auto"/>
            <w:noWrap/>
            <w:vAlign w:val="center"/>
          </w:tcPr>
          <w:p w14:paraId="21BDC58D">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rPr>
              <w:t>公务车辆保险服务采购</w:t>
            </w:r>
            <w:r>
              <w:rPr>
                <w:rFonts w:hint="eastAsia" w:ascii="仿宋" w:hAnsi="仿宋" w:eastAsia="仿宋" w:cs="仿宋"/>
                <w:b/>
                <w:bCs/>
                <w:kern w:val="0"/>
                <w:sz w:val="24"/>
                <w:highlight w:val="none"/>
                <w:lang w:val="en-US" w:eastAsia="zh-CN"/>
              </w:rPr>
              <w:t>项目</w:t>
            </w:r>
          </w:p>
          <w:p w14:paraId="35EB93C3">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要求</w:t>
            </w:r>
          </w:p>
        </w:tc>
        <w:tc>
          <w:tcPr>
            <w:tcW w:w="7157" w:type="dxa"/>
            <w:tcBorders>
              <w:top w:val="single" w:color="auto" w:sz="4" w:space="0"/>
              <w:left w:val="nil"/>
              <w:bottom w:val="single" w:color="auto" w:sz="4" w:space="0"/>
              <w:right w:val="single" w:color="auto" w:sz="4" w:space="0"/>
            </w:tcBorders>
            <w:shd w:val="clear" w:color="auto" w:fill="auto"/>
            <w:vAlign w:val="center"/>
          </w:tcPr>
          <w:p w14:paraId="4C8B42E6">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★（一）投保险种、赔偿限额</w:t>
            </w:r>
          </w:p>
          <w:p w14:paraId="63B40D80">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1、机动车交通事故责任强制保险（含车船税）；</w:t>
            </w:r>
          </w:p>
          <w:p w14:paraId="7FA3E00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2、机动车商业险险种：</w:t>
            </w:r>
          </w:p>
          <w:p w14:paraId="45CEA0B0">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（1）机动车损失险（按参保车辆的实际价值确定）； </w:t>
            </w:r>
          </w:p>
          <w:p w14:paraId="244EA792">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（2）机动车第三者责任险：每车每年保险金额200万元； </w:t>
            </w:r>
          </w:p>
          <w:p w14:paraId="30DEE49D">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（3）车上人员责任险（含司机险、乘客险）：保险金额5万元/座，以车辆行驶证核定座位数为准。</w:t>
            </w:r>
          </w:p>
          <w:p w14:paraId="14627C11">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3A122E10">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5CBBF07A">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r>
      <w:tr w14:paraId="49BB3233">
        <w:tblPrEx>
          <w:tblCellMar>
            <w:top w:w="0" w:type="dxa"/>
            <w:left w:w="108" w:type="dxa"/>
            <w:bottom w:w="0" w:type="dxa"/>
            <w:right w:w="108" w:type="dxa"/>
          </w:tblCellMar>
        </w:tblPrEx>
        <w:trPr>
          <w:trHeight w:val="658" w:hRule="atLeast"/>
        </w:trPr>
        <w:tc>
          <w:tcPr>
            <w:tcW w:w="611" w:type="dxa"/>
            <w:vMerge w:val="continue"/>
            <w:tcBorders>
              <w:left w:val="single" w:color="auto" w:sz="4" w:space="0"/>
              <w:right w:val="single" w:color="auto" w:sz="4" w:space="0"/>
            </w:tcBorders>
            <w:shd w:val="clear" w:color="auto" w:fill="auto"/>
            <w:noWrap/>
            <w:vAlign w:val="center"/>
          </w:tcPr>
          <w:p w14:paraId="5871368F">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31FDCA57">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★四、服务要求</w:t>
            </w:r>
          </w:p>
          <w:p w14:paraId="6BD0685D">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1、供应商须配合采购人对公务用车保险统一承保进行管理。</w:t>
            </w:r>
          </w:p>
          <w:p w14:paraId="4058BDDD">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2、供应商应设有统一服务热线，提供7天/24小时受理报案、查勘救援、投诉、咨询等服务，同时安排专人负责受理索赔报案，并提供便捷的定损理赔等服务。</w:t>
            </w:r>
          </w:p>
          <w:p w14:paraId="380983BC">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3、供应商接到报案通知后，项目服务专员立即开始协助采购人办理后续理赔手续，并对理赔过程进行监督与协调，确保优质</w:t>
            </w:r>
            <w:r>
              <w:rPr>
                <w:rFonts w:hint="eastAsia" w:ascii="仿宋" w:hAnsi="仿宋" w:eastAsia="仿宋" w:cs="仿宋"/>
                <w:color w:val="000000"/>
                <w:szCs w:val="21"/>
                <w:highlight w:val="none"/>
                <w:lang w:eastAsia="zh-CN"/>
              </w:rPr>
              <w:t>高效地</w:t>
            </w:r>
            <w:r>
              <w:rPr>
                <w:rFonts w:hint="eastAsia" w:ascii="仿宋" w:hAnsi="仿宋" w:eastAsia="仿宋" w:cs="仿宋"/>
                <w:color w:val="000000"/>
                <w:szCs w:val="21"/>
                <w:highlight w:val="none"/>
              </w:rPr>
              <w:t>完成后续理赔工作。</w:t>
            </w:r>
          </w:p>
          <w:p w14:paraId="3097E19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4、为确保定损的速度和质量，充分发挥采购人理赔人员数量多、专业技术好的优势，理赔服务专员可以调度对出险车型专业技术能力更强的定损人员完成本项目出险车辆的定损工作。</w:t>
            </w:r>
          </w:p>
          <w:p w14:paraId="11E5AE7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5、供应商在接到采购人的出险报案后需要进行现场查勘的，广州市内（天河区、越秀区、荔湾区、海珠区、白云区）应</w:t>
            </w:r>
            <w:r>
              <w:rPr>
                <w:rFonts w:hint="eastAsia" w:ascii="仿宋" w:hAnsi="仿宋" w:eastAsia="仿宋" w:cs="仿宋"/>
                <w:color w:val="000000"/>
                <w:szCs w:val="21"/>
                <w:highlight w:val="none"/>
                <w:lang w:eastAsia="zh-CN"/>
              </w:rPr>
              <w:t>30分钟内</w:t>
            </w:r>
            <w:r>
              <w:rPr>
                <w:rFonts w:hint="eastAsia" w:ascii="仿宋" w:hAnsi="仿宋" w:eastAsia="仿宋" w:cs="仿宋"/>
                <w:color w:val="000000"/>
                <w:szCs w:val="21"/>
                <w:highlight w:val="none"/>
              </w:rPr>
              <w:t>赶到现场，广州市其他区域60分钟内应赶到现场。若采购人的参保车辆在广东省内其他市县出险，供应商应在2小时内到达现场，或由供应商位于出险地的分支机构进行现场查勘与检验定损。</w:t>
            </w:r>
          </w:p>
          <w:p w14:paraId="20CE554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6、事故发生后，接到采购人报案后，对于属于保险责任的事故，供应商按照以下约定及时定损：</w:t>
            </w:r>
          </w:p>
          <w:p w14:paraId="1BC9B0A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a)1万元以下，1个工作日内定损完毕；</w:t>
            </w:r>
          </w:p>
          <w:p w14:paraId="704DBAB8">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b)1万元-3 万元，3个工作日内定损完毕；</w:t>
            </w:r>
          </w:p>
          <w:p w14:paraId="3F51D173">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c)3万元-5 万元，7个工作日内定损完毕；</w:t>
            </w:r>
          </w:p>
          <w:p w14:paraId="7A667A2C">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d)特殊情况与采购人协商确定。</w:t>
            </w:r>
          </w:p>
          <w:p w14:paraId="239107F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7、在采购人提供完整必要的索赔材料后，供应商承诺按下列约定时限向采购人支付赔款：</w:t>
            </w:r>
          </w:p>
          <w:p w14:paraId="187ED38D">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a)1万元以下，1个工作日内赔付；</w:t>
            </w:r>
          </w:p>
          <w:p w14:paraId="73689956">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b)5万元以下，5个工作日内赔付；</w:t>
            </w:r>
          </w:p>
          <w:p w14:paraId="5AABA9C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c)20万元以下，10个工作日内赔付；</w:t>
            </w:r>
          </w:p>
          <w:p w14:paraId="7A126795">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d)20万元以上，15个工作日内赔付；</w:t>
            </w:r>
          </w:p>
          <w:p w14:paraId="5916EE1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f)特殊情况与采购人协商确定。</w:t>
            </w:r>
          </w:p>
          <w:p w14:paraId="22052743">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8、经供应商查勘现场的轻微人伤案件，人伤损失在3000元以内的，查勘员能现场处理且解决费用支付，供应商给予确认赔付。</w:t>
            </w:r>
          </w:p>
          <w:p w14:paraId="380060C3">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9、拖车服务。若参保车辆因故障丧失行驶能力，供应商将为采购人联系救援单位，在广州地区提供不限公里数的无偿拖车服务，在广州地区外提供不超过30公里无偿拖车服务（拖车不能进入的场所除外）。</w:t>
            </w:r>
          </w:p>
          <w:p w14:paraId="64FB1AA6">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10、更换轮胎服务。若参保车辆因爆胎或轮胎漏气而需要换备胎时，广州市范围内供应商将为采购人联系救援单位赶到事发地点提供</w:t>
            </w:r>
            <w:r>
              <w:rPr>
                <w:rFonts w:hint="eastAsia" w:ascii="仿宋" w:hAnsi="仿宋" w:eastAsia="仿宋" w:cs="仿宋"/>
                <w:color w:val="000000"/>
                <w:szCs w:val="21"/>
                <w:highlight w:val="none"/>
                <w:lang w:val="en-US" w:eastAsia="zh-CN"/>
              </w:rPr>
              <w:t>无偿</w:t>
            </w:r>
            <w:r>
              <w:rPr>
                <w:rFonts w:hint="eastAsia" w:ascii="仿宋" w:hAnsi="仿宋" w:eastAsia="仿宋" w:cs="仿宋"/>
                <w:color w:val="000000"/>
                <w:szCs w:val="21"/>
                <w:highlight w:val="none"/>
              </w:rPr>
              <w:t>更换备胎。</w:t>
            </w:r>
          </w:p>
          <w:p w14:paraId="00FBDD42">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11、参保车辆发生人伤事故时，且在明确事故责任后，供应商能提供伤者医疗跟踪、伤残鉴定等咨询服务，要求供应商至少安排一名人伤事故处理经验丰富的人员，专门负责全程跟进医疗核损服务和理赔事宜，并根据伤者病情前往探望、了解病情、核实费用，促进赔案快速、圆满解决。</w:t>
            </w:r>
          </w:p>
          <w:p w14:paraId="1035F0E4">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12、供应商与采购人就赔偿结果无法达成一致，根据采购人的要求，应指定具有国内保险公估营业许可的双方认可的公估公司进行损失理算，并负担有关公估费用。</w:t>
            </w:r>
          </w:p>
          <w:p w14:paraId="3C62942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13、如未按约定时间定损，造成财产损失无法确定，以采购人提供的财产损毁照片、损失清单和修理发票作为赔付理算依据。</w:t>
            </w:r>
          </w:p>
          <w:p w14:paraId="5FAF0701">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14、车辆出险后，除了供应商推荐的修理厂外，采购人可自选资质合格的修理厂及专修厂修理受损车辆；对于采购人自选的资质合格的修理厂及专修厂，供应商予以认可。</w:t>
            </w:r>
          </w:p>
          <w:p w14:paraId="7462A8CD">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15、受损车辆在双方共同认可的资质合格的修理厂或专修厂修理，定损应与修理厂或专修厂共同完成。</w:t>
            </w:r>
          </w:p>
          <w:p w14:paraId="4542BD50">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16、受损车辆的维修以修复为原则，但涉及车辆行车安全的关键零部件（如：刹车系统、转向系统），同意一律予以更换。受损车辆更换零部件为原厂配件。</w:t>
            </w:r>
          </w:p>
          <w:p w14:paraId="4D24E3F3">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17、采购人所投保的车辆发生财产、人伤保险事故时，供应商按保单给予最高限额赔付，不设免赔金额。</w:t>
            </w:r>
          </w:p>
          <w:p w14:paraId="17B4809C">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18、商业险按采购人所投保险种金额责任范围核定金额赔偿（含协商赔付），不设免赔赔付金额。</w:t>
            </w:r>
          </w:p>
          <w:p w14:paraId="4FA06734">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19、对于重大案件或发生纠纷的案件，供应商协助采购人处理事故，提供法律援助服务，避免不必要的损失。</w:t>
            </w:r>
          </w:p>
          <w:p w14:paraId="0E508BD9">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3FE65672">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33EDBEB9">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20B04D93">
        <w:tblPrEx>
          <w:tblCellMar>
            <w:top w:w="0" w:type="dxa"/>
            <w:left w:w="108" w:type="dxa"/>
            <w:bottom w:w="0" w:type="dxa"/>
            <w:right w:w="108" w:type="dxa"/>
          </w:tblCellMar>
        </w:tblPrEx>
        <w:trPr>
          <w:trHeight w:val="698" w:hRule="atLeast"/>
        </w:trPr>
        <w:tc>
          <w:tcPr>
            <w:tcW w:w="611" w:type="dxa"/>
            <w:vMerge w:val="continue"/>
            <w:tcBorders>
              <w:left w:val="single" w:color="auto" w:sz="4" w:space="0"/>
              <w:right w:val="single" w:color="auto" w:sz="4" w:space="0"/>
            </w:tcBorders>
            <w:shd w:val="clear" w:color="auto" w:fill="auto"/>
            <w:noWrap/>
            <w:vAlign w:val="center"/>
          </w:tcPr>
          <w:p w14:paraId="1D06C812">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2EFAB666">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★五、报价要求</w:t>
            </w:r>
          </w:p>
          <w:p w14:paraId="06B56CF6">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1、机动车辆交通事故责任强制险按国家金融监督管理总局（原为中国银行保险监督管理委员会）制定的《机动车交通事故责任强制保险费率方案》（以最新版本为准）统一执行，无需供应商报价。</w:t>
            </w:r>
          </w:p>
          <w:p w14:paraId="455F1E3E">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机动车商业险实际保费=中国保险行业协会商业车险费率基准（下简称“标准保费”）×无赔款优待系数（NCD系数）×自主定价系数，其中标准保费和无赔款优待系数（NCD系数）所包含的基准纯风险保费、交通违法系数等费率均参照中国保险行业协会拟定的费率基准（费率基准编号为F2015103）执行，因此无需对标准保费及无赔款优待系数（NCD系数），供应商仅需对机动车商业险的自主定价系数进行报价。</w:t>
            </w:r>
          </w:p>
          <w:p w14:paraId="549A9D1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供应商可根据市场供求关系、客户车辆出险等情况确定自主定价系数。根据国家金融监督管理总局（原为中国银行保险监督管理委员会）印发的《中国银保监会关于印发实施车险综合改革指导意见的通知》（银保监发〔2020〕41 号）及《中国银保监会关于进一步扩大商业车险自主定价系数浮动范围等有关事项的通知》（银保监规〔2022〕23号），结合采购人实际情况，本项目商业车险自主定价系数须为50%-100%之间的</w:t>
            </w:r>
            <w:r>
              <w:rPr>
                <w:rFonts w:hint="eastAsia" w:ascii="仿宋" w:hAnsi="仿宋" w:eastAsia="仿宋" w:cs="仿宋"/>
                <w:color w:val="000000"/>
                <w:szCs w:val="21"/>
                <w:highlight w:val="none"/>
                <w:lang w:val="en-US" w:eastAsia="zh-CN"/>
              </w:rPr>
              <w:t>特定</w:t>
            </w:r>
            <w:r>
              <w:rPr>
                <w:rFonts w:hint="eastAsia" w:ascii="仿宋" w:hAnsi="仿宋" w:eastAsia="仿宋" w:cs="仿宋"/>
                <w:color w:val="000000"/>
                <w:szCs w:val="21"/>
                <w:highlight w:val="none"/>
              </w:rPr>
              <w:t>数值，且报价是固定唯一，不能为区间值，超出范围视为无效响应。</w:t>
            </w:r>
          </w:p>
          <w:p w14:paraId="4E6BF54B">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5DE514E4">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73D21088">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31F47095">
        <w:tblPrEx>
          <w:tblCellMar>
            <w:top w:w="0" w:type="dxa"/>
            <w:left w:w="108" w:type="dxa"/>
            <w:bottom w:w="0" w:type="dxa"/>
            <w:right w:w="108" w:type="dxa"/>
          </w:tblCellMar>
        </w:tblPrEx>
        <w:trPr>
          <w:trHeight w:val="687" w:hRule="atLeast"/>
        </w:trPr>
        <w:tc>
          <w:tcPr>
            <w:tcW w:w="611" w:type="dxa"/>
            <w:vMerge w:val="continue"/>
            <w:tcBorders>
              <w:left w:val="single" w:color="auto" w:sz="4" w:space="0"/>
              <w:right w:val="single" w:color="auto" w:sz="4" w:space="0"/>
            </w:tcBorders>
            <w:shd w:val="clear" w:color="auto" w:fill="auto"/>
            <w:noWrap/>
            <w:vAlign w:val="center"/>
          </w:tcPr>
          <w:p w14:paraId="364294EC">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72EDE6F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★六、结算方式</w:t>
            </w:r>
          </w:p>
          <w:p w14:paraId="7F893724">
            <w:pPr>
              <w:keepNext w:val="0"/>
              <w:keepLines w:val="0"/>
              <w:numPr>
                <w:ilvl w:val="0"/>
                <w:numId w:val="0"/>
              </w:numPr>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kern w:val="2"/>
                <w:sz w:val="21"/>
                <w:szCs w:val="21"/>
                <w:lang w:val="en-US" w:eastAsia="zh-CN" w:bidi="ar-SA"/>
              </w:rPr>
              <w:t>1、</w:t>
            </w:r>
            <w:r>
              <w:rPr>
                <w:rFonts w:hint="eastAsia" w:ascii="仿宋" w:hAnsi="仿宋" w:eastAsia="仿宋" w:cs="仿宋"/>
                <w:color w:val="000000"/>
                <w:szCs w:val="21"/>
                <w:highlight w:val="none"/>
              </w:rPr>
              <w:t>保险费按实际购买车辆数据实结算。车辆保险到期前1个月内，供应商须提供服务专员主动上门服务，负责与采购人及时签订车辆保险单，并将《保费缴款通知书》（包含承保车辆明细信息）和支付车辆保险费用的申请送交采购人。经双方对服务车辆清单及费用确认后，采购人对保费予以结算，并在满足支付条件后30日内一次性支付保险费用，供应商根据采购人所支付的保费金额出具合法有效发票和保单，累计支付上限最高不超过25万元。</w:t>
            </w:r>
          </w:p>
          <w:p w14:paraId="6430A6B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bCs/>
                <w:szCs w:val="21"/>
                <w:highlight w:val="none"/>
              </w:rPr>
            </w:pPr>
            <w:r>
              <w:rPr>
                <w:rFonts w:hint="eastAsia" w:ascii="仿宋" w:hAnsi="仿宋" w:eastAsia="仿宋" w:cs="仿宋"/>
                <w:color w:val="000000"/>
                <w:szCs w:val="21"/>
                <w:highlight w:val="none"/>
              </w:rPr>
              <w:t>2、付款方式：采用银行转账形式。</w:t>
            </w:r>
          </w:p>
          <w:p w14:paraId="06D9E069">
            <w:pPr>
              <w:keepNext w:val="0"/>
              <w:keepLines w:val="0"/>
              <w:numPr>
                <w:ilvl w:val="0"/>
                <w:numId w:val="0"/>
              </w:numPr>
              <w:suppressLineNumbers w:val="0"/>
              <w:spacing w:before="0" w:beforeAutospacing="0" w:after="0" w:afterAutospacing="0" w:line="240" w:lineRule="auto"/>
              <w:ind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7A3832DB">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70AD2912">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50378D86">
        <w:tblPrEx>
          <w:tblCellMar>
            <w:top w:w="0" w:type="dxa"/>
            <w:left w:w="108" w:type="dxa"/>
            <w:bottom w:w="0" w:type="dxa"/>
            <w:right w:w="108" w:type="dxa"/>
          </w:tblCellMar>
        </w:tblPrEx>
        <w:trPr>
          <w:trHeight w:val="131" w:hRule="atLeast"/>
        </w:trPr>
        <w:tc>
          <w:tcPr>
            <w:tcW w:w="611" w:type="dxa"/>
            <w:vMerge w:val="continue"/>
            <w:tcBorders>
              <w:left w:val="single" w:color="auto" w:sz="4" w:space="0"/>
              <w:right w:val="single" w:color="auto" w:sz="4" w:space="0"/>
            </w:tcBorders>
            <w:shd w:val="clear" w:color="auto" w:fill="auto"/>
            <w:noWrap/>
            <w:vAlign w:val="center"/>
          </w:tcPr>
          <w:p w14:paraId="6A6F627F">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280F0F12">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★七、违约责任与赔偿损失</w:t>
            </w:r>
          </w:p>
          <w:p w14:paraId="5C4EC65E">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1、供应商提供的服务不符合本合同规定的，采购人有权拒收，并且供应商须向采购人支付本合同总价5%的违约金。</w:t>
            </w:r>
          </w:p>
          <w:p w14:paraId="4037E84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2、供应商未能按本项目合同规定的时间提供承诺的服务，从逾期之日起每日按本合同总价3‰的数额向采购人支付违约金；逾期半个月以上的，采购人有权终止合同，由此造成的采购人经济损失由供应商承担。</w:t>
            </w:r>
          </w:p>
          <w:p w14:paraId="0C4C5394">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3、其他违约责任按《中华人民共和国民法典》处理。</w:t>
            </w:r>
          </w:p>
          <w:p w14:paraId="0835F482">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5047A5F6">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green"/>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2493C17A">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bl>
    <w:p w14:paraId="5584795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8590B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495E88D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1、</w:t>
      </w:r>
      <w:r>
        <w:rPr>
          <w:rFonts w:hint="eastAsia" w:ascii="仿宋" w:hAnsi="仿宋" w:eastAsia="仿宋" w:cs="仿宋"/>
          <w:sz w:val="21"/>
          <w:szCs w:val="21"/>
          <w:highlight w:val="none"/>
          <w:lang w:val="en-US" w:eastAsia="zh-CN"/>
        </w:rPr>
        <w:t>供应商必须全部响应上述要求，才可进入价格比较</w:t>
      </w:r>
      <w:r>
        <w:rPr>
          <w:rFonts w:hint="eastAsia" w:ascii="仿宋" w:hAnsi="仿宋" w:eastAsia="仿宋" w:cs="仿宋"/>
          <w:sz w:val="21"/>
          <w:szCs w:val="21"/>
          <w:highlight w:val="none"/>
        </w:rPr>
        <w:t>。</w:t>
      </w:r>
    </w:p>
    <w:p w14:paraId="2419CA34">
      <w:pPr>
        <w:numPr>
          <w:ilvl w:val="0"/>
          <w:numId w:val="0"/>
        </w:numPr>
        <w:shd w:val="clear" w:color="auto" w:fill="FFFFFF"/>
        <w:ind w:leftChars="-95" w:right="-395" w:rightChars="-188" w:firstLine="422" w:firstLineChars="20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2、承诺以上响应情况属实，如有虚假响应，同意本项目一票否决，并列入采购人失信供应商。</w:t>
      </w:r>
    </w:p>
    <w:p w14:paraId="7A19DED6">
      <w:pPr>
        <w:pStyle w:val="2"/>
        <w:ind w:firstLine="210" w:firstLineChars="1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3、请按照“★”条款响应审查表内的</w:t>
      </w:r>
      <w:r>
        <w:rPr>
          <w:rFonts w:hint="eastAsia" w:ascii="仿宋" w:hAnsi="仿宋" w:eastAsia="仿宋" w:cs="仿宋"/>
          <w:sz w:val="21"/>
          <w:szCs w:val="21"/>
          <w:highlight w:val="none"/>
          <w:lang w:val="en-US" w:eastAsia="zh-CN"/>
        </w:rPr>
        <w:t>要求提供相应的证明文件，并加盖公章，否则视为无效响应。</w:t>
      </w:r>
    </w:p>
    <w:p w14:paraId="2AD5C55A">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7C1C744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1565AA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EF8300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121DEE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ED5C7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B065B7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7B447E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1CAF0A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A85AE3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0C9328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0AE1123">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9"/>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0447D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AF0E8E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9FCD6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4DDF2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F339C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B5781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953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4D0D89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7BEDDFF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1C978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D76E51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22BDB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19CE26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B898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558959CA">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9426DE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719760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010E33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D6F549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C7041C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F030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62C8A8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5C24D65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3B9F18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1F979C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27A671F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71005B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0DE8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8A9FDB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5C4BAE2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29C36D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1E7156B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F11D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177870F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4E487A1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FF0415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285676D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41ABC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344042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341D2E7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D8B1FF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529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04DA80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727AC2A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3674890">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518A3F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737650FA">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8115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2B191E9">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0D6969C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55523E4E">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3CF945F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7D615D0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3F24F7EB">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A22D06E">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10757A56">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14A29D15">
      <w:pPr>
        <w:pStyle w:val="26"/>
        <w:jc w:val="center"/>
        <w:rPr>
          <w:rFonts w:hint="eastAsia" w:ascii="宋体" w:hAnsi="宋体" w:eastAsia="宋体" w:cs="宋体"/>
          <w:b/>
          <w:bCs w:val="0"/>
          <w:sz w:val="32"/>
          <w:szCs w:val="32"/>
          <w:highlight w:val="none"/>
          <w:lang w:val="en-US" w:eastAsia="zh-CN"/>
        </w:rPr>
      </w:pPr>
    </w:p>
    <w:p w14:paraId="4A9C9B26">
      <w:pPr>
        <w:pStyle w:val="26"/>
        <w:jc w:val="center"/>
        <w:rPr>
          <w:rFonts w:hint="eastAsia" w:ascii="宋体" w:hAnsi="宋体" w:eastAsia="宋体" w:cs="宋体"/>
          <w:b/>
          <w:bCs w:val="0"/>
          <w:sz w:val="32"/>
          <w:szCs w:val="32"/>
          <w:highlight w:val="none"/>
          <w:lang w:val="en-US" w:eastAsia="zh-CN"/>
        </w:rPr>
      </w:pPr>
    </w:p>
    <w:p w14:paraId="29149B2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A1237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055177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1B4A5E7">
      <w:pPr>
        <w:pStyle w:val="26"/>
        <w:rPr>
          <w:rFonts w:hint="eastAsia" w:ascii="宋体" w:hAnsi="宋体" w:eastAsia="宋体" w:cs="宋体"/>
          <w:b/>
          <w:bCs w:val="0"/>
          <w:sz w:val="32"/>
          <w:szCs w:val="32"/>
          <w:highlight w:val="none"/>
          <w:lang w:val="en-US" w:eastAsia="zh-CN"/>
        </w:rPr>
      </w:pPr>
    </w:p>
    <w:p w14:paraId="07282C36">
      <w:pPr>
        <w:pStyle w:val="26"/>
        <w:jc w:val="center"/>
        <w:rPr>
          <w:rFonts w:hint="eastAsia" w:ascii="宋体" w:hAnsi="宋体" w:eastAsia="宋体" w:cs="宋体"/>
          <w:b/>
          <w:bCs w:val="0"/>
          <w:sz w:val="32"/>
          <w:szCs w:val="32"/>
          <w:highlight w:val="none"/>
          <w:lang w:val="en-US" w:eastAsia="zh-CN"/>
        </w:rPr>
      </w:pPr>
    </w:p>
    <w:p w14:paraId="16E0BF65">
      <w:pPr>
        <w:pStyle w:val="26"/>
        <w:jc w:val="center"/>
        <w:rPr>
          <w:rFonts w:hint="eastAsia" w:ascii="宋体" w:hAnsi="宋体" w:eastAsia="宋体" w:cs="宋体"/>
          <w:b/>
          <w:bCs w:val="0"/>
          <w:sz w:val="32"/>
          <w:szCs w:val="32"/>
          <w:highlight w:val="none"/>
          <w:lang w:val="en-US" w:eastAsia="zh-CN"/>
        </w:rPr>
      </w:pPr>
    </w:p>
    <w:p w14:paraId="2B460651">
      <w:pPr>
        <w:pStyle w:val="26"/>
        <w:jc w:val="center"/>
        <w:rPr>
          <w:rFonts w:hint="eastAsia" w:ascii="宋体" w:hAnsi="宋体" w:eastAsia="宋体" w:cs="宋体"/>
          <w:b/>
          <w:bCs w:val="0"/>
          <w:sz w:val="32"/>
          <w:szCs w:val="32"/>
          <w:highlight w:val="none"/>
          <w:lang w:val="en-US" w:eastAsia="zh-CN"/>
        </w:rPr>
      </w:pPr>
    </w:p>
    <w:p w14:paraId="06BE47BA">
      <w:pPr>
        <w:pStyle w:val="26"/>
        <w:jc w:val="center"/>
        <w:rPr>
          <w:rFonts w:hint="eastAsia" w:ascii="宋体" w:hAnsi="宋体" w:eastAsia="宋体" w:cs="宋体"/>
          <w:b/>
          <w:bCs w:val="0"/>
          <w:sz w:val="32"/>
          <w:szCs w:val="32"/>
          <w:highlight w:val="none"/>
          <w:lang w:val="en-US" w:eastAsia="zh-CN"/>
        </w:rPr>
      </w:pPr>
    </w:p>
    <w:p w14:paraId="75F47D9A">
      <w:pPr>
        <w:pStyle w:val="26"/>
        <w:jc w:val="center"/>
        <w:rPr>
          <w:rFonts w:hint="eastAsia" w:ascii="宋体" w:hAnsi="宋体" w:eastAsia="宋体" w:cs="宋体"/>
          <w:b/>
          <w:bCs w:val="0"/>
          <w:sz w:val="32"/>
          <w:szCs w:val="32"/>
          <w:highlight w:val="none"/>
          <w:lang w:val="en-US" w:eastAsia="zh-CN"/>
        </w:rPr>
      </w:pPr>
    </w:p>
    <w:p w14:paraId="795A1C0B">
      <w:pPr>
        <w:pStyle w:val="26"/>
        <w:ind w:left="0" w:leftChars="0" w:firstLine="0" w:firstLineChars="0"/>
        <w:jc w:val="both"/>
        <w:rPr>
          <w:rFonts w:hint="eastAsia" w:ascii="宋体" w:hAnsi="宋体" w:eastAsia="宋体" w:cs="宋体"/>
          <w:b/>
          <w:bCs w:val="0"/>
          <w:sz w:val="32"/>
          <w:szCs w:val="32"/>
          <w:highlight w:val="none"/>
          <w:lang w:val="en-US" w:eastAsia="zh-CN"/>
        </w:rPr>
      </w:pPr>
    </w:p>
    <w:p w14:paraId="39766B26">
      <w:pPr>
        <w:pStyle w:val="26"/>
        <w:ind w:left="0" w:leftChars="0" w:firstLine="0" w:firstLineChars="0"/>
        <w:jc w:val="both"/>
        <w:rPr>
          <w:rFonts w:hint="eastAsia" w:ascii="宋体" w:hAnsi="宋体" w:eastAsia="宋体" w:cs="宋体"/>
          <w:b/>
          <w:bCs w:val="0"/>
          <w:sz w:val="32"/>
          <w:szCs w:val="32"/>
          <w:highlight w:val="none"/>
          <w:lang w:val="en-US" w:eastAsia="zh-CN"/>
        </w:rPr>
      </w:pPr>
    </w:p>
    <w:p w14:paraId="5E9F7346">
      <w:pPr>
        <w:shd w:val="clear" w:color="auto" w:fill="FFFFFF"/>
        <w:jc w:val="center"/>
        <w:rPr>
          <w:rFonts w:hint="eastAsia" w:ascii="仿宋" w:hAnsi="仿宋" w:eastAsia="仿宋" w:cs="仿宋"/>
          <w:b/>
          <w:bCs/>
          <w:sz w:val="32"/>
          <w:szCs w:val="32"/>
          <w:highlight w:val="none"/>
          <w:lang w:val="en-US" w:eastAsia="zh-CN"/>
        </w:rPr>
      </w:pPr>
    </w:p>
    <w:p w14:paraId="0AB5512C">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9"/>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75E93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BD189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131DC7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C51B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D366EF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D29AE3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D55E0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F14EA8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9E56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F3EDE3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CD1BCA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1C6BB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8755DE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DA1B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3DA8E7E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1ECC4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4AF02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4A1298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8C650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6C93CF2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7697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7B551DD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945D5C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194BFD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086E7F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60E18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7FBFD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8B21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38E44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D3A0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C7F93F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27C7A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F85651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925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6848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360AEA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FDC873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77ED19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434E64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6F320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008C26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CE43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7981F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4CE159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0C04D0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4F166A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57D3BD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24E787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01F31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172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96206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B9B2C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D7552F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8161CF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CBABD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A9B60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DE178B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221B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F4EEA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385AF8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8C277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488DDB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702698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70182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5C501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5E1BC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234C4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7089F8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075224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7F51B3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C1CFE4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F6EE38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CF732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3FD28306">
      <w:pPr>
        <w:shd w:val="clear" w:color="auto" w:fill="FFFFFF"/>
        <w:jc w:val="left"/>
        <w:rPr>
          <w:rFonts w:hint="eastAsia" w:ascii="仿宋" w:hAnsi="仿宋" w:eastAsia="仿宋" w:cs="仿宋"/>
          <w:szCs w:val="21"/>
          <w:highlight w:val="none"/>
        </w:rPr>
      </w:pPr>
    </w:p>
    <w:p w14:paraId="29120A76">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5DECC13">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02A35E89">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171A520E">
      <w:pPr>
        <w:pStyle w:val="26"/>
        <w:rPr>
          <w:rFonts w:hint="eastAsia" w:ascii="仿宋" w:hAnsi="仿宋" w:eastAsia="仿宋" w:cs="仿宋"/>
          <w:highlight w:val="none"/>
        </w:rPr>
      </w:pPr>
    </w:p>
    <w:p w14:paraId="56B9A8C3">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15B9E171">
      <w:pPr>
        <w:pStyle w:val="26"/>
        <w:jc w:val="center"/>
        <w:rPr>
          <w:rFonts w:hint="eastAsia" w:ascii="宋体" w:hAnsi="宋体" w:eastAsia="宋体" w:cs="宋体"/>
          <w:b/>
          <w:bCs w:val="0"/>
          <w:sz w:val="32"/>
          <w:szCs w:val="32"/>
          <w:highlight w:val="none"/>
          <w:lang w:val="en-US" w:eastAsia="zh-CN"/>
        </w:rPr>
      </w:pPr>
    </w:p>
    <w:p w14:paraId="149961E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CCA902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47523B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20CBD6D">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098C9EDC">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51D082A6">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0D079343">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val="en-US" w:eastAsia="zh-CN"/>
        </w:rPr>
        <w:t>证明文件</w:t>
      </w:r>
      <w:r>
        <w:rPr>
          <w:rFonts w:hint="eastAsia" w:ascii="仿宋" w:hAnsi="仿宋" w:eastAsia="仿宋" w:cs="仿宋"/>
          <w:b/>
          <w:bCs w:val="0"/>
          <w:sz w:val="24"/>
          <w:szCs w:val="24"/>
          <w:highlight w:val="none"/>
          <w:lang w:val="en-US" w:eastAsia="zh-CN"/>
        </w:rPr>
        <w:t>（如有）</w:t>
      </w:r>
    </w:p>
    <w:p w14:paraId="13563A7B">
      <w:pPr>
        <w:pStyle w:val="26"/>
        <w:ind w:left="0" w:leftChars="0" w:firstLine="0" w:firstLineChars="0"/>
        <w:jc w:val="both"/>
        <w:rPr>
          <w:rFonts w:hint="default"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（1）“★”条款响应承诺函</w:t>
      </w:r>
    </w:p>
    <w:p w14:paraId="49DE8D00">
      <w:pPr>
        <w:pStyle w:val="2"/>
        <w:spacing w:line="364" w:lineRule="auto"/>
        <w:ind w:right="706" w:rightChars="0" w:firstLine="720" w:firstLineChars="300"/>
        <w:rPr>
          <w:rFonts w:hint="eastAsia" w:ascii="仿宋" w:hAnsi="仿宋" w:eastAsia="仿宋" w:cs="仿宋"/>
          <w:sz w:val="24"/>
          <w:szCs w:val="36"/>
          <w:lang w:val="en-US" w:eastAsia="zh-CN"/>
        </w:rPr>
      </w:pPr>
      <w:r>
        <w:rPr>
          <w:rFonts w:hint="eastAsia" w:ascii="仿宋" w:hAnsi="仿宋" w:eastAsia="仿宋" w:cs="仿宋"/>
        </w:rPr>
        <w:t>采购项目名称：中山大学孙逸仙纪念医院2026-2028年公务车辆保险服务采购项目</w:t>
      </w:r>
    </w:p>
    <w:p w14:paraId="208AAB4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致：中山大学</w:t>
      </w:r>
      <w:r>
        <w:rPr>
          <w:rFonts w:hint="eastAsia" w:ascii="仿宋" w:hAnsi="仿宋" w:eastAsia="仿宋" w:cs="仿宋"/>
          <w:color w:val="auto"/>
          <w:sz w:val="24"/>
          <w:szCs w:val="24"/>
          <w:highlight w:val="none"/>
          <w:lang w:val="en-US" w:eastAsia="zh-CN"/>
        </w:rPr>
        <w:t>孙逸仙纪念</w:t>
      </w:r>
      <w:r>
        <w:rPr>
          <w:rFonts w:hint="eastAsia" w:ascii="仿宋" w:hAnsi="仿宋" w:eastAsia="仿宋" w:cs="仿宋"/>
          <w:color w:val="auto"/>
          <w:sz w:val="24"/>
          <w:szCs w:val="24"/>
          <w:highlight w:val="none"/>
        </w:rPr>
        <w:t>医院</w:t>
      </w:r>
    </w:p>
    <w:p w14:paraId="2500BD80">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依据中山大学孙逸仙纪念医院2026-2028年公务车辆保险服务采购项目院内谈判文件中“★”条款要求，在此，我方承诺如下：</w:t>
      </w:r>
    </w:p>
    <w:p w14:paraId="1E500805">
      <w:pPr>
        <w:pStyle w:val="26"/>
        <w:ind w:left="0" w:leftChars="0" w:firstLine="0" w:firstLineChars="0"/>
        <w:rPr>
          <w:rFonts w:hint="default" w:ascii="仿宋" w:hAnsi="仿宋" w:eastAsia="仿宋" w:cs="仿宋"/>
          <w:color w:val="auto"/>
          <w:szCs w:val="21"/>
          <w:u w:val="single"/>
          <w:lang w:val="en-US" w:eastAsia="zh-CN"/>
        </w:rPr>
      </w:pPr>
      <w:r>
        <w:rPr>
          <w:rFonts w:hint="eastAsia" w:ascii="仿宋" w:hAnsi="仿宋" w:eastAsia="仿宋" w:cs="仿宋"/>
          <w:color w:val="auto"/>
          <w:szCs w:val="21"/>
          <w:u w:val="none"/>
          <w:lang w:val="en-US" w:eastAsia="zh-CN"/>
        </w:rPr>
        <w:t xml:space="preserve">     </w:t>
      </w:r>
      <w:r>
        <w:rPr>
          <w:rFonts w:hint="eastAsia" w:ascii="仿宋" w:hAnsi="仿宋" w:eastAsia="仿宋" w:cs="仿宋"/>
          <w:color w:val="auto"/>
          <w:szCs w:val="21"/>
          <w:u w:val="single"/>
          <w:lang w:val="en-US" w:eastAsia="zh-CN"/>
        </w:rPr>
        <w:t xml:space="preserve">                                                                                            </w:t>
      </w:r>
    </w:p>
    <w:p w14:paraId="43241C66">
      <w:pPr>
        <w:pStyle w:val="26"/>
        <w:ind w:left="0" w:leftChars="0" w:firstLine="0" w:firstLineChars="0"/>
        <w:rPr>
          <w:rFonts w:hint="default" w:ascii="仿宋" w:hAnsi="仿宋" w:eastAsia="仿宋" w:cs="仿宋"/>
          <w:color w:val="auto"/>
          <w:szCs w:val="21"/>
          <w:u w:val="single"/>
          <w:lang w:val="en-US" w:eastAsia="zh-CN"/>
        </w:rPr>
      </w:pPr>
      <w:r>
        <w:rPr>
          <w:rFonts w:hint="eastAsia" w:ascii="仿宋" w:hAnsi="仿宋" w:eastAsia="仿宋" w:cs="仿宋"/>
          <w:color w:val="auto"/>
          <w:szCs w:val="21"/>
          <w:u w:val="single"/>
          <w:lang w:val="en-US" w:eastAsia="zh-CN"/>
        </w:rPr>
        <w:t xml:space="preserve">                                                                                                 </w:t>
      </w:r>
    </w:p>
    <w:p w14:paraId="57E93148">
      <w:pPr>
        <w:pStyle w:val="26"/>
        <w:ind w:left="0" w:leftChars="0" w:firstLine="0" w:firstLineChars="0"/>
        <w:rPr>
          <w:rFonts w:hint="eastAsia" w:ascii="仿宋" w:hAnsi="仿宋" w:eastAsia="仿宋" w:cs="仿宋"/>
          <w:color w:val="auto"/>
          <w:szCs w:val="21"/>
          <w:lang w:val="en-GB"/>
        </w:rPr>
      </w:pPr>
    </w:p>
    <w:p w14:paraId="6ED22FD7">
      <w:pPr>
        <w:pStyle w:val="26"/>
        <w:ind w:left="0" w:leftChars="0" w:firstLine="0" w:firstLineChars="0"/>
        <w:rPr>
          <w:rFonts w:hint="eastAsia" w:ascii="仿宋" w:hAnsi="仿宋" w:eastAsia="仿宋" w:cs="仿宋"/>
          <w:color w:val="auto"/>
          <w:szCs w:val="21"/>
          <w:lang w:val="en-GB"/>
        </w:rPr>
      </w:pPr>
    </w:p>
    <w:p w14:paraId="3B03DBBF">
      <w:pPr>
        <w:pStyle w:val="26"/>
        <w:ind w:left="0" w:leftChars="0" w:firstLine="0" w:firstLineChars="0"/>
        <w:rPr>
          <w:rFonts w:hint="eastAsia" w:ascii="仿宋" w:hAnsi="仿宋" w:eastAsia="仿宋" w:cs="仿宋"/>
          <w:color w:val="auto"/>
          <w:szCs w:val="21"/>
          <w:lang w:val="en-GB"/>
        </w:rPr>
      </w:pPr>
    </w:p>
    <w:p w14:paraId="239BDCB5">
      <w:pPr>
        <w:pStyle w:val="26"/>
        <w:ind w:left="0" w:leftChars="0" w:firstLine="0" w:firstLineChars="0"/>
        <w:rPr>
          <w:rFonts w:hint="eastAsia" w:ascii="仿宋" w:hAnsi="仿宋" w:eastAsia="仿宋" w:cs="仿宋"/>
          <w:color w:val="auto"/>
          <w:szCs w:val="21"/>
          <w:lang w:val="en-GB"/>
        </w:rPr>
      </w:pPr>
    </w:p>
    <w:p w14:paraId="79D0DAE6">
      <w:pPr>
        <w:pStyle w:val="26"/>
        <w:ind w:left="0" w:leftChars="0" w:firstLine="0" w:firstLineChars="0"/>
        <w:rPr>
          <w:rFonts w:hint="default" w:ascii="仿宋" w:hAnsi="仿宋" w:eastAsia="仿宋" w:cs="仿宋"/>
          <w:sz w:val="21"/>
          <w:szCs w:val="28"/>
          <w:lang w:val="en-US" w:eastAsia="zh-CN"/>
        </w:rPr>
      </w:pPr>
      <w:r>
        <w:rPr>
          <w:rFonts w:hint="eastAsia" w:ascii="仿宋" w:hAnsi="仿宋" w:eastAsia="仿宋" w:cs="仿宋"/>
          <w:color w:val="auto"/>
          <w:sz w:val="21"/>
          <w:szCs w:val="22"/>
          <w:lang w:val="en-GB"/>
        </w:rPr>
        <w:t>注：1.“★”条款响应</w:t>
      </w:r>
      <w:r>
        <w:rPr>
          <w:rFonts w:hint="eastAsia" w:ascii="仿宋" w:hAnsi="仿宋" w:eastAsia="仿宋" w:cs="仿宋"/>
          <w:color w:val="auto"/>
          <w:sz w:val="21"/>
          <w:szCs w:val="22"/>
          <w:lang w:val="en-US" w:eastAsia="zh-CN"/>
        </w:rPr>
        <w:t>承诺函须按照“★”条款内容一一响应，具体格式内容自拟，内容可合并在同一个承诺函内，也可分开出具不同承诺函。</w:t>
      </w:r>
    </w:p>
    <w:p w14:paraId="550F2471">
      <w:pPr>
        <w:numPr>
          <w:ilvl w:val="0"/>
          <w:numId w:val="0"/>
        </w:numPr>
        <w:shd w:val="clear" w:color="auto" w:fill="FFFFFF"/>
        <w:ind w:leftChars="-95" w:right="-395" w:rightChars="-188" w:firstLine="422" w:firstLineChars="20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2.承诺以上响应情况属实，如有虚假响应，同意本项目一票否决，并列入采购人失信供应商。</w:t>
      </w:r>
    </w:p>
    <w:p w14:paraId="6AE9C0E2">
      <w:pPr>
        <w:pStyle w:val="26"/>
        <w:ind w:left="0" w:leftChars="0" w:firstLine="0" w:firstLineChars="0"/>
        <w:rPr>
          <w:rFonts w:hint="eastAsia" w:ascii="仿宋" w:hAnsi="仿宋" w:eastAsia="仿宋" w:cs="仿宋"/>
        </w:rPr>
      </w:pPr>
    </w:p>
    <w:p w14:paraId="76E9E256">
      <w:pPr>
        <w:pStyle w:val="26"/>
        <w:ind w:left="0" w:leftChars="0" w:firstLine="0" w:firstLineChars="0"/>
        <w:rPr>
          <w:rFonts w:hint="eastAsia" w:ascii="仿宋" w:hAnsi="仿宋" w:eastAsia="仿宋" w:cs="仿宋"/>
        </w:rPr>
      </w:pPr>
    </w:p>
    <w:p w14:paraId="35E16AC9">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54621A59">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2652F151">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6FD1AB69">
      <w:pPr>
        <w:pStyle w:val="26"/>
        <w:ind w:left="0" w:leftChars="0" w:firstLine="0" w:firstLineChars="0"/>
        <w:jc w:val="center"/>
        <w:rPr>
          <w:rFonts w:hint="eastAsia" w:ascii="仿宋" w:hAnsi="仿宋" w:eastAsia="仿宋" w:cs="仿宋"/>
          <w:b/>
          <w:bCs w:val="0"/>
          <w:sz w:val="32"/>
          <w:szCs w:val="32"/>
          <w:highlight w:val="none"/>
          <w:lang w:val="en-US" w:eastAsia="zh-CN"/>
        </w:rPr>
      </w:pPr>
    </w:p>
    <w:p w14:paraId="6E88A0B0">
      <w:pPr>
        <w:pStyle w:val="26"/>
        <w:ind w:left="0" w:leftChars="0" w:firstLine="0" w:firstLineChars="0"/>
        <w:jc w:val="left"/>
        <w:rPr>
          <w:rFonts w:hint="eastAsia" w:ascii="仿宋" w:hAnsi="仿宋" w:eastAsia="仿宋" w:cs="仿宋"/>
          <w:b/>
          <w:bCs w:val="0"/>
          <w:sz w:val="28"/>
          <w:szCs w:val="28"/>
          <w:highlight w:val="none"/>
          <w:lang w:val="en-US" w:eastAsia="zh-CN"/>
        </w:rPr>
      </w:pPr>
    </w:p>
    <w:p w14:paraId="7F1B1F3A">
      <w:pPr>
        <w:pStyle w:val="26"/>
        <w:ind w:left="0" w:leftChars="0" w:firstLine="0" w:firstLineChars="0"/>
        <w:jc w:val="left"/>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（2）其它重要事项说明及承诺（如有）</w:t>
      </w:r>
    </w:p>
    <w:p w14:paraId="51C884A7">
      <w:pPr>
        <w:pageBreakBefore w:val="0"/>
        <w:kinsoku/>
        <w:wordWrap/>
        <w:overflowPunct/>
        <w:topLinePunct w:val="0"/>
        <w:bidi w:val="0"/>
        <w:spacing w:line="360" w:lineRule="auto"/>
        <w:ind w:right="0" w:rightChars="0"/>
        <w:jc w:val="center"/>
        <w:rPr>
          <w:rFonts w:hint="eastAsia" w:ascii="仿宋" w:hAnsi="仿宋" w:eastAsia="仿宋" w:cs="仿宋"/>
          <w:color w:val="auto"/>
          <w:sz w:val="24"/>
          <w:lang w:val="en-US" w:eastAsia="zh-CN"/>
        </w:rPr>
      </w:pPr>
    </w:p>
    <w:p w14:paraId="32445D08">
      <w:pPr>
        <w:pStyle w:val="3"/>
        <w:rPr>
          <w:rFonts w:hint="eastAsia" w:ascii="仿宋" w:hAnsi="仿宋" w:eastAsia="仿宋" w:cs="仿宋"/>
          <w:color w:val="auto"/>
          <w:sz w:val="24"/>
          <w:lang w:val="en-US" w:eastAsia="zh-CN"/>
        </w:rPr>
      </w:pPr>
    </w:p>
    <w:p w14:paraId="16939EE0">
      <w:pPr>
        <w:rPr>
          <w:rFonts w:hint="eastAsia" w:ascii="仿宋" w:hAnsi="仿宋" w:eastAsia="仿宋" w:cs="仿宋"/>
          <w:color w:val="auto"/>
          <w:sz w:val="24"/>
          <w:lang w:val="en-US" w:eastAsia="zh-CN"/>
        </w:rPr>
      </w:pPr>
    </w:p>
    <w:p w14:paraId="571BFB8F">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E525A7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3407DCE">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DB06199"/>
    <w:sectPr>
      <w:headerReference r:id="rId5" w:type="default"/>
      <w:footerReference r:id="rId6"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C03812-1AD0-4D97-B322-F9287F3A84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29BE91A6-36CB-4F7F-94CB-13C5FD99DC3B}"/>
  </w:font>
  <w:font w:name="微软雅黑">
    <w:panose1 w:val="020B0503020204020204"/>
    <w:charset w:val="86"/>
    <w:family w:val="auto"/>
    <w:pitch w:val="default"/>
    <w:sig w:usb0="80000287" w:usb1="2ACF3C50" w:usb2="00000016" w:usb3="00000000" w:csb0="0004001F" w:csb1="00000000"/>
    <w:embedRegular r:id="rId3" w:fontKey="{944937C6-AB9E-49E1-B51F-D32BCA7B28D5}"/>
  </w:font>
  <w:font w:name="仿宋">
    <w:panose1 w:val="02010609060101010101"/>
    <w:charset w:val="86"/>
    <w:family w:val="auto"/>
    <w:pitch w:val="default"/>
    <w:sig w:usb0="800002BF" w:usb1="38CF7CFA" w:usb2="00000016" w:usb3="00000000" w:csb0="00040001" w:csb1="00000000"/>
    <w:embedRegular r:id="rId4" w:fontKey="{006328AE-C491-476D-B9EA-C48FE9793ACB}"/>
  </w:font>
  <w:font w:name="华文中宋">
    <w:panose1 w:val="02010600040101010101"/>
    <w:charset w:val="86"/>
    <w:family w:val="auto"/>
    <w:pitch w:val="default"/>
    <w:sig w:usb0="00000287" w:usb1="080F0000" w:usb2="00000000" w:usb3="00000000" w:csb0="0004009F" w:csb1="DFD70000"/>
    <w:embedRegular r:id="rId5" w:fontKey="{1C2B8B9F-A939-41B0-8111-3C0EC707D92D}"/>
  </w:font>
  <w:font w:name="华文仿宋">
    <w:panose1 w:val="02010600040101010101"/>
    <w:charset w:val="86"/>
    <w:family w:val="auto"/>
    <w:pitch w:val="default"/>
    <w:sig w:usb0="00000287" w:usb1="080F0000" w:usb2="00000000" w:usb3="00000000" w:csb0="0004009F" w:csb1="DFD70000"/>
    <w:embedRegular r:id="rId6" w:fontKey="{4FAB25DC-6569-4518-AC60-BFEEC6098AD0}"/>
  </w:font>
  <w:font w:name="Tahoma">
    <w:panose1 w:val="020B0604030504040204"/>
    <w:charset w:val="00"/>
    <w:family w:val="auto"/>
    <w:pitch w:val="default"/>
    <w:sig w:usb0="E1002EFF" w:usb1="C000605B" w:usb2="00000029" w:usb3="00000000" w:csb0="200101FF" w:csb1="20280000"/>
    <w:embedRegular r:id="rId7" w:fontKey="{0C7DB467-AA7E-4C96-816D-8FD44F199103}"/>
  </w:font>
  <w:font w:name="Calibri Light">
    <w:panose1 w:val="020F0302020204030204"/>
    <w:charset w:val="00"/>
    <w:family w:val="swiss"/>
    <w:pitch w:val="default"/>
    <w:sig w:usb0="E0002AFF" w:usb1="C000247B" w:usb2="00000009" w:usb3="00000000" w:csb0="200001FF" w:csb1="00000000"/>
    <w:embedRegular r:id="rId8" w:fontKey="{C787CA8F-0A35-42B5-B357-05D856305E6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2F25">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4A26">
    <w:pPr>
      <w:pStyle w:val="13"/>
      <w:rPr>
        <w:rFonts w:hint="eastAsia"/>
        <w:sz w:val="18"/>
        <w:szCs w:val="24"/>
      </w:rPr>
    </w:pPr>
  </w:p>
  <w:p w14:paraId="2274D667">
    <w:pPr>
      <w:pStyle w:val="13"/>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5C0976">
                          <w:pPr>
                            <w:pStyle w:val="13"/>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48</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205C0976">
                    <w:pPr>
                      <w:pStyle w:val="13"/>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48</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CC32">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03C6">
    <w:pPr>
      <w:pStyle w:val="14"/>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26A7D"/>
    <w:multiLevelType w:val="singleLevel"/>
    <w:tmpl w:val="9A726A7D"/>
    <w:lvl w:ilvl="0" w:tentative="0">
      <w:start w:val="2"/>
      <w:numFmt w:val="decimal"/>
      <w:lvlText w:val="%1."/>
      <w:lvlJc w:val="left"/>
      <w:pPr>
        <w:tabs>
          <w:tab w:val="left" w:pos="312"/>
        </w:tabs>
      </w:pPr>
    </w:lvl>
  </w:abstractNum>
  <w:abstractNum w:abstractNumId="1">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2">
    <w:nsid w:val="00000004"/>
    <w:multiLevelType w:val="singleLevel"/>
    <w:tmpl w:val="00000004"/>
    <w:lvl w:ilvl="0" w:tentative="0">
      <w:start w:val="5"/>
      <w:numFmt w:val="chineseCounting"/>
      <w:suff w:val="nothing"/>
      <w:lvlText w:val="（%1）"/>
      <w:lvlJc w:val="left"/>
      <w:rPr>
        <w:rFonts w:hint="eastAsia"/>
      </w:rPr>
    </w:lvl>
  </w:abstractNum>
  <w:abstractNum w:abstractNumId="3">
    <w:nsid w:val="00000006"/>
    <w:multiLevelType w:val="multilevel"/>
    <w:tmpl w:val="00000006"/>
    <w:lvl w:ilvl="0" w:tentative="0">
      <w:start w:val="1"/>
      <w:numFmt w:val="decimal"/>
      <w:suff w:val="nothing"/>
      <w:lvlText w:val="%1、"/>
      <w:lvlJc w:val="left"/>
      <w:pPr>
        <w:ind w:left="70"/>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0000007"/>
    <w:multiLevelType w:val="singleLevel"/>
    <w:tmpl w:val="00000007"/>
    <w:lvl w:ilvl="0" w:tentative="0">
      <w:start w:val="1"/>
      <w:numFmt w:val="decimal"/>
      <w:suff w:val="nothing"/>
      <w:lvlText w:val="%1、"/>
      <w:lvlJc w:val="left"/>
    </w:lvl>
  </w:abstractNum>
  <w:abstractNum w:abstractNumId="5">
    <w:nsid w:val="2BFE6D92"/>
    <w:multiLevelType w:val="singleLevel"/>
    <w:tmpl w:val="2BFE6D92"/>
    <w:lvl w:ilvl="0" w:tentative="0">
      <w:start w:val="2"/>
      <w:numFmt w:val="chineseCounting"/>
      <w:suff w:val="nothing"/>
      <w:lvlText w:val="（%1）"/>
      <w:lvlJc w:val="left"/>
      <w:rPr>
        <w:rFonts w:hint="eastAsia"/>
      </w:rPr>
    </w:lvl>
  </w:abstractNum>
  <w:abstractNum w:abstractNumId="6">
    <w:nsid w:val="3F0C7B0D"/>
    <w:multiLevelType w:val="singleLevel"/>
    <w:tmpl w:val="3F0C7B0D"/>
    <w:lvl w:ilvl="0" w:tentative="0">
      <w:start w:val="1"/>
      <w:numFmt w:val="decimal"/>
      <w:suff w:val="nothing"/>
      <w:lvlText w:val="%1、"/>
      <w:lvlJc w:val="left"/>
    </w:lvl>
  </w:abstractNum>
  <w:abstractNum w:abstractNumId="7">
    <w:nsid w:val="481AEBD5"/>
    <w:multiLevelType w:val="singleLevel"/>
    <w:tmpl w:val="481AEBD5"/>
    <w:lvl w:ilvl="0" w:tentative="0">
      <w:start w:val="1"/>
      <w:numFmt w:val="decimal"/>
      <w:suff w:val="nothing"/>
      <w:lvlText w:val="%1、"/>
      <w:lvlJc w:val="left"/>
    </w:lvl>
  </w:abstractNum>
  <w:num w:numId="1">
    <w:abstractNumId w:val="7"/>
  </w:num>
  <w:num w:numId="2">
    <w:abstractNumId w:val="6"/>
  </w:num>
  <w:num w:numId="3">
    <w:abstractNumId w:val="0"/>
  </w:num>
  <w:num w:numId="4">
    <w:abstractNumId w:val="1"/>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D5FE2"/>
    <w:rsid w:val="00866A91"/>
    <w:rsid w:val="02BB3C7C"/>
    <w:rsid w:val="03F1578E"/>
    <w:rsid w:val="06A04B76"/>
    <w:rsid w:val="0BEB6D98"/>
    <w:rsid w:val="0CFF55C0"/>
    <w:rsid w:val="0E9C4BC2"/>
    <w:rsid w:val="0F7D5FE2"/>
    <w:rsid w:val="10A20470"/>
    <w:rsid w:val="115D6CCC"/>
    <w:rsid w:val="179126C2"/>
    <w:rsid w:val="18EB6EE6"/>
    <w:rsid w:val="1A420699"/>
    <w:rsid w:val="1D1F268A"/>
    <w:rsid w:val="1D750D86"/>
    <w:rsid w:val="1DF8756C"/>
    <w:rsid w:val="1F6E1960"/>
    <w:rsid w:val="208512E0"/>
    <w:rsid w:val="20AC5498"/>
    <w:rsid w:val="25455276"/>
    <w:rsid w:val="285100CD"/>
    <w:rsid w:val="29F83D52"/>
    <w:rsid w:val="2CDF446E"/>
    <w:rsid w:val="2D792029"/>
    <w:rsid w:val="303D5733"/>
    <w:rsid w:val="31492EA1"/>
    <w:rsid w:val="32AA04CA"/>
    <w:rsid w:val="35BC610F"/>
    <w:rsid w:val="379C5435"/>
    <w:rsid w:val="390E0BFA"/>
    <w:rsid w:val="3D385C00"/>
    <w:rsid w:val="3DD22E3D"/>
    <w:rsid w:val="3FFB252B"/>
    <w:rsid w:val="404F553D"/>
    <w:rsid w:val="41E81277"/>
    <w:rsid w:val="42BB1B2E"/>
    <w:rsid w:val="42CD0F08"/>
    <w:rsid w:val="43A63197"/>
    <w:rsid w:val="44F41828"/>
    <w:rsid w:val="4B4B11F4"/>
    <w:rsid w:val="4B774AB6"/>
    <w:rsid w:val="4E9D1D67"/>
    <w:rsid w:val="52495AB5"/>
    <w:rsid w:val="53265F8B"/>
    <w:rsid w:val="53806DAF"/>
    <w:rsid w:val="53A03DC0"/>
    <w:rsid w:val="548755D7"/>
    <w:rsid w:val="5627460C"/>
    <w:rsid w:val="59633DE4"/>
    <w:rsid w:val="5B0E0A54"/>
    <w:rsid w:val="5B500161"/>
    <w:rsid w:val="5B7461AA"/>
    <w:rsid w:val="5D6B26D6"/>
    <w:rsid w:val="60D179E5"/>
    <w:rsid w:val="61905A69"/>
    <w:rsid w:val="62F6227E"/>
    <w:rsid w:val="66B33BA5"/>
    <w:rsid w:val="671C22FB"/>
    <w:rsid w:val="673B1E91"/>
    <w:rsid w:val="692E3A9A"/>
    <w:rsid w:val="6C142413"/>
    <w:rsid w:val="6FD4604B"/>
    <w:rsid w:val="71B31D58"/>
    <w:rsid w:val="72E7505E"/>
    <w:rsid w:val="73701BB8"/>
    <w:rsid w:val="77F14686"/>
    <w:rsid w:val="797C6B77"/>
    <w:rsid w:val="798E2134"/>
    <w:rsid w:val="7D14699F"/>
    <w:rsid w:val="7D364285"/>
    <w:rsid w:val="7DE57120"/>
    <w:rsid w:val="7EA36676"/>
    <w:rsid w:val="7EB36B2A"/>
    <w:rsid w:val="7F975613"/>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0"/>
      <w:szCs w:val="20"/>
    </w:r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8">
    <w:name w:val="annotatio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bidi="ar"/>
    </w:rPr>
  </w:style>
  <w:style w:type="paragraph" w:styleId="9">
    <w:name w:val="Body Text 3"/>
    <w:basedOn w:val="1"/>
    <w:qFormat/>
    <w:uiPriority w:val="99"/>
    <w:pPr>
      <w:spacing w:after="120"/>
    </w:pPr>
    <w:rPr>
      <w:sz w:val="16"/>
      <w:szCs w:val="16"/>
    </w:rPr>
  </w:style>
  <w:style w:type="paragraph" w:styleId="10">
    <w:name w:val="Body Text Indent"/>
    <w:basedOn w:val="1"/>
    <w:next w:val="11"/>
    <w:qFormat/>
    <w:uiPriority w:val="0"/>
    <w:pPr>
      <w:ind w:firstLine="570"/>
    </w:pPr>
    <w:rPr>
      <w:rFonts w:ascii="宋体" w:hAnsi="宋体"/>
      <w:sz w:val="28"/>
      <w:szCs w:val="20"/>
    </w:rPr>
  </w:style>
  <w:style w:type="paragraph" w:customStyle="1" w:styleId="11">
    <w:name w:val="font5"/>
    <w:basedOn w:val="1"/>
    <w:qFormat/>
    <w:uiPriority w:val="0"/>
    <w:pPr>
      <w:widowControl/>
      <w:spacing w:before="100" w:beforeAutospacing="1" w:after="100" w:afterAutospacing="1"/>
      <w:jc w:val="left"/>
    </w:pPr>
    <w:rPr>
      <w:rFonts w:ascii="宋体" w:hAnsi="宋体"/>
      <w:kern w:val="0"/>
      <w:sz w:val="18"/>
      <w:szCs w:val="18"/>
    </w:rPr>
  </w:style>
  <w:style w:type="paragraph" w:styleId="12">
    <w:name w:val="Plain Text"/>
    <w:basedOn w:val="1"/>
    <w:qFormat/>
    <w:uiPriority w:val="0"/>
    <w:rPr>
      <w:rFonts w:ascii="宋体" w:hAnsi="Courier New"/>
      <w:szCs w:val="20"/>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6">
    <w:name w:val="toc 2"/>
    <w:basedOn w:val="1"/>
    <w:next w:val="1"/>
    <w:qFormat/>
    <w:uiPriority w:val="39"/>
    <w:pPr>
      <w:tabs>
        <w:tab w:val="right" w:leader="dot" w:pos="8296"/>
      </w:tabs>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rPr>
  </w:style>
  <w:style w:type="paragraph" w:styleId="18">
    <w:name w:val="Body Text First Indent"/>
    <w:basedOn w:val="2"/>
    <w:qFormat/>
    <w:uiPriority w:val="99"/>
    <w:pPr>
      <w:spacing w:after="120"/>
      <w:ind w:firstLine="420" w:firstLineChars="100"/>
    </w:pPr>
    <w:rPr>
      <w:sz w:val="21"/>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Hyperlink"/>
    <w:qFormat/>
    <w:uiPriority w:val="99"/>
    <w:rPr>
      <w:color w:val="0000FF"/>
      <w:u w:val="single"/>
    </w:rPr>
  </w:style>
  <w:style w:type="paragraph" w:customStyle="1" w:styleId="24">
    <w:name w:val="表格文字"/>
    <w:basedOn w:val="25"/>
    <w:qFormat/>
    <w:uiPriority w:val="0"/>
    <w:pPr>
      <w:spacing w:before="25" w:after="25"/>
      <w:jc w:val="left"/>
    </w:pPr>
    <w:rPr>
      <w:bCs/>
      <w:spacing w:val="10"/>
      <w:kern w:val="0"/>
      <w:sz w:val="24"/>
      <w:szCs w:val="20"/>
    </w:rPr>
  </w:style>
  <w:style w:type="paragraph" w:customStyle="1" w:styleId="25">
    <w:name w:val="表格文字（两侧对齐）"/>
    <w:basedOn w:val="1"/>
    <w:qFormat/>
    <w:uiPriority w:val="0"/>
    <w:pPr>
      <w:snapToGrid w:val="0"/>
    </w:pPr>
    <w:rPr>
      <w:kern w:val="0"/>
      <w:sz w:val="20"/>
    </w:rPr>
  </w:style>
  <w:style w:type="paragraph" w:customStyle="1" w:styleId="26">
    <w:name w:val="_Style 3"/>
    <w:basedOn w:val="1"/>
    <w:qFormat/>
    <w:uiPriority w:val="0"/>
    <w:pPr>
      <w:ind w:firstLine="420" w:firstLineChars="200"/>
    </w:pPr>
    <w:rPr>
      <w:sz w:val="20"/>
    </w:rPr>
  </w:style>
  <w:style w:type="paragraph" w:customStyle="1" w:styleId="27">
    <w:name w:val="正文缩进1"/>
    <w:basedOn w:val="28"/>
    <w:next w:val="29"/>
    <w:qFormat/>
    <w:uiPriority w:val="0"/>
    <w:pPr>
      <w:widowControl/>
      <w:ind w:firstLine="420"/>
      <w:jc w:val="left"/>
    </w:pPr>
    <w:rPr>
      <w:rFonts w:ascii="Calibri" w:hAnsi="Calibri"/>
      <w:kern w:val="0"/>
    </w:rPr>
  </w:style>
  <w:style w:type="paragraph" w:customStyle="1" w:styleId="28">
    <w:name w:val="正文_2"/>
    <w:next w:val="27"/>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0">
    <w:name w:val="Table caption|1"/>
    <w:basedOn w:val="1"/>
    <w:qFormat/>
    <w:uiPriority w:val="0"/>
    <w:pPr>
      <w:spacing w:line="293" w:lineRule="exact"/>
    </w:pPr>
    <w:rPr>
      <w:rFonts w:ascii="宋体" w:hAnsi="宋体" w:cs="宋体"/>
      <w:sz w:val="19"/>
      <w:szCs w:val="19"/>
      <w:lang w:val="zh-TW" w:eastAsia="zh-TW" w:bidi="zh-TW"/>
    </w:rPr>
  </w:style>
  <w:style w:type="paragraph" w:customStyle="1" w:styleId="3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2">
    <w:name w:val="Table Paragraph"/>
    <w:basedOn w:val="1"/>
    <w:qFormat/>
    <w:uiPriority w:val="1"/>
    <w:rPr>
      <w:rFonts w:ascii="宋体" w:hAnsi="宋体" w:eastAsia="宋体" w:cs="宋体"/>
      <w:lang w:val="zh-CN" w:eastAsia="zh-CN" w:bidi="zh-CN"/>
    </w:rPr>
  </w:style>
  <w:style w:type="paragraph" w:styleId="33">
    <w:name w:val="List Paragraph"/>
    <w:basedOn w:val="1"/>
    <w:qFormat/>
    <w:uiPriority w:val="34"/>
    <w:pPr>
      <w:widowControl/>
      <w:ind w:firstLine="420" w:firstLineChars="200"/>
      <w:jc w:val="left"/>
    </w:pPr>
    <w:rPr>
      <w:kern w:val="0"/>
      <w:sz w:val="20"/>
      <w:szCs w:val="20"/>
    </w:rPr>
  </w:style>
  <w:style w:type="paragraph" w:customStyle="1" w:styleId="34">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character" w:customStyle="1" w:styleId="35">
    <w:name w:val="font141"/>
    <w:basedOn w:val="21"/>
    <w:qFormat/>
    <w:uiPriority w:val="0"/>
    <w:rPr>
      <w:rFonts w:hint="default" w:ascii="Times New Roman" w:hAnsi="Times New Roman" w:cs="Times New Roman"/>
      <w:b/>
      <w:bCs/>
      <w:color w:val="000000"/>
      <w:sz w:val="18"/>
      <w:szCs w:val="18"/>
      <w:u w:val="none"/>
    </w:rPr>
  </w:style>
  <w:style w:type="character" w:customStyle="1" w:styleId="36">
    <w:name w:val="font151"/>
    <w:basedOn w:val="21"/>
    <w:qFormat/>
    <w:uiPriority w:val="0"/>
    <w:rPr>
      <w:rFonts w:hint="default" w:ascii="Times New Roman" w:hAnsi="Times New Roman" w:cs="Times New Roman"/>
      <w:color w:val="000000"/>
      <w:sz w:val="20"/>
      <w:szCs w:val="20"/>
      <w:u w:val="none"/>
    </w:rPr>
  </w:style>
  <w:style w:type="character" w:customStyle="1" w:styleId="37">
    <w:name w:val="font51"/>
    <w:basedOn w:val="21"/>
    <w:qFormat/>
    <w:uiPriority w:val="0"/>
    <w:rPr>
      <w:rFonts w:hint="eastAsia" w:ascii="宋体" w:hAnsi="宋体" w:eastAsia="宋体" w:cs="宋体"/>
      <w:color w:val="000000"/>
      <w:sz w:val="20"/>
      <w:szCs w:val="20"/>
      <w:u w:val="none"/>
    </w:rPr>
  </w:style>
  <w:style w:type="character" w:customStyle="1" w:styleId="38">
    <w:name w:val="font161"/>
    <w:basedOn w:val="21"/>
    <w:qFormat/>
    <w:uiPriority w:val="0"/>
    <w:rPr>
      <w:rFonts w:hint="eastAsia" w:ascii="宋体" w:hAnsi="宋体" w:eastAsia="宋体" w:cs="宋体"/>
      <w:color w:val="000000"/>
      <w:sz w:val="20"/>
      <w:szCs w:val="20"/>
      <w:u w:val="none"/>
    </w:rPr>
  </w:style>
  <w:style w:type="paragraph" w:customStyle="1" w:styleId="39">
    <w:name w:val="Table Text"/>
    <w:basedOn w:val="1"/>
    <w:semiHidden/>
    <w:qFormat/>
    <w:uiPriority w:val="0"/>
    <w:rPr>
      <w:rFonts w:ascii="宋体" w:hAnsi="宋体" w:eastAsia="宋体" w:cs="宋体"/>
      <w:sz w:val="20"/>
      <w:szCs w:val="20"/>
      <w:lang w:val="en-US" w:eastAsia="en-US" w:bidi="ar-SA"/>
    </w:rPr>
  </w:style>
  <w:style w:type="table" w:customStyle="1" w:styleId="40">
    <w:name w:val="Table Normal"/>
    <w:semiHidden/>
    <w:unhideWhenUsed/>
    <w:qFormat/>
    <w:uiPriority w:val="0"/>
    <w:tblPr>
      <w:tblCellMar>
        <w:top w:w="0" w:type="dxa"/>
        <w:left w:w="0" w:type="dxa"/>
        <w:bottom w:w="0" w:type="dxa"/>
        <w:right w:w="0" w:type="dxa"/>
      </w:tblCellMar>
    </w:tblPr>
  </w:style>
  <w:style w:type="paragraph" w:customStyle="1" w:styleId="4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3289</Words>
  <Characters>4080</Characters>
  <Lines>0</Lines>
  <Paragraphs>0</Paragraphs>
  <TotalTime>0</TotalTime>
  <ScaleCrop>false</ScaleCrop>
  <LinksUpToDate>false</LinksUpToDate>
  <CharactersWithSpaces>4132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2025-06-17T00:31:00Z</dcterms:created>
  <dc:creator>梁凤娟</dc:creator>
  <cp:lastModifiedBy>梁凤娟</cp:lastModifiedBy>
  <dcterms:modified xsi:type="dcterms:W3CDTF">2025-11-19T04:08:19Z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FFA3458F4B9D41158B18C025DBF7D16F_11</vt:lpwstr>
  </property>
  <property fmtid="{D5CDD505-2E9C-101B-9397-08002B2CF9AE}" pid="4" name="KSOTemplateDocerSaveRecord">
    <vt:lpwstr>eyJoZGlkIjoiZGNiZjhiYWJkMzQ2ODliZDg0M2NkY2U3ZDYyYTQ3YzEiLCJ1c2VySWQiOiIzMTQ2MzM3NzQifQ==</vt:lpwstr>
  </property>
</Properties>
</file>