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6091"/>
      <w:bookmarkStart w:id="2" w:name="_Toc14315"/>
      <w:bookmarkStart w:id="3" w:name="_Toc17040"/>
      <w:bookmarkStart w:id="4" w:name="_Toc3493"/>
      <w:bookmarkStart w:id="5" w:name="_Toc15365"/>
      <w:bookmarkStart w:id="6" w:name="_Toc15553"/>
      <w:bookmarkStart w:id="7" w:name="_Toc15189"/>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50ED1A6F">
      <w:pPr>
        <w:pStyle w:val="16"/>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A2CF07D">
      <w:pPr>
        <w:pStyle w:val="2"/>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2026-2028年公务车辆保险服务采购项目</w:t>
      </w:r>
    </w:p>
    <w:p w14:paraId="720C3F77">
      <w:pPr>
        <w:pStyle w:val="16"/>
        <w:rPr>
          <w:rFonts w:hint="eastAsia"/>
        </w:rPr>
      </w:pPr>
    </w:p>
    <w:p w14:paraId="30B0BBC0">
      <w:pPr>
        <w:pStyle w:val="16"/>
        <w:rPr>
          <w:rFonts w:hint="eastAsia"/>
        </w:rPr>
      </w:pPr>
    </w:p>
    <w:p w14:paraId="44FD36BD">
      <w:pPr>
        <w:pStyle w:val="16"/>
        <w:rPr>
          <w:rFonts w:hint="eastAsia"/>
        </w:rPr>
      </w:pPr>
    </w:p>
    <w:p w14:paraId="6A6B28A3">
      <w:pPr>
        <w:pStyle w:val="16"/>
        <w:rPr>
          <w:rFonts w:hint="eastAsia"/>
        </w:rPr>
      </w:pPr>
    </w:p>
    <w:p w14:paraId="56375FC5">
      <w:pPr>
        <w:pStyle w:val="16"/>
        <w:rPr>
          <w:rFonts w:hint="eastAsia"/>
        </w:rPr>
      </w:pPr>
    </w:p>
    <w:p w14:paraId="6359C389">
      <w:pPr>
        <w:pStyle w:val="16"/>
        <w:rPr>
          <w:rFonts w:hint="eastAsia"/>
        </w:rPr>
      </w:pPr>
    </w:p>
    <w:p w14:paraId="72A5B3FB">
      <w:pPr>
        <w:pStyle w:val="16"/>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ZCB-2025146</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谈判</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5"/>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 w:val="0"/>
          <w:bCs w:val="0"/>
          <w:color w:val="000000" w:themeColor="text1"/>
          <w:sz w:val="24"/>
          <w:szCs w:val="24"/>
          <w:highlight w:val="none"/>
          <w14:textFill>
            <w14:solidFill>
              <w14:schemeClr w14:val="tx1"/>
            </w14:solidFill>
          </w14:textFill>
        </w:rPr>
        <w:t>车辆保险</w:t>
      </w:r>
      <w:r>
        <w:rPr>
          <w:rFonts w:hint="eastAsia" w:ascii="仿宋" w:hAnsi="仿宋" w:eastAsia="仿宋" w:cs="仿宋"/>
          <w:kern w:val="0"/>
          <w:sz w:val="24"/>
          <w:lang w:val="en-US" w:eastAsia="zh-CN"/>
        </w:rPr>
        <w:t>-某某公司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2025年</w:t>
      </w:r>
      <w:r>
        <w:rPr>
          <w:rFonts w:hint="eastAsia" w:ascii="仿宋" w:hAnsi="仿宋" w:eastAsia="仿宋" w:cs="仿宋"/>
          <w:i w:val="0"/>
          <w:iCs w:val="0"/>
          <w:caps w:val="0"/>
          <w:color w:val="000000"/>
          <w:spacing w:val="0"/>
          <w:sz w:val="24"/>
          <w:szCs w:val="24"/>
          <w:highlight w:val="none"/>
          <w:u w:val="none"/>
          <w:vertAlign w:val="baseline"/>
          <w:lang w:val="en-US" w:eastAsia="zh-CN"/>
        </w:rPr>
        <w:t>11</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25</w:t>
      </w:r>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4136EF1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w:t>
      </w:r>
      <w:bookmarkStart w:id="134" w:name="_GoBack"/>
      <w:bookmarkEnd w:id="134"/>
      <w:r>
        <w:rPr>
          <w:rFonts w:hint="eastAsia" w:ascii="仿宋" w:hAnsi="仿宋" w:eastAsia="仿宋" w:cs="仿宋"/>
          <w:kern w:val="0"/>
          <w:sz w:val="24"/>
        </w:rPr>
        <w:t>回复邮件的，请主动联系我院招投标与采购管理办公室联系人。</w:t>
      </w:r>
    </w:p>
    <w:p w14:paraId="694DEF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7.供应商的报名邮箱视为我院采购过程中谈判文件、成交通知书及相关答疑回复的电子送达地址；电子文书成功发送至供应商提供的电子送达地址时，视为已送达。</w:t>
      </w:r>
    </w:p>
    <w:p w14:paraId="6603711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440FB6F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谈判</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5733B7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谈判</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谈判</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E44DCB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21FF309">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须持有有效的《经营保险业务许可证》或《保险许可证》或《保险公司法人许可证》。同一法人单位只能授权一家分支机构参加本项目响应（总公司与分支机构同时参与响应的，或总公司授权一家以上分支机构同时参与响应的，将同时作无效响应处理）。（提供有效证件复印件加盖供应商公章，原件备查）</w:t>
      </w:r>
    </w:p>
    <w:p w14:paraId="3B3F68BB">
      <w:pPr>
        <w:pStyle w:val="7"/>
        <w:adjustRightInd w:val="0"/>
        <w:snapToGrid w:val="0"/>
        <w:rPr>
          <w:rFonts w:ascii="Times New Roman" w:hAnsi="Times New Roman" w:cs="Times New Roman"/>
          <w:sz w:val="24"/>
          <w:szCs w:val="24"/>
        </w:rPr>
      </w:pPr>
    </w:p>
    <w:p w14:paraId="46BA66C7">
      <w:pPr>
        <w:pStyle w:val="7"/>
        <w:adjustRightInd w:val="0"/>
        <w:snapToGrid w:val="0"/>
        <w:rPr>
          <w:rFonts w:ascii="Times New Roman" w:hAnsi="Times New Roman" w:cs="Times New Roman"/>
          <w:sz w:val="24"/>
          <w:szCs w:val="24"/>
        </w:rPr>
      </w:pPr>
    </w:p>
    <w:p w14:paraId="45280BE3">
      <w:pPr>
        <w:pStyle w:val="7"/>
        <w:adjustRightInd w:val="0"/>
        <w:snapToGrid w:val="0"/>
        <w:rPr>
          <w:rFonts w:ascii="Times New Roman" w:hAnsi="Times New Roman" w:cs="Times New Roman"/>
          <w:sz w:val="24"/>
          <w:szCs w:val="24"/>
        </w:rPr>
      </w:pPr>
    </w:p>
    <w:p w14:paraId="31D3D24A">
      <w:pPr>
        <w:pStyle w:val="7"/>
        <w:adjustRightInd w:val="0"/>
        <w:snapToGrid w:val="0"/>
        <w:rPr>
          <w:rFonts w:ascii="Times New Roman" w:hAnsi="Times New Roman" w:cs="Times New Roman"/>
          <w:sz w:val="24"/>
          <w:szCs w:val="24"/>
        </w:rPr>
      </w:pPr>
    </w:p>
    <w:p w14:paraId="745677E7">
      <w:pPr>
        <w:pStyle w:val="7"/>
        <w:adjustRightInd w:val="0"/>
        <w:snapToGrid w:val="0"/>
        <w:rPr>
          <w:rFonts w:ascii="Times New Roman" w:hAnsi="Times New Roman" w:cs="Times New Roman"/>
          <w:sz w:val="24"/>
          <w:szCs w:val="24"/>
        </w:rPr>
      </w:pPr>
    </w:p>
    <w:p w14:paraId="4F304736">
      <w:pPr>
        <w:pStyle w:val="7"/>
        <w:adjustRightInd w:val="0"/>
        <w:snapToGrid w:val="0"/>
        <w:rPr>
          <w:rFonts w:ascii="Times New Roman" w:hAnsi="Times New Roman" w:cs="Times New Roman"/>
          <w:sz w:val="24"/>
          <w:szCs w:val="24"/>
        </w:rPr>
      </w:pPr>
    </w:p>
    <w:p w14:paraId="32A14100">
      <w:pPr>
        <w:pStyle w:val="7"/>
        <w:adjustRightInd w:val="0"/>
        <w:snapToGrid w:val="0"/>
        <w:rPr>
          <w:rFonts w:ascii="Times New Roman" w:hAnsi="Times New Roman" w:cs="Times New Roman"/>
          <w:sz w:val="24"/>
          <w:szCs w:val="24"/>
        </w:rPr>
      </w:pPr>
    </w:p>
    <w:p w14:paraId="5462AF0A">
      <w:pPr>
        <w:pStyle w:val="7"/>
        <w:adjustRightInd w:val="0"/>
        <w:snapToGrid w:val="0"/>
        <w:rPr>
          <w:rFonts w:ascii="Times New Roman" w:hAnsi="Times New Roman" w:cs="Times New Roman"/>
          <w:sz w:val="24"/>
          <w:szCs w:val="24"/>
        </w:rPr>
      </w:pPr>
    </w:p>
    <w:p w14:paraId="254521FC">
      <w:pPr>
        <w:pStyle w:val="7"/>
        <w:adjustRightInd w:val="0"/>
        <w:snapToGrid w:val="0"/>
        <w:rPr>
          <w:rFonts w:ascii="Times New Roman" w:hAnsi="Times New Roman" w:cs="Times New Roman"/>
          <w:sz w:val="24"/>
          <w:szCs w:val="24"/>
        </w:rPr>
      </w:pPr>
    </w:p>
    <w:p w14:paraId="2D808310">
      <w:pPr>
        <w:pStyle w:val="7"/>
        <w:adjustRightInd w:val="0"/>
        <w:snapToGrid w:val="0"/>
        <w:rPr>
          <w:rFonts w:ascii="Times New Roman" w:hAnsi="Times New Roman" w:cs="Times New Roman"/>
          <w:sz w:val="24"/>
          <w:szCs w:val="24"/>
        </w:rPr>
      </w:pPr>
    </w:p>
    <w:p w14:paraId="2DC6D4D0">
      <w:pPr>
        <w:pStyle w:val="7"/>
        <w:adjustRightInd w:val="0"/>
        <w:snapToGrid w:val="0"/>
        <w:rPr>
          <w:rFonts w:ascii="Times New Roman" w:hAnsi="Times New Roman" w:cs="Times New Roman"/>
          <w:sz w:val="24"/>
          <w:szCs w:val="24"/>
        </w:rPr>
      </w:pPr>
    </w:p>
    <w:p w14:paraId="76FED9B4">
      <w:pPr>
        <w:pStyle w:val="7"/>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4"/>
        <w:jc w:val="center"/>
      </w:pPr>
    </w:p>
    <w:p w14:paraId="4B0CF681">
      <w:pPr>
        <w:pStyle w:val="4"/>
        <w:jc w:val="both"/>
        <w:rPr>
          <w:rFonts w:hint="eastAsia"/>
        </w:rPr>
      </w:pPr>
    </w:p>
    <w:p w14:paraId="25D26CB9">
      <w:pPr>
        <w:rPr>
          <w:rFonts w:hint="eastAsia"/>
        </w:rPr>
      </w:pPr>
    </w:p>
    <w:p w14:paraId="3DF03D55">
      <w:pPr>
        <w:pStyle w:val="2"/>
        <w:rPr>
          <w:rFonts w:hint="eastAsia"/>
        </w:rPr>
      </w:pPr>
    </w:p>
    <w:p w14:paraId="28400412">
      <w:pPr>
        <w:pStyle w:val="16"/>
        <w:rPr>
          <w:rFonts w:hint="eastAsia"/>
        </w:rPr>
      </w:pPr>
    </w:p>
    <w:p w14:paraId="78176F9C">
      <w:pPr>
        <w:pStyle w:val="16"/>
        <w:rPr>
          <w:rFonts w:hint="eastAsia"/>
        </w:rPr>
      </w:pPr>
    </w:p>
    <w:p w14:paraId="11AFDF55">
      <w:pPr>
        <w:pStyle w:val="16"/>
        <w:rPr>
          <w:rFonts w:hint="eastAsia"/>
        </w:rPr>
      </w:pPr>
    </w:p>
    <w:p w14:paraId="74A185C9">
      <w:pPr>
        <w:pStyle w:val="16"/>
        <w:rPr>
          <w:rFonts w:hint="eastAsia"/>
        </w:rPr>
      </w:pPr>
    </w:p>
    <w:p w14:paraId="2F7355C7">
      <w:pPr>
        <w:pStyle w:val="4"/>
        <w:jc w:val="center"/>
        <w:rPr>
          <w:rFonts w:hint="eastAsia"/>
        </w:rPr>
      </w:pPr>
    </w:p>
    <w:p w14:paraId="2AA38C9B">
      <w:pPr>
        <w:pStyle w:val="4"/>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6151"/>
      <w:bookmarkStart w:id="13" w:name="_Toc6408"/>
      <w:bookmarkStart w:id="14" w:name="_Toc25869"/>
      <w:bookmarkStart w:id="15" w:name="_Toc31053"/>
      <w:bookmarkStart w:id="16" w:name="_Toc24"/>
      <w:bookmarkStart w:id="17" w:name="_Toc31740"/>
      <w:bookmarkStart w:id="18" w:name="_Toc28528"/>
      <w:bookmarkStart w:id="19" w:name="_Toc17375"/>
      <w:bookmarkStart w:id="20" w:name="_Toc14488"/>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3"/>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11075"/>
      <w:bookmarkStart w:id="22" w:name="_Toc11305"/>
      <w:bookmarkStart w:id="23" w:name="_Toc15870"/>
      <w:bookmarkStart w:id="24" w:name="_Toc26267"/>
      <w:bookmarkStart w:id="25" w:name="_Toc40346375"/>
      <w:bookmarkStart w:id="26" w:name="_Toc40346216"/>
      <w:bookmarkStart w:id="27" w:name="_Toc28703"/>
      <w:bookmarkStart w:id="28" w:name="_Toc8364"/>
      <w:bookmarkStart w:id="29" w:name="_Toc6547"/>
      <w:bookmarkStart w:id="30" w:name="_Toc7291"/>
      <w:bookmarkStart w:id="31" w:name="_Toc3471"/>
      <w:bookmarkStart w:id="32" w:name="_Toc29113"/>
      <w:bookmarkStart w:id="33" w:name="_Toc12520"/>
      <w:bookmarkStart w:id="34" w:name="_Toc40776111"/>
      <w:bookmarkStart w:id="35" w:name="_Toc21249"/>
      <w:bookmarkStart w:id="36" w:name="_Toc435"/>
      <w:bookmarkStart w:id="37" w:name="_Toc1994"/>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2916"/>
      <w:bookmarkStart w:id="40" w:name="_Toc40346217"/>
      <w:bookmarkStart w:id="41" w:name="_Toc17709"/>
      <w:bookmarkStart w:id="42" w:name="_Toc40346376"/>
      <w:bookmarkStart w:id="43" w:name="_Toc27997"/>
      <w:bookmarkStart w:id="44" w:name="_Toc20884"/>
      <w:bookmarkStart w:id="45" w:name="_Toc1743"/>
    </w:p>
    <w:p w14:paraId="2CDD7047">
      <w:pPr>
        <w:widowControl/>
        <w:spacing w:line="360" w:lineRule="auto"/>
        <w:ind w:firstLine="600"/>
        <w:outlineLvl w:val="0"/>
        <w:rPr>
          <w:rFonts w:hint="eastAsia" w:ascii="仿宋" w:hAnsi="仿宋" w:eastAsia="仿宋" w:cs="仿宋"/>
          <w:kern w:val="0"/>
          <w:sz w:val="30"/>
          <w:szCs w:val="30"/>
        </w:rPr>
      </w:pPr>
      <w:bookmarkStart w:id="46" w:name="_Toc23097"/>
      <w:bookmarkStart w:id="47" w:name="_Toc19699"/>
      <w:bookmarkStart w:id="48" w:name="_Toc29102"/>
      <w:bookmarkStart w:id="49" w:name="_Toc31538"/>
      <w:bookmarkStart w:id="50" w:name="_Toc11485"/>
      <w:bookmarkStart w:id="51" w:name="_Toc5238"/>
      <w:bookmarkStart w:id="52" w:name="_Toc30979"/>
      <w:bookmarkStart w:id="53" w:name="_Toc2012"/>
      <w:bookmarkStart w:id="54" w:name="_Toc202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4013"/>
      <w:bookmarkStart w:id="56" w:name="_Toc11141"/>
      <w:bookmarkStart w:id="57" w:name="_Toc29767"/>
      <w:bookmarkStart w:id="58" w:name="_Toc31993"/>
      <w:bookmarkStart w:id="59" w:name="_Toc28064"/>
      <w:bookmarkStart w:id="60" w:name="_Toc11558"/>
      <w:bookmarkStart w:id="61" w:name="_Toc12645"/>
      <w:bookmarkStart w:id="62" w:name="_Toc40346218"/>
      <w:bookmarkStart w:id="63" w:name="_Toc40346377"/>
      <w:bookmarkStart w:id="64" w:name="_Toc17930"/>
      <w:bookmarkStart w:id="65" w:name="_Toc16794"/>
      <w:bookmarkStart w:id="66" w:name="_Toc14824"/>
      <w:bookmarkStart w:id="67" w:name="_Toc7052"/>
      <w:bookmarkStart w:id="68" w:name="_Toc24763"/>
      <w:bookmarkStart w:id="69" w:name="_Toc40776113"/>
      <w:bookmarkStart w:id="70" w:name="_Toc27867"/>
      <w:bookmarkStart w:id="71" w:name="_Toc2148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27771"/>
      <w:bookmarkStart w:id="73" w:name="_Toc40776114"/>
      <w:bookmarkStart w:id="74" w:name="_Toc40346219"/>
      <w:bookmarkStart w:id="75" w:name="_Toc16813"/>
      <w:bookmarkStart w:id="76" w:name="_Toc26029"/>
      <w:bookmarkStart w:id="77" w:name="_Toc40346378"/>
      <w:bookmarkStart w:id="78" w:name="_Toc19831"/>
      <w:bookmarkStart w:id="79" w:name="_Toc4563"/>
      <w:bookmarkStart w:id="80" w:name="_Toc31197"/>
      <w:bookmarkStart w:id="81" w:name="_Toc24651"/>
      <w:bookmarkStart w:id="82" w:name="_Toc17537"/>
      <w:bookmarkStart w:id="83" w:name="_Toc6438"/>
      <w:bookmarkStart w:id="84" w:name="_Toc14287"/>
      <w:bookmarkStart w:id="85" w:name="_Toc1324"/>
      <w:bookmarkStart w:id="86" w:name="_Toc11334"/>
      <w:bookmarkStart w:id="87" w:name="_Toc32709"/>
      <w:bookmarkStart w:id="88" w:name="_Toc988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27868"/>
      <w:bookmarkStart w:id="90" w:name="_Toc13222"/>
      <w:bookmarkStart w:id="91" w:name="_Toc3895"/>
      <w:bookmarkStart w:id="92" w:name="_Toc17483"/>
      <w:bookmarkStart w:id="93" w:name="_Toc40346220"/>
      <w:bookmarkStart w:id="94" w:name="_Toc40346379"/>
      <w:bookmarkStart w:id="95" w:name="_Toc5634"/>
      <w:bookmarkStart w:id="96" w:name="_Toc40776115"/>
      <w:bookmarkStart w:id="97" w:name="_Toc14586"/>
      <w:bookmarkStart w:id="98" w:name="_Toc21686"/>
      <w:bookmarkStart w:id="99" w:name="_Toc12650"/>
      <w:bookmarkStart w:id="100" w:name="_Toc30336"/>
      <w:bookmarkStart w:id="101" w:name="_Toc27206"/>
      <w:bookmarkStart w:id="102" w:name="_Toc5189"/>
      <w:bookmarkStart w:id="103" w:name="_Toc21940"/>
      <w:bookmarkStart w:id="104" w:name="_Toc18353"/>
      <w:bookmarkStart w:id="105" w:name="_Toc2099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10454"/>
      <w:bookmarkStart w:id="107" w:name="_Toc40776116"/>
      <w:bookmarkStart w:id="108" w:name="_Toc11547"/>
      <w:bookmarkStart w:id="109" w:name="_Toc40346380"/>
      <w:bookmarkStart w:id="110" w:name="_Toc40346221"/>
      <w:bookmarkStart w:id="111" w:name="_Toc30856"/>
      <w:bookmarkStart w:id="112" w:name="_Toc27646"/>
      <w:bookmarkStart w:id="113" w:name="_Toc27009"/>
      <w:bookmarkStart w:id="114" w:name="_Toc8526"/>
      <w:bookmarkStart w:id="115" w:name="_Toc5220"/>
      <w:bookmarkStart w:id="116" w:name="_Toc21449"/>
      <w:bookmarkStart w:id="117" w:name="_Toc30904"/>
      <w:bookmarkStart w:id="118" w:name="_Toc32371"/>
      <w:bookmarkStart w:id="119" w:name="_Toc12127"/>
      <w:bookmarkStart w:id="120" w:name="_Toc9282"/>
      <w:bookmarkStart w:id="121" w:name="_Toc3498"/>
      <w:bookmarkStart w:id="122" w:name="_Toc1446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8637"/>
      <w:bookmarkStart w:id="124" w:name="_Toc21213"/>
      <w:bookmarkStart w:id="125" w:name="_Toc28747"/>
      <w:bookmarkStart w:id="126" w:name="_Toc6691"/>
      <w:bookmarkStart w:id="127" w:name="_Toc13184"/>
      <w:bookmarkStart w:id="128" w:name="_Toc9697"/>
      <w:bookmarkStart w:id="129" w:name="_Toc15539"/>
      <w:bookmarkStart w:id="130" w:name="_Toc16728"/>
      <w:bookmarkStart w:id="131" w:name="_Toc16608"/>
      <w:bookmarkStart w:id="132" w:name="_Toc31077"/>
      <w:bookmarkStart w:id="133" w:name="_Toc10399"/>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0E2BB4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42875BC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15E5F50">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本项目谈判文件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F7F3763">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31C7A40C">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40B9037">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7C8F234">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6134428">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2C069334">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2D1C547">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6DDA1B4C">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07369AD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6FD631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16"/>
        <w:rPr>
          <w:rFonts w:ascii="宋体" w:hAnsi="宋体"/>
          <w:sz w:val="24"/>
        </w:rPr>
      </w:pPr>
    </w:p>
    <w:p w14:paraId="40D77880">
      <w:pPr>
        <w:pStyle w:val="16"/>
        <w:rPr>
          <w:rFonts w:ascii="宋体" w:hAnsi="宋体"/>
          <w:sz w:val="24"/>
        </w:rPr>
      </w:pPr>
    </w:p>
    <w:p w14:paraId="4951CE51">
      <w:pPr>
        <w:pStyle w:val="16"/>
        <w:rPr>
          <w:rFonts w:ascii="宋体" w:hAnsi="宋体"/>
          <w:sz w:val="24"/>
        </w:rPr>
      </w:pPr>
    </w:p>
    <w:p w14:paraId="6CAE1510">
      <w:pPr>
        <w:pStyle w:val="16"/>
        <w:rPr>
          <w:rFonts w:ascii="宋体" w:hAnsi="宋体"/>
          <w:sz w:val="24"/>
        </w:rPr>
      </w:pPr>
    </w:p>
    <w:p w14:paraId="078405E9">
      <w:pPr>
        <w:pStyle w:val="16"/>
        <w:rPr>
          <w:rFonts w:ascii="宋体" w:hAnsi="宋体"/>
          <w:sz w:val="24"/>
        </w:rPr>
      </w:pPr>
    </w:p>
    <w:p w14:paraId="3D2C49EF">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三、《经营保险业务许可证》或《保险许可证》或《保险公司法人许可证》</w:t>
      </w:r>
    </w:p>
    <w:p w14:paraId="71529940">
      <w:pPr>
        <w:pStyle w:val="31"/>
        <w:jc w:val="center"/>
        <w:rPr>
          <w:rFonts w:hint="eastAsia" w:ascii="仿宋" w:hAnsi="仿宋" w:eastAsia="仿宋" w:cs="仿宋"/>
          <w:color w:val="0070C0"/>
          <w:highlight w:val="none"/>
        </w:rPr>
      </w:pPr>
      <w:r>
        <w:rPr>
          <w:rFonts w:hint="eastAsia" w:ascii="仿宋" w:hAnsi="仿宋" w:eastAsia="仿宋" w:cs="仿宋"/>
          <w:color w:val="0070C0"/>
          <w:kern w:val="0"/>
          <w:sz w:val="24"/>
          <w:szCs w:val="24"/>
          <w:highlight w:val="none"/>
          <w:lang w:val="en-US" w:eastAsia="zh-CN"/>
        </w:rPr>
        <w:t>同一法人单位只能授权一家分支机构参加本项目响应（总公司与分支机构同时参与响应的，或总公司授权一家以上分支机构同时参与响应的，将同时作无效响应处理.（提供有效证件复印件加盖供应商公章）</w:t>
      </w:r>
    </w:p>
    <w:p w14:paraId="4DEF56B9">
      <w:pPr>
        <w:pStyle w:val="31"/>
        <w:rPr>
          <w:rFonts w:hint="eastAsia" w:ascii="仿宋" w:hAnsi="仿宋" w:eastAsia="仿宋" w:cs="仿宋"/>
          <w:color w:val="000000" w:themeColor="text1"/>
          <w:highlight w:val="none"/>
          <w14:textFill>
            <w14:solidFill>
              <w14:schemeClr w14:val="tx1"/>
            </w14:solidFill>
          </w14:textFill>
        </w:rPr>
      </w:pPr>
    </w:p>
    <w:p w14:paraId="45376AFD">
      <w:pPr>
        <w:pStyle w:val="31"/>
        <w:rPr>
          <w:rFonts w:hint="eastAsia" w:ascii="仿宋" w:hAnsi="仿宋" w:eastAsia="仿宋" w:cs="仿宋"/>
          <w:color w:val="000000" w:themeColor="text1"/>
          <w:highlight w:val="none"/>
          <w14:textFill>
            <w14:solidFill>
              <w14:schemeClr w14:val="tx1"/>
            </w14:solidFill>
          </w14:textFill>
        </w:rPr>
      </w:pPr>
    </w:p>
    <w:p w14:paraId="11D74F05">
      <w:pPr>
        <w:pStyle w:val="31"/>
        <w:rPr>
          <w:rFonts w:hint="eastAsia" w:ascii="仿宋" w:hAnsi="仿宋" w:eastAsia="仿宋" w:cs="仿宋"/>
          <w:color w:val="000000" w:themeColor="text1"/>
          <w:highlight w:val="none"/>
          <w14:textFill>
            <w14:solidFill>
              <w14:schemeClr w14:val="tx1"/>
            </w14:solidFill>
          </w14:textFill>
        </w:rPr>
      </w:pPr>
    </w:p>
    <w:p w14:paraId="0C163699">
      <w:pPr>
        <w:pStyle w:val="31"/>
        <w:rPr>
          <w:rFonts w:hint="eastAsia" w:ascii="仿宋" w:hAnsi="仿宋" w:eastAsia="仿宋" w:cs="仿宋"/>
          <w:color w:val="000000" w:themeColor="text1"/>
          <w:highlight w:val="none"/>
          <w14:textFill>
            <w14:solidFill>
              <w14:schemeClr w14:val="tx1"/>
            </w14:solidFill>
          </w14:textFill>
        </w:rPr>
      </w:pPr>
    </w:p>
    <w:p w14:paraId="489A433D">
      <w:pPr>
        <w:pStyle w:val="31"/>
        <w:rPr>
          <w:rFonts w:hint="eastAsia" w:ascii="仿宋" w:hAnsi="仿宋" w:eastAsia="仿宋" w:cs="仿宋"/>
          <w:color w:val="000000" w:themeColor="text1"/>
          <w:highlight w:val="none"/>
          <w14:textFill>
            <w14:solidFill>
              <w14:schemeClr w14:val="tx1"/>
            </w14:solidFill>
          </w14:textFill>
        </w:rPr>
      </w:pPr>
    </w:p>
    <w:p w14:paraId="4B5B1CD0">
      <w:pPr>
        <w:pStyle w:val="31"/>
        <w:rPr>
          <w:rFonts w:hint="eastAsia" w:ascii="仿宋" w:hAnsi="仿宋" w:eastAsia="仿宋" w:cs="仿宋"/>
          <w:color w:val="000000" w:themeColor="text1"/>
          <w:highlight w:val="none"/>
          <w14:textFill>
            <w14:solidFill>
              <w14:schemeClr w14:val="tx1"/>
            </w14:solidFill>
          </w14:textFill>
        </w:rPr>
      </w:pPr>
    </w:p>
    <w:p w14:paraId="39D79BA5">
      <w:pPr>
        <w:pStyle w:val="31"/>
        <w:rPr>
          <w:rFonts w:hint="eastAsia" w:ascii="仿宋" w:hAnsi="仿宋" w:eastAsia="仿宋" w:cs="仿宋"/>
          <w:color w:val="000000" w:themeColor="text1"/>
          <w:highlight w:val="none"/>
          <w14:textFill>
            <w14:solidFill>
              <w14:schemeClr w14:val="tx1"/>
            </w14:solidFill>
          </w14:textFill>
        </w:rPr>
      </w:pPr>
    </w:p>
    <w:p w14:paraId="5C091DBB">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16"/>
        <w:rPr>
          <w:rFonts w:ascii="宋体" w:hAnsi="宋体"/>
          <w:sz w:val="24"/>
        </w:rPr>
      </w:pPr>
    </w:p>
    <w:p w14:paraId="450445A8">
      <w:pPr>
        <w:pStyle w:val="16"/>
        <w:rPr>
          <w:rFonts w:ascii="宋体" w:hAnsi="宋体"/>
          <w:sz w:val="24"/>
        </w:rPr>
      </w:pPr>
    </w:p>
    <w:p w14:paraId="4B1ADC8C">
      <w:pPr>
        <w:pStyle w:val="16"/>
        <w:rPr>
          <w:rFonts w:ascii="宋体" w:hAnsi="宋体"/>
          <w:sz w:val="24"/>
        </w:rPr>
      </w:pPr>
    </w:p>
    <w:p w14:paraId="716D8190">
      <w:pPr>
        <w:pStyle w:val="16"/>
        <w:rPr>
          <w:rFonts w:ascii="宋体" w:hAnsi="宋体"/>
          <w:sz w:val="24"/>
        </w:rPr>
      </w:pPr>
    </w:p>
    <w:p w14:paraId="4432DFFD">
      <w:pPr>
        <w:pStyle w:val="16"/>
        <w:rPr>
          <w:rFonts w:ascii="宋体" w:hAnsi="宋体"/>
          <w:sz w:val="24"/>
        </w:rPr>
      </w:pPr>
    </w:p>
    <w:p w14:paraId="29E67D13">
      <w:pPr>
        <w:pStyle w:val="16"/>
        <w:rPr>
          <w:rFonts w:ascii="宋体" w:hAnsi="宋体"/>
          <w:sz w:val="24"/>
        </w:rPr>
      </w:pPr>
    </w:p>
    <w:p w14:paraId="09A45915">
      <w:pPr>
        <w:pStyle w:val="16"/>
        <w:spacing w:line="360" w:lineRule="auto"/>
        <w:rPr>
          <w:rFonts w:hint="eastAsia" w:ascii="仿宋" w:hAnsi="仿宋" w:eastAsia="仿宋" w:cs="仿宋"/>
          <w:sz w:val="24"/>
          <w:lang w:val="en-US" w:eastAsia="zh-CN"/>
        </w:rPr>
      </w:pPr>
    </w:p>
    <w:p w14:paraId="3550244A">
      <w:pPr>
        <w:pStyle w:val="16"/>
        <w:spacing w:line="360" w:lineRule="auto"/>
        <w:rPr>
          <w:rFonts w:hint="eastAsia" w:ascii="仿宋" w:hAnsi="仿宋" w:eastAsia="仿宋" w:cs="仿宋"/>
          <w:sz w:val="24"/>
          <w:lang w:val="en-US" w:eastAsia="zh-CN"/>
        </w:rPr>
      </w:pPr>
    </w:p>
    <w:p w14:paraId="1065F86E">
      <w:pPr>
        <w:pStyle w:val="16"/>
        <w:spacing w:line="360" w:lineRule="auto"/>
        <w:rPr>
          <w:rFonts w:hint="eastAsia" w:ascii="仿宋" w:hAnsi="仿宋" w:eastAsia="仿宋" w:cs="仿宋"/>
          <w:sz w:val="24"/>
          <w:lang w:val="en-US" w:eastAsia="zh-CN"/>
        </w:rPr>
      </w:pPr>
    </w:p>
    <w:p w14:paraId="6E6F5212">
      <w:pPr>
        <w:pStyle w:val="16"/>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9F20ED-1A17-443F-84C0-64C484AB9D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3858EA9-D532-496A-8F32-651D341F182C}"/>
  </w:font>
  <w:font w:name="微软雅黑">
    <w:panose1 w:val="020B0503020204020204"/>
    <w:charset w:val="86"/>
    <w:family w:val="auto"/>
    <w:pitch w:val="default"/>
    <w:sig w:usb0="80000287" w:usb1="2ACF3C50" w:usb2="00000016" w:usb3="00000000" w:csb0="0004001F" w:csb1="00000000"/>
    <w:embedRegular r:id="rId3" w:fontKey="{8CBC8991-348D-4F3C-AB24-326953BE4BF5}"/>
  </w:font>
  <w:font w:name="方正小标宋简体">
    <w:panose1 w:val="02000000000000000000"/>
    <w:charset w:val="86"/>
    <w:family w:val="script"/>
    <w:pitch w:val="default"/>
    <w:sig w:usb0="00000001" w:usb1="08000000" w:usb2="00000000" w:usb3="00000000" w:csb0="00040000" w:csb1="00000000"/>
    <w:embedRegular r:id="rId4" w:fontKey="{00BD5EFC-F940-4750-85FC-2A073791A27B}"/>
  </w:font>
  <w:font w:name="仿宋">
    <w:panose1 w:val="02010609060101010101"/>
    <w:charset w:val="86"/>
    <w:family w:val="auto"/>
    <w:pitch w:val="default"/>
    <w:sig w:usb0="800002BF" w:usb1="38CF7CFA" w:usb2="00000016" w:usb3="00000000" w:csb0="00040001" w:csb1="00000000"/>
    <w:embedRegular r:id="rId5" w:fontKey="{2257E8E2-3495-4CD5-8E82-E0802C7FF17A}"/>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9"/>
      <w:framePr w:wrap="around" w:vAnchor="text" w:hAnchor="margin" w:xAlign="center" w:y="1"/>
      <w:rPr>
        <w:rStyle w:val="14"/>
      </w:rPr>
    </w:pPr>
    <w:r>
      <w:fldChar w:fldCharType="begin"/>
    </w:r>
    <w:r>
      <w:rPr>
        <w:rStyle w:val="14"/>
      </w:rPr>
      <w:instrText xml:space="preserve">PAGE  </w:instrText>
    </w:r>
    <w:r>
      <w:fldChar w:fldCharType="end"/>
    </w:r>
  </w:p>
  <w:p w14:paraId="490A18AE">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9"/>
      <w:framePr w:wrap="around" w:vAnchor="text" w:hAnchor="margin" w:xAlign="center" w:y="1"/>
      <w:rPr>
        <w:rStyle w:val="14"/>
      </w:rPr>
    </w:pPr>
    <w:r>
      <w:fldChar w:fldCharType="begin"/>
    </w:r>
    <w:r>
      <w:rPr>
        <w:rStyle w:val="14"/>
      </w:rPr>
      <w:instrText xml:space="preserve">PAGE  </w:instrText>
    </w:r>
    <w:r>
      <w:fldChar w:fldCharType="end"/>
    </w:r>
  </w:p>
  <w:p w14:paraId="0644E3E6">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BF238BE"/>
    <w:rsid w:val="0FB24AB4"/>
    <w:rsid w:val="10AC236A"/>
    <w:rsid w:val="17263B81"/>
    <w:rsid w:val="18B84E5C"/>
    <w:rsid w:val="1E865036"/>
    <w:rsid w:val="1F9D0438"/>
    <w:rsid w:val="20573B57"/>
    <w:rsid w:val="231E5CE9"/>
    <w:rsid w:val="2587134A"/>
    <w:rsid w:val="27CC1EEA"/>
    <w:rsid w:val="2A5016CC"/>
    <w:rsid w:val="2BBE1950"/>
    <w:rsid w:val="2DFD0CB5"/>
    <w:rsid w:val="31644CA2"/>
    <w:rsid w:val="333756F5"/>
    <w:rsid w:val="3543527A"/>
    <w:rsid w:val="36BE775A"/>
    <w:rsid w:val="36C51B37"/>
    <w:rsid w:val="37324EBF"/>
    <w:rsid w:val="39526B64"/>
    <w:rsid w:val="3BD10967"/>
    <w:rsid w:val="3C883582"/>
    <w:rsid w:val="3E501A87"/>
    <w:rsid w:val="3EA6712C"/>
    <w:rsid w:val="411E1BF1"/>
    <w:rsid w:val="45B5724A"/>
    <w:rsid w:val="46600D10"/>
    <w:rsid w:val="46D10A76"/>
    <w:rsid w:val="476028F5"/>
    <w:rsid w:val="486A3C02"/>
    <w:rsid w:val="4A467007"/>
    <w:rsid w:val="4F930C92"/>
    <w:rsid w:val="50946DB0"/>
    <w:rsid w:val="52896924"/>
    <w:rsid w:val="5411136C"/>
    <w:rsid w:val="6054716C"/>
    <w:rsid w:val="654B3EB8"/>
    <w:rsid w:val="676B5FBF"/>
    <w:rsid w:val="68844983"/>
    <w:rsid w:val="6CEC175A"/>
    <w:rsid w:val="6E0E433F"/>
    <w:rsid w:val="6EFE6F3E"/>
    <w:rsid w:val="6FB42192"/>
    <w:rsid w:val="77770230"/>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qFormat/>
    <w:uiPriority w:val="0"/>
    <w:rPr>
      <w:rFonts w:ascii="宋体" w:hAnsi="Courier New" w:cs="Courier New"/>
      <w:szCs w:val="21"/>
    </w:rPr>
  </w:style>
  <w:style w:type="paragraph" w:styleId="8">
    <w:name w:val="Balloon Text"/>
    <w:basedOn w:val="1"/>
    <w:link w:val="27"/>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30"/>
    <w:next w:val="16"/>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2180</Words>
  <Characters>2312</Characters>
  <Paragraphs>196</Paragraphs>
  <TotalTime>2</TotalTime>
  <ScaleCrop>false</ScaleCrop>
  <LinksUpToDate>false</LinksUpToDate>
  <CharactersWithSpaces>2435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2025-11-19T04:07:53Z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