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AB4F3">
      <w:pPr>
        <w:pStyle w:val="16"/>
        <w:pageBreakBefore w:val="0"/>
        <w:kinsoku/>
        <w:overflowPunct/>
        <w:bidi w:val="0"/>
        <w:ind w:left="0" w:firstLine="1406" w:firstLineChars="200"/>
        <w:jc w:val="both"/>
        <w:rPr>
          <w:rFonts w:hint="eastAsia" w:ascii="宋体" w:hAnsi="宋体" w:eastAsia="宋体" w:cs="宋体"/>
          <w:highlight w:val="none"/>
        </w:rPr>
      </w:pPr>
    </w:p>
    <w:p w14:paraId="29B3408D">
      <w:pPr>
        <w:pStyle w:val="16"/>
        <w:pageBreakBefore w:val="0"/>
        <w:kinsoku/>
        <w:overflowPunct/>
        <w:bidi w:val="0"/>
        <w:ind w:left="0" w:firstLine="1406" w:firstLineChars="200"/>
        <w:jc w:val="both"/>
        <w:rPr>
          <w:rFonts w:hint="eastAsia" w:ascii="宋体" w:hAnsi="宋体" w:eastAsia="宋体" w:cs="宋体"/>
          <w:highlight w:val="none"/>
        </w:rPr>
      </w:pPr>
    </w:p>
    <w:p w14:paraId="6F6DF999">
      <w:pPr>
        <w:pStyle w:val="16"/>
        <w:pageBreakBefore w:val="0"/>
        <w:kinsoku/>
        <w:overflowPunct/>
        <w:bidi w:val="0"/>
        <w:ind w:left="0" w:firstLine="1406" w:firstLineChars="200"/>
        <w:jc w:val="both"/>
        <w:rPr>
          <w:rFonts w:hint="eastAsia" w:ascii="宋体" w:hAnsi="宋体" w:eastAsia="宋体" w:cs="宋体"/>
          <w:highlight w:val="none"/>
        </w:rPr>
      </w:pPr>
    </w:p>
    <w:p w14:paraId="73E174A4">
      <w:pPr>
        <w:pStyle w:val="3"/>
        <w:pageBreakBefore w:val="0"/>
        <w:kinsoku/>
        <w:overflowPunct/>
        <w:bidi w:val="0"/>
        <w:ind w:left="0" w:firstLine="1687" w:firstLineChars="200"/>
        <w:jc w:val="both"/>
        <w:rPr>
          <w:rFonts w:hint="eastAsia" w:ascii="宋体" w:hAnsi="宋体" w:eastAsia="宋体" w:cs="宋体"/>
          <w:highlight w:val="none"/>
        </w:rPr>
      </w:pPr>
      <w:r>
        <w:rPr>
          <w:rFonts w:hint="eastAsia" w:ascii="宋体" w:hAnsi="宋体" w:eastAsia="宋体" w:cs="宋体"/>
          <w:highlight w:val="none"/>
        </w:rPr>
        <w:t>用户需求书</w:t>
      </w:r>
    </w:p>
    <w:p w14:paraId="2B44AB32">
      <w:pPr>
        <w:pageBreakBefore w:val="0"/>
        <w:kinsoku/>
        <w:overflowPunct/>
        <w:bidi w:val="0"/>
        <w:ind w:left="0" w:firstLine="640" w:firstLineChars="200"/>
        <w:jc w:val="both"/>
        <w:rPr>
          <w:rFonts w:hint="eastAsia" w:ascii="宋体" w:hAnsi="宋体" w:eastAsia="宋体" w:cs="宋体"/>
          <w:highlight w:val="none"/>
        </w:rPr>
      </w:pPr>
    </w:p>
    <w:p w14:paraId="04685B22">
      <w:pPr>
        <w:pageBreakBefore w:val="0"/>
        <w:kinsoku/>
        <w:overflowPunct/>
        <w:bidi w:val="0"/>
        <w:ind w:left="0" w:firstLine="640" w:firstLineChars="200"/>
        <w:jc w:val="both"/>
        <w:rPr>
          <w:rFonts w:hint="eastAsia" w:ascii="宋体" w:hAnsi="宋体" w:eastAsia="宋体" w:cs="宋体"/>
          <w:highlight w:val="none"/>
        </w:rPr>
      </w:pPr>
    </w:p>
    <w:p w14:paraId="7C22DA54">
      <w:pPr>
        <w:pageBreakBefore w:val="0"/>
        <w:kinsoku/>
        <w:overflowPunct/>
        <w:bidi w:val="0"/>
        <w:ind w:left="0" w:firstLine="643" w:firstLineChars="200"/>
        <w:jc w:val="both"/>
        <w:rPr>
          <w:rFonts w:hint="eastAsia" w:ascii="宋体" w:hAnsi="宋体" w:eastAsia="宋体" w:cs="宋体"/>
          <w:b/>
          <w:bCs/>
          <w:szCs w:val="32"/>
          <w:highlight w:val="none"/>
        </w:rPr>
      </w:pPr>
    </w:p>
    <w:p w14:paraId="601ECB30">
      <w:pPr>
        <w:pageBreakBefore w:val="0"/>
        <w:kinsoku/>
        <w:overflowPunct/>
        <w:bidi w:val="0"/>
        <w:ind w:left="0" w:firstLine="643" w:firstLineChars="200"/>
        <w:jc w:val="both"/>
        <w:rPr>
          <w:rFonts w:hint="eastAsia" w:ascii="宋体" w:hAnsi="宋体" w:eastAsia="宋体" w:cs="宋体"/>
          <w:highlight w:val="none"/>
        </w:rPr>
      </w:pPr>
      <w:r>
        <w:rPr>
          <w:rFonts w:hint="eastAsia" w:ascii="宋体" w:hAnsi="宋体" w:eastAsia="宋体" w:cs="宋体"/>
          <w:b/>
          <w:bCs/>
          <w:szCs w:val="32"/>
          <w:highlight w:val="none"/>
        </w:rPr>
        <w:t>采购项目名称：</w:t>
      </w:r>
      <w:r>
        <w:rPr>
          <w:rFonts w:hint="eastAsia" w:ascii="宋体" w:hAnsi="宋体" w:eastAsia="宋体" w:cs="宋体"/>
          <w:sz w:val="30"/>
          <w:szCs w:val="30"/>
          <w:highlight w:val="none"/>
        </w:rPr>
        <w:t>中山大学孙逸仙纪念医院食堂食材物资采购及配送服务项目（</w:t>
      </w:r>
      <w:r>
        <w:rPr>
          <w:rFonts w:hint="eastAsia" w:ascii="宋体" w:hAnsi="宋体" w:eastAsia="宋体" w:cs="宋体"/>
          <w:sz w:val="30"/>
          <w:szCs w:val="30"/>
          <w:highlight w:val="none"/>
          <w:lang w:val="en-US" w:eastAsia="zh-CN"/>
        </w:rPr>
        <w:t>牛奶饮品</w:t>
      </w:r>
      <w:r>
        <w:rPr>
          <w:rFonts w:hint="eastAsia" w:ascii="宋体" w:hAnsi="宋体" w:eastAsia="宋体" w:cs="宋体"/>
          <w:sz w:val="30"/>
          <w:szCs w:val="30"/>
          <w:highlight w:val="none"/>
        </w:rPr>
        <w:t>类）</w:t>
      </w:r>
    </w:p>
    <w:p w14:paraId="6B4892B6">
      <w:pPr>
        <w:pageBreakBefore w:val="0"/>
        <w:widowControl/>
        <w:kinsoku/>
        <w:overflowPunct/>
        <w:bidi w:val="0"/>
        <w:ind w:left="0" w:firstLine="640" w:firstLineChars="200"/>
        <w:jc w:val="both"/>
        <w:rPr>
          <w:rFonts w:hint="eastAsia" w:ascii="宋体" w:hAnsi="宋体" w:eastAsia="宋体" w:cs="宋体"/>
          <w:b/>
          <w:kern w:val="0"/>
          <w:sz w:val="21"/>
          <w:szCs w:val="21"/>
          <w:highlight w:val="none"/>
          <w14:ligatures w14:val="none"/>
        </w:rPr>
      </w:pPr>
      <w:r>
        <w:rPr>
          <w:rFonts w:hint="eastAsia" w:ascii="宋体" w:hAnsi="宋体" w:eastAsia="宋体" w:cs="宋体"/>
          <w:highlight w:val="none"/>
        </w:rPr>
        <w:br w:type="page"/>
      </w:r>
    </w:p>
    <w:p w14:paraId="5A31405C">
      <w:pPr>
        <w:pageBreakBefore w:val="0"/>
        <w:numPr>
          <w:ilvl w:val="0"/>
          <w:numId w:val="1"/>
        </w:numPr>
        <w:kinsoku/>
        <w:overflowPunct/>
        <w:bidi w:val="0"/>
        <w:spacing w:before="312" w:beforeLines="100" w:line="360" w:lineRule="auto"/>
        <w:ind w:left="0" w:firstLine="562" w:firstLineChars="200"/>
        <w:jc w:val="both"/>
        <w:outlineLvl w:val="1"/>
        <w:rPr>
          <w:rFonts w:hint="eastAsia" w:ascii="宋体" w:hAnsi="宋体" w:eastAsia="宋体" w:cs="宋体"/>
          <w:b/>
          <w:bCs/>
          <w:kern w:val="0"/>
          <w:sz w:val="28"/>
          <w:szCs w:val="28"/>
          <w:highlight w:val="none"/>
          <w:lang w:eastAsia="en-US"/>
          <w14:ligatures w14:val="none"/>
        </w:rPr>
      </w:pPr>
      <w:r>
        <w:rPr>
          <w:rFonts w:hint="eastAsia" w:ascii="宋体" w:hAnsi="宋体" w:eastAsia="宋体" w:cs="宋体"/>
          <w:b/>
          <w:bCs/>
          <w:kern w:val="0"/>
          <w:sz w:val="28"/>
          <w:szCs w:val="28"/>
          <w:highlight w:val="none"/>
          <w:lang w:eastAsia="en-US"/>
          <w14:ligatures w14:val="none"/>
        </w:rPr>
        <w:t>采购项目内容</w:t>
      </w:r>
    </w:p>
    <w:p w14:paraId="2E7EE729">
      <w:pPr>
        <w:pageBreakBefore w:val="0"/>
        <w:numPr>
          <w:ilvl w:val="0"/>
          <w:numId w:val="2"/>
        </w:numPr>
        <w:kinsoku/>
        <w:overflowPunct/>
        <w:autoSpaceDE w:val="0"/>
        <w:autoSpaceDN w:val="0"/>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lang w:val="zh-CN"/>
          <w14:ligatures w14:val="none"/>
        </w:rPr>
        <w:t>项目标的及采购</w:t>
      </w:r>
      <w:r>
        <w:rPr>
          <w:rFonts w:hint="eastAsia" w:ascii="宋体" w:hAnsi="宋体" w:eastAsia="宋体" w:cs="宋体"/>
          <w:kern w:val="0"/>
          <w:sz w:val="24"/>
          <w:szCs w:val="24"/>
          <w:highlight w:val="none"/>
          <w14:ligatures w14:val="none"/>
        </w:rPr>
        <w:t>预算</w:t>
      </w:r>
    </w:p>
    <w:tbl>
      <w:tblPr>
        <w:tblStyle w:val="17"/>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1106"/>
        <w:gridCol w:w="1440"/>
        <w:gridCol w:w="1219"/>
        <w:gridCol w:w="2102"/>
        <w:gridCol w:w="2327"/>
      </w:tblGrid>
      <w:tr w14:paraId="2B2E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219" w:type="dxa"/>
            <w:vAlign w:val="center"/>
          </w:tcPr>
          <w:p w14:paraId="6FF712C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kern w:val="0"/>
                <w:sz w:val="22"/>
                <w:szCs w:val="22"/>
                <w:highlight w:val="none"/>
                <w14:ligatures w14:val="none"/>
              </w:rPr>
            </w:pPr>
            <w:r>
              <w:rPr>
                <w:rFonts w:hint="eastAsia" w:ascii="宋体" w:hAnsi="宋体" w:eastAsia="宋体" w:cs="宋体"/>
                <w:b/>
                <w:kern w:val="0"/>
                <w:sz w:val="22"/>
                <w:szCs w:val="22"/>
                <w:highlight w:val="none"/>
                <w14:ligatures w14:val="none"/>
              </w:rPr>
              <w:t>采购内容</w:t>
            </w:r>
          </w:p>
        </w:tc>
        <w:tc>
          <w:tcPr>
            <w:tcW w:w="1106" w:type="dxa"/>
            <w:vAlign w:val="center"/>
          </w:tcPr>
          <w:p w14:paraId="552007A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kern w:val="0"/>
                <w:sz w:val="22"/>
                <w:szCs w:val="22"/>
                <w:highlight w:val="none"/>
                <w14:ligatures w14:val="none"/>
              </w:rPr>
            </w:pPr>
            <w:r>
              <w:rPr>
                <w:rFonts w:hint="eastAsia" w:ascii="宋体" w:hAnsi="宋体" w:eastAsia="宋体" w:cs="宋体"/>
                <w:b/>
                <w:bCs/>
                <w:kern w:val="0"/>
                <w:sz w:val="22"/>
                <w:szCs w:val="22"/>
                <w:highlight w:val="none"/>
                <w:lang w:bidi="ar"/>
                <w14:ligatures w14:val="none"/>
              </w:rPr>
              <w:t>规格</w:t>
            </w:r>
          </w:p>
        </w:tc>
        <w:tc>
          <w:tcPr>
            <w:tcW w:w="1440" w:type="dxa"/>
            <w:vAlign w:val="center"/>
          </w:tcPr>
          <w:p w14:paraId="23E949A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kern w:val="0"/>
                <w:sz w:val="22"/>
                <w:szCs w:val="22"/>
                <w:highlight w:val="none"/>
                <w14:ligatures w14:val="none"/>
              </w:rPr>
            </w:pPr>
            <w:r>
              <w:rPr>
                <w:rFonts w:hint="eastAsia" w:ascii="宋体" w:hAnsi="宋体" w:eastAsia="宋体" w:cs="宋体"/>
                <w:b/>
                <w:kern w:val="0"/>
                <w:sz w:val="22"/>
                <w:szCs w:val="22"/>
                <w:highlight w:val="none"/>
                <w14:ligatures w14:val="none"/>
              </w:rPr>
              <w:t>主计量单位</w:t>
            </w:r>
          </w:p>
        </w:tc>
        <w:tc>
          <w:tcPr>
            <w:tcW w:w="1219" w:type="dxa"/>
            <w:vAlign w:val="center"/>
          </w:tcPr>
          <w:p w14:paraId="65F856A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kern w:val="0"/>
                <w:sz w:val="22"/>
                <w:szCs w:val="22"/>
                <w:highlight w:val="none"/>
                <w14:ligatures w14:val="none"/>
              </w:rPr>
            </w:pPr>
            <w:r>
              <w:rPr>
                <w:rFonts w:hint="eastAsia" w:ascii="宋体" w:hAnsi="宋体" w:eastAsia="宋体" w:cs="宋体"/>
                <w:b/>
                <w:kern w:val="0"/>
                <w:sz w:val="22"/>
                <w:szCs w:val="22"/>
                <w:highlight w:val="none"/>
                <w14:ligatures w14:val="none"/>
              </w:rPr>
              <w:t>单价限价</w:t>
            </w:r>
          </w:p>
        </w:tc>
        <w:tc>
          <w:tcPr>
            <w:tcW w:w="2102" w:type="dxa"/>
            <w:vAlign w:val="center"/>
          </w:tcPr>
          <w:p w14:paraId="4F057F2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kern w:val="0"/>
                <w:sz w:val="22"/>
                <w:szCs w:val="22"/>
                <w:highlight w:val="none"/>
                <w14:ligatures w14:val="none"/>
              </w:rPr>
            </w:pPr>
            <w:r>
              <w:rPr>
                <w:rFonts w:hint="eastAsia" w:ascii="宋体" w:hAnsi="宋体" w:eastAsia="宋体" w:cs="宋体"/>
                <w:b/>
                <w:kern w:val="0"/>
                <w:sz w:val="22"/>
                <w:szCs w:val="22"/>
                <w:highlight w:val="none"/>
                <w14:ligatures w14:val="none"/>
              </w:rPr>
              <w:t>预计三年采购数量</w:t>
            </w:r>
          </w:p>
        </w:tc>
        <w:tc>
          <w:tcPr>
            <w:tcW w:w="2327" w:type="dxa"/>
            <w:vAlign w:val="center"/>
          </w:tcPr>
          <w:p w14:paraId="34ED000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kern w:val="0"/>
                <w:sz w:val="22"/>
                <w:szCs w:val="22"/>
                <w:highlight w:val="none"/>
                <w14:ligatures w14:val="none"/>
              </w:rPr>
            </w:pPr>
            <w:r>
              <w:rPr>
                <w:rFonts w:hint="eastAsia" w:ascii="宋体" w:hAnsi="宋体" w:eastAsia="宋体" w:cs="宋体"/>
                <w:b/>
                <w:kern w:val="0"/>
                <w:sz w:val="22"/>
                <w:szCs w:val="22"/>
                <w:highlight w:val="none"/>
                <w14:ligatures w14:val="none"/>
              </w:rPr>
              <w:t>3年采购预算</w:t>
            </w:r>
          </w:p>
          <w:p w14:paraId="1F26332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kern w:val="0"/>
                <w:sz w:val="22"/>
                <w:szCs w:val="22"/>
                <w:highlight w:val="none"/>
                <w14:ligatures w14:val="none"/>
              </w:rPr>
            </w:pPr>
            <w:r>
              <w:rPr>
                <w:rFonts w:hint="eastAsia" w:ascii="宋体" w:hAnsi="宋体" w:eastAsia="宋体" w:cs="宋体"/>
                <w:b/>
                <w:kern w:val="0"/>
                <w:sz w:val="22"/>
                <w:szCs w:val="22"/>
                <w:highlight w:val="none"/>
                <w14:ligatures w14:val="none"/>
              </w:rPr>
              <w:t>（最高限价）</w:t>
            </w:r>
          </w:p>
        </w:tc>
      </w:tr>
      <w:tr w14:paraId="3198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19" w:type="dxa"/>
            <w:vAlign w:val="center"/>
          </w:tcPr>
          <w:p w14:paraId="687EC50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kern w:val="0"/>
                <w:sz w:val="22"/>
                <w:szCs w:val="22"/>
                <w:highlight w:val="none"/>
                <w14:ligatures w14:val="none"/>
              </w:rPr>
            </w:pPr>
            <w:r>
              <w:rPr>
                <w:rFonts w:hint="eastAsia" w:ascii="宋体" w:hAnsi="宋体" w:eastAsia="宋体" w:cs="宋体"/>
                <w:kern w:val="0"/>
                <w:sz w:val="22"/>
                <w:szCs w:val="22"/>
                <w:highlight w:val="none"/>
                <w14:ligatures w14:val="none"/>
              </w:rPr>
              <w:t>纯牛奶</w:t>
            </w:r>
          </w:p>
        </w:tc>
        <w:tc>
          <w:tcPr>
            <w:tcW w:w="1106" w:type="dxa"/>
            <w:vAlign w:val="center"/>
          </w:tcPr>
          <w:p w14:paraId="15EE6C5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kern w:val="0"/>
                <w:sz w:val="22"/>
                <w:szCs w:val="22"/>
                <w:highlight w:val="none"/>
                <w:lang w:val="en-US" w:eastAsia="zh-CN" w:bidi="ar"/>
                <w14:ligatures w14:val="none"/>
              </w:rPr>
            </w:pPr>
            <w:r>
              <w:rPr>
                <w:rFonts w:hint="eastAsia" w:ascii="宋体" w:hAnsi="宋体" w:eastAsia="宋体" w:cs="宋体"/>
                <w:kern w:val="0"/>
                <w:sz w:val="22"/>
                <w:szCs w:val="22"/>
                <w:highlight w:val="none"/>
                <w:lang w:val="en-US" w:eastAsia="zh-CN" w:bidi="ar"/>
                <w14:ligatures w14:val="none"/>
              </w:rPr>
              <w:t>≥</w:t>
            </w:r>
            <w:r>
              <w:rPr>
                <w:rFonts w:hint="eastAsia" w:ascii="宋体" w:hAnsi="宋体" w:eastAsia="宋体" w:cs="宋体"/>
                <w:kern w:val="0"/>
                <w:sz w:val="22"/>
                <w:szCs w:val="22"/>
                <w:highlight w:val="none"/>
                <w:lang w:bidi="ar"/>
                <w14:ligatures w14:val="none"/>
              </w:rPr>
              <w:t>200ml</w:t>
            </w:r>
          </w:p>
        </w:tc>
        <w:tc>
          <w:tcPr>
            <w:tcW w:w="1440" w:type="dxa"/>
            <w:vAlign w:val="center"/>
          </w:tcPr>
          <w:p w14:paraId="5F6A7DE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kern w:val="0"/>
                <w:sz w:val="22"/>
                <w:szCs w:val="22"/>
                <w:highlight w:val="none"/>
                <w:lang w:val="en-US" w:eastAsia="zh-CN"/>
                <w14:ligatures w14:val="none"/>
              </w:rPr>
            </w:pPr>
            <w:r>
              <w:rPr>
                <w:rFonts w:hint="eastAsia" w:ascii="宋体" w:hAnsi="宋体" w:eastAsia="宋体" w:cs="宋体"/>
                <w:kern w:val="0"/>
                <w:sz w:val="22"/>
                <w:szCs w:val="22"/>
                <w:highlight w:val="none"/>
                <w:lang w:val="en-US" w:eastAsia="zh-CN"/>
                <w14:ligatures w14:val="none"/>
              </w:rPr>
              <w:t>盒/瓶</w:t>
            </w:r>
          </w:p>
        </w:tc>
        <w:tc>
          <w:tcPr>
            <w:tcW w:w="1219" w:type="dxa"/>
            <w:vAlign w:val="center"/>
          </w:tcPr>
          <w:p w14:paraId="6D80F1A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ascii="宋体" w:hAnsi="宋体" w:eastAsia="宋体" w:cs="宋体"/>
                <w:kern w:val="0"/>
                <w:sz w:val="22"/>
                <w:szCs w:val="22"/>
                <w:highlight w:val="none"/>
                <w:lang w:val="en-US" w:eastAsia="zh-CN"/>
                <w14:ligatures w14:val="none"/>
              </w:rPr>
            </w:pPr>
            <w:r>
              <w:rPr>
                <w:rFonts w:hint="eastAsia" w:ascii="宋体" w:hAnsi="宋体" w:eastAsia="宋体" w:cs="宋体"/>
                <w:kern w:val="0"/>
                <w:sz w:val="22"/>
                <w:szCs w:val="22"/>
                <w:highlight w:val="none"/>
                <w:lang w:val="en-US" w:eastAsia="zh-CN"/>
                <w14:ligatures w14:val="none"/>
              </w:rPr>
              <w:t>2.78</w:t>
            </w:r>
          </w:p>
        </w:tc>
        <w:tc>
          <w:tcPr>
            <w:tcW w:w="2102" w:type="dxa"/>
            <w:vAlign w:val="center"/>
          </w:tcPr>
          <w:p w14:paraId="2C4A022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kern w:val="0"/>
                <w:sz w:val="22"/>
                <w:szCs w:val="22"/>
                <w:highlight w:val="none"/>
                <w:lang w:val="en-US" w:eastAsia="zh-CN"/>
                <w14:ligatures w14:val="none"/>
              </w:rPr>
            </w:pPr>
            <w:r>
              <w:rPr>
                <w:rFonts w:hint="eastAsia" w:ascii="宋体" w:hAnsi="宋体" w:eastAsia="宋体" w:cs="宋体"/>
                <w:kern w:val="0"/>
                <w:sz w:val="22"/>
                <w:szCs w:val="22"/>
                <w:highlight w:val="none"/>
                <w:lang w:val="en-US" w:eastAsia="zh-CN"/>
                <w14:ligatures w14:val="none"/>
              </w:rPr>
              <w:t>203796</w:t>
            </w:r>
          </w:p>
        </w:tc>
        <w:tc>
          <w:tcPr>
            <w:tcW w:w="2327" w:type="dxa"/>
            <w:vAlign w:val="center"/>
          </w:tcPr>
          <w:p w14:paraId="6C356A2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ascii="宋体" w:hAnsi="宋体" w:eastAsia="宋体" w:cs="宋体"/>
                <w:bCs/>
                <w:kern w:val="0"/>
                <w:sz w:val="22"/>
                <w:szCs w:val="22"/>
                <w:highlight w:val="none"/>
                <w:lang w:eastAsia="en-US"/>
                <w14:ligatures w14:val="none"/>
              </w:rPr>
            </w:pPr>
            <w:r>
              <w:rPr>
                <w:rFonts w:hint="eastAsia" w:ascii="宋体" w:hAnsi="宋体" w:eastAsia="宋体" w:cs="宋体"/>
                <w:kern w:val="0"/>
                <w:sz w:val="22"/>
                <w:szCs w:val="22"/>
                <w:highlight w:val="none"/>
                <w:lang w:eastAsia="en-US"/>
                <w14:ligatures w14:val="none"/>
              </w:rPr>
              <w:t>人民币</w:t>
            </w:r>
            <w:r>
              <w:rPr>
                <w:rFonts w:hint="eastAsia" w:ascii="宋体" w:hAnsi="宋体" w:eastAsia="宋体" w:cs="宋体"/>
                <w:kern w:val="0"/>
                <w:sz w:val="22"/>
                <w:szCs w:val="22"/>
                <w:highlight w:val="none"/>
                <w:lang w:val="en-US" w:eastAsia="zh-CN"/>
                <w14:ligatures w14:val="none"/>
              </w:rPr>
              <w:t>566552.88</w:t>
            </w:r>
            <w:r>
              <w:rPr>
                <w:rFonts w:hint="eastAsia" w:ascii="宋体" w:hAnsi="宋体" w:eastAsia="宋体" w:cs="宋体"/>
                <w:kern w:val="0"/>
                <w:sz w:val="22"/>
                <w:szCs w:val="22"/>
                <w:highlight w:val="none"/>
                <w:lang w:eastAsia="en-US"/>
                <w14:ligatures w14:val="none"/>
              </w:rPr>
              <w:t>元</w:t>
            </w:r>
          </w:p>
        </w:tc>
      </w:tr>
      <w:tr w14:paraId="10EC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19" w:type="dxa"/>
            <w:vAlign w:val="center"/>
          </w:tcPr>
          <w:p w14:paraId="3F2F2DD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kern w:val="0"/>
                <w:sz w:val="22"/>
                <w:szCs w:val="22"/>
                <w:highlight w:val="none"/>
                <w:lang w:bidi="ar"/>
                <w14:ligatures w14:val="none"/>
              </w:rPr>
            </w:pPr>
            <w:r>
              <w:rPr>
                <w:rFonts w:hint="eastAsia" w:ascii="宋体" w:hAnsi="宋体" w:eastAsia="宋体" w:cs="宋体"/>
                <w:kern w:val="0"/>
                <w:sz w:val="22"/>
                <w:szCs w:val="22"/>
                <w:highlight w:val="none"/>
                <w:lang w:val="en-US" w:eastAsia="zh-CN"/>
                <w14:ligatures w14:val="none"/>
              </w:rPr>
              <w:t>红枣</w:t>
            </w:r>
            <w:r>
              <w:rPr>
                <w:rFonts w:hint="eastAsia" w:ascii="宋体" w:hAnsi="宋体" w:eastAsia="宋体" w:cs="宋体"/>
                <w:kern w:val="0"/>
                <w:sz w:val="22"/>
                <w:szCs w:val="22"/>
                <w:highlight w:val="none"/>
                <w14:ligatures w14:val="none"/>
              </w:rPr>
              <w:t>奶</w:t>
            </w:r>
          </w:p>
        </w:tc>
        <w:tc>
          <w:tcPr>
            <w:tcW w:w="1106" w:type="dxa"/>
            <w:vAlign w:val="center"/>
          </w:tcPr>
          <w:p w14:paraId="69CFCB5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kern w:val="0"/>
                <w:sz w:val="22"/>
                <w:szCs w:val="22"/>
                <w:highlight w:val="none"/>
                <w:lang w:bidi="ar"/>
                <w14:ligatures w14:val="none"/>
              </w:rPr>
            </w:pPr>
            <w:r>
              <w:rPr>
                <w:rFonts w:hint="eastAsia" w:ascii="宋体" w:hAnsi="宋体" w:eastAsia="宋体" w:cs="宋体"/>
                <w:kern w:val="0"/>
                <w:sz w:val="22"/>
                <w:szCs w:val="22"/>
                <w:highlight w:val="none"/>
                <w:lang w:val="en-US" w:eastAsia="zh-CN" w:bidi="ar"/>
                <w14:ligatures w14:val="none"/>
              </w:rPr>
              <w:t>≥</w:t>
            </w:r>
            <w:r>
              <w:rPr>
                <w:rFonts w:hint="eastAsia" w:ascii="宋体" w:hAnsi="宋体" w:eastAsia="宋体" w:cs="宋体"/>
                <w:kern w:val="0"/>
                <w:sz w:val="22"/>
                <w:szCs w:val="22"/>
                <w:highlight w:val="none"/>
                <w:lang w:bidi="ar"/>
                <w14:ligatures w14:val="none"/>
              </w:rPr>
              <w:t>200ml</w:t>
            </w:r>
          </w:p>
        </w:tc>
        <w:tc>
          <w:tcPr>
            <w:tcW w:w="1440" w:type="dxa"/>
            <w:vAlign w:val="center"/>
          </w:tcPr>
          <w:p w14:paraId="33D4622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kern w:val="0"/>
                <w:sz w:val="22"/>
                <w:szCs w:val="22"/>
                <w:highlight w:val="none"/>
                <w:lang w:val="en-US" w:eastAsia="zh-CN"/>
                <w14:ligatures w14:val="none"/>
              </w:rPr>
            </w:pPr>
            <w:r>
              <w:rPr>
                <w:rFonts w:hint="eastAsia" w:ascii="宋体" w:hAnsi="宋体" w:eastAsia="宋体" w:cs="宋体"/>
                <w:kern w:val="0"/>
                <w:sz w:val="22"/>
                <w:szCs w:val="22"/>
                <w:highlight w:val="none"/>
                <w:lang w:val="en-US" w:eastAsia="zh-CN"/>
                <w14:ligatures w14:val="none"/>
              </w:rPr>
              <w:t>盒/瓶</w:t>
            </w:r>
          </w:p>
        </w:tc>
        <w:tc>
          <w:tcPr>
            <w:tcW w:w="1219" w:type="dxa"/>
            <w:vAlign w:val="center"/>
          </w:tcPr>
          <w:p w14:paraId="52992CF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ascii="宋体" w:hAnsi="宋体" w:eastAsia="宋体" w:cs="宋体"/>
                <w:kern w:val="0"/>
                <w:sz w:val="22"/>
                <w:szCs w:val="22"/>
                <w:highlight w:val="none"/>
                <w:lang w:val="en-US"/>
                <w14:ligatures w14:val="none"/>
              </w:rPr>
            </w:pPr>
            <w:r>
              <w:rPr>
                <w:rFonts w:hint="eastAsia" w:ascii="宋体" w:hAnsi="宋体" w:eastAsia="宋体" w:cs="宋体"/>
                <w:kern w:val="0"/>
                <w:sz w:val="22"/>
                <w:szCs w:val="22"/>
                <w:highlight w:val="none"/>
                <w:lang w:val="en-US" w:eastAsia="zh-CN"/>
                <w14:ligatures w14:val="none"/>
              </w:rPr>
              <w:t>2.78</w:t>
            </w:r>
          </w:p>
        </w:tc>
        <w:tc>
          <w:tcPr>
            <w:tcW w:w="2102" w:type="dxa"/>
            <w:vAlign w:val="center"/>
          </w:tcPr>
          <w:p w14:paraId="6A0FE08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kern w:val="0"/>
                <w:sz w:val="22"/>
                <w:szCs w:val="22"/>
                <w:highlight w:val="none"/>
                <w:lang w:val="en-US" w:eastAsia="zh-CN"/>
                <w14:ligatures w14:val="none"/>
              </w:rPr>
            </w:pPr>
            <w:r>
              <w:rPr>
                <w:rFonts w:hint="eastAsia" w:ascii="宋体" w:hAnsi="宋体" w:eastAsia="宋体" w:cs="宋体"/>
                <w:kern w:val="0"/>
                <w:sz w:val="22"/>
                <w:szCs w:val="22"/>
                <w:highlight w:val="none"/>
                <w:lang w:val="en-US" w:eastAsia="zh-CN"/>
                <w14:ligatures w14:val="none"/>
              </w:rPr>
              <w:t>119772</w:t>
            </w:r>
          </w:p>
        </w:tc>
        <w:tc>
          <w:tcPr>
            <w:tcW w:w="2327" w:type="dxa"/>
            <w:vAlign w:val="center"/>
          </w:tcPr>
          <w:p w14:paraId="1C2E810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ascii="宋体" w:hAnsi="宋体" w:eastAsia="宋体" w:cs="宋体"/>
                <w:kern w:val="0"/>
                <w:sz w:val="22"/>
                <w:szCs w:val="22"/>
                <w:highlight w:val="none"/>
                <w:lang w:eastAsia="en-US"/>
                <w14:ligatures w14:val="none"/>
              </w:rPr>
            </w:pPr>
            <w:r>
              <w:rPr>
                <w:rFonts w:hint="eastAsia" w:ascii="宋体" w:hAnsi="宋体" w:eastAsia="宋体" w:cs="宋体"/>
                <w:kern w:val="0"/>
                <w:sz w:val="22"/>
                <w:szCs w:val="22"/>
                <w:highlight w:val="none"/>
                <w:lang w:eastAsia="en-US"/>
                <w14:ligatures w14:val="none"/>
              </w:rPr>
              <w:t>人民币</w:t>
            </w:r>
            <w:r>
              <w:rPr>
                <w:rFonts w:hint="eastAsia" w:ascii="宋体" w:hAnsi="宋体" w:eastAsia="宋体" w:cs="宋体"/>
                <w:kern w:val="0"/>
                <w:sz w:val="22"/>
                <w:szCs w:val="22"/>
                <w:highlight w:val="none"/>
                <w:lang w:val="en-US" w:eastAsia="zh-CN"/>
                <w14:ligatures w14:val="none"/>
              </w:rPr>
              <w:t>332966.16</w:t>
            </w:r>
            <w:r>
              <w:rPr>
                <w:rFonts w:hint="eastAsia" w:ascii="宋体" w:hAnsi="宋体" w:eastAsia="宋体" w:cs="宋体"/>
                <w:kern w:val="0"/>
                <w:sz w:val="22"/>
                <w:szCs w:val="22"/>
                <w:highlight w:val="none"/>
                <w:lang w:eastAsia="en-US"/>
                <w14:ligatures w14:val="none"/>
              </w:rPr>
              <w:t>元</w:t>
            </w:r>
          </w:p>
        </w:tc>
      </w:tr>
      <w:tr w14:paraId="4F36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02" w:type="dxa"/>
            <w:gridSpan w:val="5"/>
            <w:vAlign w:val="center"/>
          </w:tcPr>
          <w:p w14:paraId="766D2AC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kern w:val="0"/>
                <w:sz w:val="22"/>
                <w:szCs w:val="22"/>
                <w:highlight w:val="none"/>
                <w:lang w:val="en-US" w:eastAsia="zh-CN"/>
                <w14:ligatures w14:val="none"/>
              </w:rPr>
            </w:pPr>
            <w:r>
              <w:rPr>
                <w:rFonts w:hint="eastAsia" w:ascii="宋体" w:hAnsi="宋体" w:eastAsia="宋体" w:cs="宋体"/>
                <w:b/>
                <w:kern w:val="0"/>
                <w:sz w:val="22"/>
                <w:szCs w:val="22"/>
                <w:highlight w:val="none"/>
                <w:lang w:val="en-US" w:eastAsia="zh-CN"/>
                <w14:ligatures w14:val="none"/>
              </w:rPr>
              <w:t>合计</w:t>
            </w:r>
          </w:p>
        </w:tc>
        <w:tc>
          <w:tcPr>
            <w:tcW w:w="2327" w:type="dxa"/>
            <w:vAlign w:val="center"/>
          </w:tcPr>
          <w:p w14:paraId="0BB3AF7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right"/>
              <w:rPr>
                <w:rFonts w:hint="eastAsia" w:ascii="宋体" w:hAnsi="宋体" w:eastAsia="宋体" w:cs="宋体"/>
                <w:b/>
                <w:kern w:val="0"/>
                <w:sz w:val="22"/>
                <w:szCs w:val="22"/>
                <w:highlight w:val="none"/>
                <w:lang w:eastAsia="en-US"/>
                <w14:ligatures w14:val="none"/>
              </w:rPr>
            </w:pPr>
            <w:r>
              <w:rPr>
                <w:rFonts w:hint="eastAsia" w:ascii="宋体" w:hAnsi="宋体" w:eastAsia="宋体" w:cs="宋体"/>
                <w:b/>
                <w:kern w:val="0"/>
                <w:sz w:val="22"/>
                <w:szCs w:val="22"/>
                <w:highlight w:val="none"/>
                <w:lang w:eastAsia="en-US"/>
                <w14:ligatures w14:val="none"/>
              </w:rPr>
              <w:t>人民币</w:t>
            </w:r>
            <w:r>
              <w:rPr>
                <w:rFonts w:hint="eastAsia" w:ascii="宋体" w:hAnsi="宋体" w:eastAsia="宋体" w:cs="宋体"/>
                <w:b/>
                <w:kern w:val="0"/>
                <w:sz w:val="22"/>
                <w:szCs w:val="22"/>
                <w:highlight w:val="none"/>
                <w:lang w:val="en-US" w:eastAsia="zh-CN"/>
                <w14:ligatures w14:val="none"/>
              </w:rPr>
              <w:t>899519.04</w:t>
            </w:r>
            <w:r>
              <w:rPr>
                <w:rFonts w:hint="eastAsia" w:ascii="宋体" w:hAnsi="宋体" w:eastAsia="宋体" w:cs="宋体"/>
                <w:b/>
                <w:kern w:val="0"/>
                <w:sz w:val="22"/>
                <w:szCs w:val="22"/>
                <w:highlight w:val="none"/>
                <w:lang w:eastAsia="en-US"/>
                <w14:ligatures w14:val="none"/>
              </w:rPr>
              <w:t>元</w:t>
            </w:r>
          </w:p>
        </w:tc>
      </w:tr>
    </w:tbl>
    <w:p w14:paraId="2319EF6E">
      <w:pPr>
        <w:pStyle w:val="2"/>
        <w:pageBreakBefore w:val="0"/>
        <w:numPr>
          <w:ilvl w:val="0"/>
          <w:numId w:val="0"/>
        </w:numPr>
        <w:kinsoku/>
        <w:overflowPunct/>
        <w:bidi w:val="0"/>
        <w:ind w:left="0" w:firstLine="344" w:firstLineChars="200"/>
        <w:jc w:val="both"/>
        <w:rPr>
          <w:rFonts w:hint="eastAsia" w:ascii="宋体" w:hAnsi="宋体" w:eastAsia="宋体" w:cs="宋体"/>
          <w:highlight w:val="none"/>
          <w:lang w:val="zh-CN"/>
        </w:rPr>
      </w:pPr>
    </w:p>
    <w:p w14:paraId="19BD67CE">
      <w:pPr>
        <w:pageBreakBefore w:val="0"/>
        <w:numPr>
          <w:ilvl w:val="0"/>
          <w:numId w:val="3"/>
        </w:numPr>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服务时间：自合同生效之日起3年或累计实际结算款项达到本项目中标金额上限，以先到者为准。</w:t>
      </w:r>
    </w:p>
    <w:p w14:paraId="17BDF94F">
      <w:pPr>
        <w:pageBreakBefore w:val="0"/>
        <w:numPr>
          <w:ilvl w:val="0"/>
          <w:numId w:val="0"/>
        </w:numPr>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3．服务项目地点：采购人指定地点。</w:t>
      </w:r>
    </w:p>
    <w:p w14:paraId="6E1212E1">
      <w:pPr>
        <w:pageBreakBefore w:val="0"/>
        <w:numPr>
          <w:ilvl w:val="0"/>
          <w:numId w:val="1"/>
        </w:numPr>
        <w:kinsoku/>
        <w:overflowPunct/>
        <w:bidi w:val="0"/>
        <w:spacing w:before="312" w:beforeLines="100" w:line="360" w:lineRule="auto"/>
        <w:ind w:left="0" w:firstLine="562" w:firstLineChars="200"/>
        <w:jc w:val="both"/>
        <w:outlineLvl w:val="1"/>
        <w:rPr>
          <w:rFonts w:hint="eastAsia" w:ascii="宋体" w:hAnsi="宋体" w:eastAsia="宋体" w:cs="宋体"/>
          <w:b/>
          <w:bCs/>
          <w:sz w:val="28"/>
          <w:szCs w:val="28"/>
          <w:highlight w:val="none"/>
          <w14:ligatures w14:val="none"/>
        </w:rPr>
      </w:pPr>
      <w:r>
        <w:rPr>
          <w:rFonts w:hint="eastAsia" w:ascii="宋体" w:hAnsi="宋体" w:eastAsia="宋体" w:cs="宋体"/>
          <w:b/>
          <w:bCs/>
          <w:sz w:val="28"/>
          <w:szCs w:val="28"/>
          <w:highlight w:val="none"/>
          <w14:ligatures w14:val="none"/>
        </w:rPr>
        <w:t>采购项目技术（参数）服务要求</w:t>
      </w:r>
    </w:p>
    <w:p w14:paraId="466B3102">
      <w:pPr>
        <w:pageBreakBefore w:val="0"/>
        <w:kinsoku/>
        <w:overflowPunct/>
        <w:bidi w:val="0"/>
        <w:adjustRightInd w:val="0"/>
        <w:snapToGrid w:val="0"/>
        <w:spacing w:before="156" w:beforeLines="50" w:line="360" w:lineRule="auto"/>
        <w:ind w:left="0" w:firstLine="482" w:firstLineChars="200"/>
        <w:jc w:val="both"/>
        <w:rPr>
          <w:rFonts w:hint="eastAsia" w:ascii="宋体" w:hAnsi="宋体" w:eastAsia="宋体" w:cs="宋体"/>
          <w:b/>
          <w:kern w:val="0"/>
          <w:sz w:val="24"/>
          <w:szCs w:val="24"/>
          <w:highlight w:val="none"/>
          <w14:ligatures w14:val="none"/>
        </w:rPr>
      </w:pPr>
      <w:r>
        <w:rPr>
          <w:rFonts w:hint="eastAsia" w:ascii="宋体" w:hAnsi="宋体" w:eastAsia="宋体" w:cs="宋体"/>
          <w:b/>
          <w:kern w:val="0"/>
          <w:sz w:val="24"/>
          <w:szCs w:val="24"/>
          <w:highlight w:val="none"/>
          <w14:ligatures w14:val="none"/>
        </w:rPr>
        <w:t>（一）项目概况</w:t>
      </w:r>
    </w:p>
    <w:p w14:paraId="1943E987">
      <w:pPr>
        <w:pageBreakBefore w:val="0"/>
        <w:kinsoku/>
        <w:overflowPunct/>
        <w:bidi w:val="0"/>
        <w:adjustRightInd w:val="0"/>
        <w:snapToGrid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1．本项目为中山大学孙逸仙纪念医院食堂食材物资采购及配送服务项目（</w:t>
      </w:r>
      <w:r>
        <w:rPr>
          <w:rFonts w:hint="eastAsia" w:ascii="宋体" w:hAnsi="宋体" w:eastAsia="宋体" w:cs="宋体"/>
          <w:kern w:val="0"/>
          <w:sz w:val="24"/>
          <w:szCs w:val="24"/>
          <w:highlight w:val="none"/>
          <w:lang w:val="en-US" w:eastAsia="zh-CN"/>
          <w14:ligatures w14:val="none"/>
        </w:rPr>
        <w:t>牛奶饮品类</w:t>
      </w:r>
      <w:r>
        <w:rPr>
          <w:rFonts w:hint="eastAsia" w:ascii="宋体" w:hAnsi="宋体" w:eastAsia="宋体" w:cs="宋体"/>
          <w:kern w:val="0"/>
          <w:sz w:val="24"/>
          <w:szCs w:val="24"/>
          <w:highlight w:val="none"/>
          <w14:ligatures w14:val="none"/>
        </w:rPr>
        <w:t>）。</w:t>
      </w:r>
    </w:p>
    <w:p w14:paraId="5D62A4AD">
      <w:pPr>
        <w:pageBreakBefore w:val="0"/>
        <w:kinsoku/>
        <w:overflowPunct/>
        <w:bidi w:val="0"/>
        <w:adjustRightInd w:val="0"/>
        <w:snapToGrid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2．项目配送地点：中山大学孙逸仙纪念医院指定院区。</w:t>
      </w:r>
    </w:p>
    <w:p w14:paraId="2C546960">
      <w:pPr>
        <w:pageBreakBefore w:val="0"/>
        <w:kinsoku/>
        <w:overflowPunct/>
        <w:bidi w:val="0"/>
        <w:adjustRightInd w:val="0"/>
        <w:snapToGrid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3．用餐量：每天供应医院用餐人员约6000人次用餐。</w:t>
      </w:r>
    </w:p>
    <w:p w14:paraId="3D5B4A43">
      <w:pPr>
        <w:pageBreakBefore w:val="0"/>
        <w:kinsoku/>
        <w:overflowPunct/>
        <w:bidi w:val="0"/>
        <w:adjustRightInd w:val="0"/>
        <w:snapToGrid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4．计划采购清单的品种及采购数量仅供投标报价使用，实际供货数量以采购人每次提供的订单为准。</w:t>
      </w:r>
    </w:p>
    <w:p w14:paraId="2A2890A7">
      <w:pPr>
        <w:pageBreakBefore w:val="0"/>
        <w:kinsoku/>
        <w:overflowPunct/>
        <w:bidi w:val="0"/>
        <w:adjustRightInd w:val="0"/>
        <w:snapToGrid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5．服务时间：自合同生效之日起3年或累计实际结算款项达到本项目中标金额上限，以先到者为准。</w:t>
      </w:r>
    </w:p>
    <w:p w14:paraId="2029E8C8">
      <w:pPr>
        <w:pageBreakBefore w:val="0"/>
        <w:kinsoku/>
        <w:overflowPunct/>
        <w:bidi w:val="0"/>
        <w:adjustRightInd w:val="0"/>
        <w:snapToGrid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6.供货时间：采购人为三甲公立医院，全年无休，投标人需按采购人要求时间供货，法定节假日（如春节、国庆等）亦需正常供货。</w:t>
      </w:r>
    </w:p>
    <w:p w14:paraId="02D40CB6">
      <w:pPr>
        <w:pageBreakBefore w:val="0"/>
        <w:kinsoku/>
        <w:overflowPunct/>
        <w:bidi w:val="0"/>
        <w:adjustRightInd w:val="0"/>
        <w:snapToGrid w:val="0"/>
        <w:spacing w:before="156" w:beforeLines="50" w:line="360" w:lineRule="auto"/>
        <w:ind w:left="0" w:firstLine="482" w:firstLineChars="200"/>
        <w:jc w:val="both"/>
        <w:rPr>
          <w:rFonts w:hint="eastAsia" w:ascii="宋体" w:hAnsi="宋体" w:eastAsia="宋体" w:cs="宋体"/>
          <w:b/>
          <w:kern w:val="0"/>
          <w:sz w:val="24"/>
          <w:szCs w:val="24"/>
          <w:highlight w:val="none"/>
          <w14:ligatures w14:val="none"/>
        </w:rPr>
      </w:pPr>
      <w:r>
        <w:rPr>
          <w:rFonts w:hint="eastAsia" w:ascii="宋体" w:hAnsi="宋体" w:eastAsia="宋体" w:cs="宋体"/>
          <w:b/>
          <w:kern w:val="0"/>
          <w:sz w:val="24"/>
          <w:szCs w:val="24"/>
          <w:highlight w:val="none"/>
          <w14:ligatures w14:val="none"/>
        </w:rPr>
        <w:t>（二）项目总体要求</w:t>
      </w:r>
    </w:p>
    <w:p w14:paraId="1BF8639B">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1．采购人日常用餐人员较多，如供应商将来在合同履约时因疏忽或过失致使消费者食物中毒或其他食源性疾患等，造成消费者人身损害或财产损失的，可能引发严重后果。供应商须承诺在中标后30天内向采购人提供有效的“食品安全责任保险”（保额不少于</w:t>
      </w:r>
      <w:r>
        <w:rPr>
          <w:rFonts w:hint="eastAsia" w:ascii="宋体" w:hAnsi="宋体" w:eastAsia="宋体" w:cs="宋体"/>
          <w:bCs/>
          <w:sz w:val="24"/>
          <w:szCs w:val="24"/>
          <w:highlight w:val="yellow"/>
          <w14:ligatures w14:val="none"/>
        </w:rPr>
        <w:t>500万元</w:t>
      </w:r>
      <w:r>
        <w:rPr>
          <w:rFonts w:hint="eastAsia" w:ascii="宋体" w:hAnsi="宋体" w:eastAsia="宋体" w:cs="宋体"/>
          <w:bCs/>
          <w:sz w:val="24"/>
          <w:szCs w:val="24"/>
          <w:highlight w:val="none"/>
          <w14:ligatures w14:val="none"/>
        </w:rPr>
        <w:t>）合同复印件并交由采购人主管部门备案，同时承诺到期后及时续保，并保证保险期限覆盖本项目合同期。（投标人的投标文件须提供承诺函并加盖单位公章，承诺函格式自拟）</w:t>
      </w:r>
    </w:p>
    <w:p w14:paraId="231201B6">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★2．供应商所供的产品应是国内产品，且符合《中华人民共和国食品安全法》的相关规定及行业内规定的生产与经营内相关标准（如有），保证提供的产品为合法销售、渠道正规、</w:t>
      </w:r>
      <w:r>
        <w:rPr>
          <w:rFonts w:hint="eastAsia" w:ascii="宋体" w:hAnsi="宋体" w:eastAsia="宋体" w:cs="宋体"/>
          <w:bCs/>
          <w:sz w:val="24"/>
          <w:szCs w:val="24"/>
          <w:highlight w:val="none"/>
          <w:lang w:eastAsia="zh-CN"/>
          <w14:ligatures w14:val="none"/>
        </w:rPr>
        <w:t>安全</w:t>
      </w:r>
      <w:r>
        <w:rPr>
          <w:rFonts w:hint="eastAsia" w:ascii="宋体" w:hAnsi="宋体" w:eastAsia="宋体" w:cs="宋体"/>
          <w:bCs/>
          <w:sz w:val="24"/>
          <w:szCs w:val="24"/>
          <w:highlight w:val="none"/>
          <w14:ligatures w14:val="none"/>
        </w:rPr>
        <w:t>产品，保证无异味、无变质等质量问题。所有供应的产品包装必须为原厂封口(除须后期分割的产品外);密封包装无破损、无漏气、内无杂物，标识与实物相符，生产日期与保质期明确，生产厂家、地址、联系方式明确，标识重量与实际重量相符，提供产品检验合格证明。如不符合投标时响应描述的质量标准，采购人有权要求无条件退货，由此对采购人造成不良影响的，供应商应承担该行为造成的一切责任与赔偿；保证合同项下提供的货物不侵犯任何第三方的专利、商标或版权，否则供应商承担对第三方的专利或版权的侵权责任并承担因此而发生的所有费用。（投标人的投标文件须提供承诺函并加盖单位公章，承诺函格式自拟）</w:t>
      </w:r>
    </w:p>
    <w:p w14:paraId="04D869C7">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3.供应商应严格按照合同要求和国家、部门的有关行业标准生产和检验，确保产品质量。要求供应商提供货物的生产厂家信誉良好，配送货物品牌应为市场上流通的主流品牌，有明确的商品标签，不得使用转基因产品，不许以次充好、以假充真。（投标人的投标文件须提供承诺函并加盖单位公章，承诺函格式自拟）</w:t>
      </w:r>
    </w:p>
    <w:p w14:paraId="7D5EB5C8">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4.供应商应充分做好工作人员的培训、教育工作，严格遵守采购人的各项规定。供应商指派的配送专员，须持有效的健康证、穿着便于辨认的工衣和配戴胸卡，符合食品行业要求。配送专员必须遵纪守法、品行良好，无犯罪、无吸毒史，在采购人院内活动必须严格遵守采购人各项规章制度，不得做出有损采购人形象和利益的事情。</w:t>
      </w:r>
    </w:p>
    <w:p w14:paraId="3570A63A">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5.供应商不得将中标项目转包、分包，否则采购人可根据合同情况视其违约，并经相关行政主管部门同意后，采购人有权解除本合同，供应商承担由此造成的经济损失，且履约保证金不予退还。（投标人的投标文件须提供承诺函并加盖单位公章，承诺函格式自拟）</w:t>
      </w:r>
    </w:p>
    <w:p w14:paraId="3DA5E08D">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6.供应商应积极配合采购人相关业务，包括但不限于按时提供供货及报价清单、盖章的考核表、发票等情况。</w:t>
      </w:r>
    </w:p>
    <w:p w14:paraId="1FA46721">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7.供应商应能够配合采购人及时更新所提供的符合食品安全监督管理部门的有效证明材料。如有效的营业执照、产品合格证、食品生产许可证或食品经营许可证或仅销售预包装食品的备案证明等。</w:t>
      </w:r>
    </w:p>
    <w:p w14:paraId="011511AB">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8.供应商必须无条件配合落实采购人单位制定的各项制度及突发事件的应急配送工作。供应商工作人员的人身安全保险由供应商自理。供应商工作人员在工作中因操作不当导致事故，由供应商承担全部责任。</w:t>
      </w:r>
    </w:p>
    <w:p w14:paraId="205374D6">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9.供应商须按所供商品的销售额开具正式发票。</w:t>
      </w:r>
    </w:p>
    <w:p w14:paraId="2B4D94AC">
      <w:pPr>
        <w:pageBreakBefore w:val="0"/>
        <w:kinsoku/>
        <w:overflowPunct/>
        <w:bidi w:val="0"/>
        <w:spacing w:before="156" w:beforeLines="50" w:line="360" w:lineRule="auto"/>
        <w:ind w:left="0" w:firstLine="482" w:firstLineChars="200"/>
        <w:jc w:val="both"/>
        <w:rPr>
          <w:rFonts w:hint="eastAsia" w:ascii="宋体" w:hAnsi="宋体" w:eastAsia="宋体" w:cs="宋体"/>
          <w:b/>
          <w:sz w:val="24"/>
          <w:szCs w:val="24"/>
          <w:highlight w:val="none"/>
          <w14:ligatures w14:val="none"/>
        </w:rPr>
      </w:pPr>
      <w:r>
        <w:rPr>
          <w:rFonts w:hint="eastAsia" w:ascii="宋体" w:hAnsi="宋体" w:eastAsia="宋体" w:cs="宋体"/>
          <w:b/>
          <w:sz w:val="24"/>
          <w:szCs w:val="24"/>
          <w:highlight w:val="none"/>
          <w14:ligatures w14:val="none"/>
        </w:rPr>
        <w:t>(三)采购参考清单及单价限价</w:t>
      </w:r>
    </w:p>
    <w:p w14:paraId="1D1F8381">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lang w:eastAsia="zh-CN"/>
          <w14:ligatures w14:val="none"/>
        </w:rPr>
      </w:pPr>
      <w:r>
        <w:rPr>
          <w:rFonts w:hint="eastAsia" w:ascii="宋体" w:hAnsi="宋体" w:eastAsia="宋体" w:cs="宋体"/>
          <w:bCs/>
          <w:sz w:val="24"/>
          <w:szCs w:val="24"/>
          <w:highlight w:val="none"/>
          <w14:ligatures w14:val="none"/>
        </w:rPr>
        <w:t>采购参考清单（数量均为3年预估采购量，产品数量仅供参考，实际供货数量以采购人每次提供的订单为准）</w:t>
      </w:r>
      <w:r>
        <w:rPr>
          <w:rFonts w:hint="eastAsia" w:ascii="宋体" w:hAnsi="宋体" w:eastAsia="宋体" w:cs="宋体"/>
          <w:bCs/>
          <w:sz w:val="24"/>
          <w:szCs w:val="24"/>
          <w:highlight w:val="none"/>
          <w:lang w:eastAsia="zh-CN"/>
          <w14:ligatures w14:val="none"/>
        </w:rPr>
        <w:t>。</w:t>
      </w:r>
    </w:p>
    <w:tbl>
      <w:tblPr>
        <w:tblStyle w:val="17"/>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9"/>
        <w:gridCol w:w="1295"/>
        <w:gridCol w:w="1732"/>
        <w:gridCol w:w="1439"/>
        <w:gridCol w:w="2616"/>
      </w:tblGrid>
      <w:tr w14:paraId="75D6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439" w:type="dxa"/>
            <w:vAlign w:val="center"/>
          </w:tcPr>
          <w:p w14:paraId="0F1B6E5D">
            <w:pPr>
              <w:pageBreakBefore w:val="0"/>
              <w:widowControl/>
              <w:kinsoku/>
              <w:overflowPunct/>
              <w:bidi w:val="0"/>
              <w:snapToGrid w:val="0"/>
              <w:spacing w:line="240" w:lineRule="auto"/>
              <w:ind w:left="0" w:leftChars="0" w:right="0" w:rightChars="0" w:firstLine="0" w:firstLineChars="0"/>
              <w:jc w:val="center"/>
              <w:textAlignment w:val="center"/>
              <w:rPr>
                <w:rFonts w:hint="eastAsia" w:ascii="宋体" w:hAnsi="宋体" w:eastAsia="宋体" w:cs="宋体"/>
                <w:b/>
                <w:kern w:val="0"/>
                <w:sz w:val="24"/>
                <w:szCs w:val="24"/>
                <w:highlight w:val="none"/>
                <w14:ligatures w14:val="none"/>
              </w:rPr>
            </w:pPr>
            <w:r>
              <w:rPr>
                <w:rFonts w:hint="eastAsia" w:ascii="宋体" w:hAnsi="宋体" w:eastAsia="宋体" w:cs="宋体"/>
                <w:b/>
                <w:kern w:val="0"/>
                <w:sz w:val="24"/>
                <w:szCs w:val="24"/>
                <w:highlight w:val="none"/>
                <w14:ligatures w14:val="none"/>
              </w:rPr>
              <w:t>采购内容</w:t>
            </w:r>
          </w:p>
        </w:tc>
        <w:tc>
          <w:tcPr>
            <w:tcW w:w="1295" w:type="dxa"/>
            <w:vAlign w:val="center"/>
          </w:tcPr>
          <w:p w14:paraId="52FD5356">
            <w:pPr>
              <w:pageBreakBefore w:val="0"/>
              <w:widowControl/>
              <w:kinsoku/>
              <w:overflowPunct/>
              <w:bidi w:val="0"/>
              <w:snapToGrid w:val="0"/>
              <w:spacing w:line="240" w:lineRule="auto"/>
              <w:ind w:left="0" w:leftChars="0" w:right="0" w:rightChars="0" w:firstLine="0" w:firstLineChars="0"/>
              <w:jc w:val="center"/>
              <w:textAlignment w:val="center"/>
              <w:rPr>
                <w:rFonts w:hint="eastAsia" w:ascii="宋体" w:hAnsi="宋体" w:eastAsia="宋体" w:cs="宋体"/>
                <w:b/>
                <w:bCs/>
                <w:kern w:val="0"/>
                <w:sz w:val="24"/>
                <w:szCs w:val="24"/>
                <w:highlight w:val="none"/>
                <w14:ligatures w14:val="none"/>
              </w:rPr>
            </w:pPr>
            <w:r>
              <w:rPr>
                <w:rFonts w:hint="eastAsia" w:ascii="宋体" w:hAnsi="宋体" w:eastAsia="宋体" w:cs="宋体"/>
                <w:b/>
                <w:bCs/>
                <w:kern w:val="0"/>
                <w:sz w:val="24"/>
                <w:szCs w:val="24"/>
                <w:highlight w:val="none"/>
                <w:lang w:bidi="ar"/>
                <w14:ligatures w14:val="none"/>
              </w:rPr>
              <w:t>规格</w:t>
            </w:r>
          </w:p>
        </w:tc>
        <w:tc>
          <w:tcPr>
            <w:tcW w:w="1732" w:type="dxa"/>
            <w:vAlign w:val="center"/>
          </w:tcPr>
          <w:p w14:paraId="7DA0573F">
            <w:pPr>
              <w:pageBreakBefore w:val="0"/>
              <w:kinsoku/>
              <w:overflowPunct/>
              <w:bidi w:val="0"/>
              <w:snapToGrid w:val="0"/>
              <w:spacing w:line="240" w:lineRule="auto"/>
              <w:ind w:left="0" w:leftChars="0" w:right="0" w:rightChars="0" w:firstLine="0" w:firstLineChars="0"/>
              <w:jc w:val="center"/>
              <w:rPr>
                <w:rFonts w:hint="eastAsia" w:ascii="宋体" w:hAnsi="宋体" w:eastAsia="宋体" w:cs="宋体"/>
                <w:b/>
                <w:kern w:val="0"/>
                <w:sz w:val="24"/>
                <w:szCs w:val="24"/>
                <w:highlight w:val="none"/>
                <w14:ligatures w14:val="none"/>
              </w:rPr>
            </w:pPr>
            <w:r>
              <w:rPr>
                <w:rFonts w:hint="eastAsia" w:ascii="宋体" w:hAnsi="宋体" w:eastAsia="宋体" w:cs="宋体"/>
                <w:b/>
                <w:kern w:val="0"/>
                <w:sz w:val="24"/>
                <w:szCs w:val="24"/>
                <w:highlight w:val="none"/>
                <w14:ligatures w14:val="none"/>
              </w:rPr>
              <w:t>主计量单位</w:t>
            </w:r>
          </w:p>
        </w:tc>
        <w:tc>
          <w:tcPr>
            <w:tcW w:w="1439" w:type="dxa"/>
            <w:vAlign w:val="center"/>
          </w:tcPr>
          <w:p w14:paraId="1B8715C0">
            <w:pPr>
              <w:pageBreakBefore w:val="0"/>
              <w:kinsoku/>
              <w:overflowPunct/>
              <w:bidi w:val="0"/>
              <w:snapToGrid w:val="0"/>
              <w:spacing w:line="240" w:lineRule="auto"/>
              <w:ind w:left="0" w:leftChars="0" w:right="0" w:rightChars="0" w:firstLine="0" w:firstLineChars="0"/>
              <w:jc w:val="center"/>
              <w:rPr>
                <w:rFonts w:hint="eastAsia" w:ascii="宋体" w:hAnsi="宋体" w:eastAsia="宋体" w:cs="宋体"/>
                <w:b/>
                <w:kern w:val="0"/>
                <w:sz w:val="24"/>
                <w:szCs w:val="24"/>
                <w:highlight w:val="none"/>
                <w14:ligatures w14:val="none"/>
              </w:rPr>
            </w:pPr>
            <w:r>
              <w:rPr>
                <w:rFonts w:hint="eastAsia" w:ascii="宋体" w:hAnsi="宋体" w:eastAsia="宋体" w:cs="宋体"/>
                <w:b/>
                <w:kern w:val="0"/>
                <w:sz w:val="24"/>
                <w:szCs w:val="24"/>
                <w:highlight w:val="none"/>
                <w14:ligatures w14:val="none"/>
              </w:rPr>
              <w:t>单价限价</w:t>
            </w:r>
          </w:p>
        </w:tc>
        <w:tc>
          <w:tcPr>
            <w:tcW w:w="2616" w:type="dxa"/>
            <w:vAlign w:val="center"/>
          </w:tcPr>
          <w:p w14:paraId="100EBAA9">
            <w:pPr>
              <w:pageBreakBefore w:val="0"/>
              <w:kinsoku/>
              <w:overflowPunct/>
              <w:bidi w:val="0"/>
              <w:snapToGrid w:val="0"/>
              <w:spacing w:line="240" w:lineRule="auto"/>
              <w:ind w:left="0" w:leftChars="0" w:right="0" w:rightChars="0" w:firstLine="0" w:firstLineChars="0"/>
              <w:jc w:val="center"/>
              <w:rPr>
                <w:rFonts w:hint="eastAsia" w:ascii="宋体" w:hAnsi="宋体" w:eastAsia="宋体" w:cs="宋体"/>
                <w:b/>
                <w:kern w:val="0"/>
                <w:sz w:val="24"/>
                <w:szCs w:val="24"/>
                <w:highlight w:val="none"/>
                <w14:ligatures w14:val="none"/>
              </w:rPr>
            </w:pPr>
            <w:r>
              <w:rPr>
                <w:rFonts w:hint="eastAsia" w:ascii="宋体" w:hAnsi="宋体" w:eastAsia="宋体" w:cs="宋体"/>
                <w:b/>
                <w:kern w:val="0"/>
                <w:sz w:val="24"/>
                <w:szCs w:val="24"/>
                <w:highlight w:val="none"/>
                <w14:ligatures w14:val="none"/>
              </w:rPr>
              <w:t>预计</w:t>
            </w:r>
            <w:r>
              <w:rPr>
                <w:rFonts w:hint="eastAsia" w:ascii="宋体" w:hAnsi="宋体" w:eastAsia="宋体" w:cs="宋体"/>
                <w:b/>
                <w:kern w:val="0"/>
                <w:sz w:val="24"/>
                <w:szCs w:val="24"/>
                <w:highlight w:val="none"/>
                <w:lang w:val="en-US" w:eastAsia="zh-CN"/>
                <w14:ligatures w14:val="none"/>
              </w:rPr>
              <w:t>3</w:t>
            </w:r>
            <w:r>
              <w:rPr>
                <w:rFonts w:hint="eastAsia" w:ascii="宋体" w:hAnsi="宋体" w:eastAsia="宋体" w:cs="宋体"/>
                <w:b/>
                <w:kern w:val="0"/>
                <w:sz w:val="24"/>
                <w:szCs w:val="24"/>
                <w:highlight w:val="none"/>
                <w14:ligatures w14:val="none"/>
              </w:rPr>
              <w:t>年采购数量</w:t>
            </w:r>
          </w:p>
        </w:tc>
      </w:tr>
      <w:tr w14:paraId="3265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39" w:type="dxa"/>
            <w:vAlign w:val="center"/>
          </w:tcPr>
          <w:p w14:paraId="3EB2203C">
            <w:pPr>
              <w:pageBreakBefore w:val="0"/>
              <w:widowControl/>
              <w:kinsoku/>
              <w:overflowPunct/>
              <w:bidi w:val="0"/>
              <w:snapToGrid w:val="0"/>
              <w:spacing w:line="240" w:lineRule="auto"/>
              <w:ind w:left="0" w:leftChars="0" w:right="0" w:rightChars="0" w:firstLine="0" w:firstLineChars="0"/>
              <w:jc w:val="center"/>
              <w:textAlignment w:val="center"/>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纯牛奶</w:t>
            </w:r>
          </w:p>
        </w:tc>
        <w:tc>
          <w:tcPr>
            <w:tcW w:w="1295" w:type="dxa"/>
            <w:vAlign w:val="center"/>
          </w:tcPr>
          <w:p w14:paraId="427BE38C">
            <w:pPr>
              <w:pageBreakBefore w:val="0"/>
              <w:widowControl/>
              <w:kinsoku/>
              <w:overflowPunct/>
              <w:bidi w:val="0"/>
              <w:snapToGrid w:val="0"/>
              <w:spacing w:line="240" w:lineRule="auto"/>
              <w:ind w:left="0" w:leftChars="0" w:right="0" w:rightChars="0" w:firstLine="0" w:firstLineChars="0"/>
              <w:jc w:val="center"/>
              <w:textAlignment w:val="center"/>
              <w:rPr>
                <w:rFonts w:hint="eastAsia" w:ascii="宋体" w:hAnsi="宋体" w:eastAsia="宋体" w:cs="宋体"/>
                <w:kern w:val="0"/>
                <w:sz w:val="24"/>
                <w:szCs w:val="24"/>
                <w:highlight w:val="none"/>
                <w:lang w:val="en-US" w:eastAsia="zh-CN" w:bidi="ar"/>
                <w14:ligatures w14:val="none"/>
              </w:rPr>
            </w:pPr>
            <w:r>
              <w:rPr>
                <w:rFonts w:hint="eastAsia" w:ascii="宋体" w:hAnsi="宋体" w:eastAsia="宋体" w:cs="宋体"/>
                <w:kern w:val="0"/>
                <w:sz w:val="24"/>
                <w:szCs w:val="24"/>
                <w:highlight w:val="none"/>
                <w:lang w:val="en-US" w:eastAsia="zh-CN" w:bidi="ar"/>
                <w14:ligatures w14:val="none"/>
              </w:rPr>
              <w:t>≥</w:t>
            </w:r>
            <w:r>
              <w:rPr>
                <w:rFonts w:hint="eastAsia" w:ascii="宋体" w:hAnsi="宋体" w:eastAsia="宋体" w:cs="宋体"/>
                <w:kern w:val="0"/>
                <w:sz w:val="24"/>
                <w:szCs w:val="24"/>
                <w:highlight w:val="none"/>
                <w:lang w:bidi="ar"/>
                <w14:ligatures w14:val="none"/>
              </w:rPr>
              <w:t>200ml</w:t>
            </w:r>
          </w:p>
        </w:tc>
        <w:tc>
          <w:tcPr>
            <w:tcW w:w="1732" w:type="dxa"/>
            <w:vAlign w:val="center"/>
          </w:tcPr>
          <w:p w14:paraId="225D78BA">
            <w:pPr>
              <w:pageBreakBefore w:val="0"/>
              <w:kinsoku/>
              <w:overflowPunct/>
              <w:bidi w:val="0"/>
              <w:snapToGrid w:val="0"/>
              <w:spacing w:line="240" w:lineRule="auto"/>
              <w:ind w:left="0" w:leftChars="0" w:right="0" w:rightChars="0" w:firstLine="0" w:firstLineChars="0"/>
              <w:jc w:val="center"/>
              <w:rPr>
                <w:rFonts w:hint="eastAsia" w:ascii="宋体" w:hAnsi="宋体" w:eastAsia="宋体" w:cs="宋体"/>
                <w:kern w:val="0"/>
                <w:sz w:val="24"/>
                <w:szCs w:val="24"/>
                <w:highlight w:val="none"/>
                <w:lang w:val="en-US" w:eastAsia="zh-CN"/>
                <w14:ligatures w14:val="none"/>
              </w:rPr>
            </w:pPr>
            <w:r>
              <w:rPr>
                <w:rFonts w:hint="eastAsia" w:ascii="宋体" w:hAnsi="宋体" w:eastAsia="宋体" w:cs="宋体"/>
                <w:kern w:val="0"/>
                <w:sz w:val="24"/>
                <w:szCs w:val="24"/>
                <w:highlight w:val="none"/>
                <w:lang w:val="en-US" w:eastAsia="zh-CN"/>
                <w14:ligatures w14:val="none"/>
              </w:rPr>
              <w:t>盒/瓶</w:t>
            </w:r>
          </w:p>
        </w:tc>
        <w:tc>
          <w:tcPr>
            <w:tcW w:w="1439" w:type="dxa"/>
            <w:vAlign w:val="center"/>
          </w:tcPr>
          <w:p w14:paraId="6726EFDF">
            <w:pPr>
              <w:pageBreakBefore w:val="0"/>
              <w:kinsoku/>
              <w:overflowPunct/>
              <w:bidi w:val="0"/>
              <w:snapToGrid w:val="0"/>
              <w:spacing w:line="240" w:lineRule="auto"/>
              <w:ind w:left="0" w:leftChars="0" w:right="0" w:rightChars="0" w:firstLine="0" w:firstLineChars="0"/>
              <w:jc w:val="right"/>
              <w:rPr>
                <w:rFonts w:hint="eastAsia" w:ascii="宋体" w:hAnsi="宋体" w:eastAsia="宋体" w:cs="宋体"/>
                <w:kern w:val="0"/>
                <w:sz w:val="24"/>
                <w:szCs w:val="24"/>
                <w:highlight w:val="none"/>
                <w:lang w:val="en-US" w:eastAsia="zh-CN"/>
                <w14:ligatures w14:val="none"/>
              </w:rPr>
            </w:pPr>
            <w:r>
              <w:rPr>
                <w:rFonts w:hint="eastAsia" w:ascii="宋体" w:hAnsi="宋体" w:eastAsia="宋体" w:cs="宋体"/>
                <w:kern w:val="0"/>
                <w:sz w:val="24"/>
                <w:szCs w:val="24"/>
                <w:highlight w:val="none"/>
                <w:lang w:val="en-US" w:eastAsia="zh-CN"/>
                <w14:ligatures w14:val="none"/>
              </w:rPr>
              <w:t>2.78</w:t>
            </w:r>
          </w:p>
        </w:tc>
        <w:tc>
          <w:tcPr>
            <w:tcW w:w="2616" w:type="dxa"/>
            <w:vAlign w:val="center"/>
          </w:tcPr>
          <w:p w14:paraId="6E4E1975">
            <w:pPr>
              <w:pageBreakBefore w:val="0"/>
              <w:kinsoku/>
              <w:overflowPunct/>
              <w:bidi w:val="0"/>
              <w:snapToGrid w:val="0"/>
              <w:spacing w:line="240" w:lineRule="auto"/>
              <w:ind w:left="0" w:leftChars="0" w:right="0" w:rightChars="0" w:firstLine="0" w:firstLineChars="0"/>
              <w:jc w:val="center"/>
              <w:rPr>
                <w:rFonts w:hint="eastAsia" w:ascii="宋体" w:hAnsi="宋体" w:eastAsia="宋体" w:cs="宋体"/>
                <w:kern w:val="0"/>
                <w:sz w:val="24"/>
                <w:szCs w:val="24"/>
                <w:highlight w:val="none"/>
                <w:lang w:val="en-US" w:eastAsia="zh-CN"/>
                <w14:ligatures w14:val="none"/>
              </w:rPr>
            </w:pPr>
            <w:r>
              <w:rPr>
                <w:rFonts w:hint="eastAsia" w:ascii="宋体" w:hAnsi="宋体" w:eastAsia="宋体" w:cs="宋体"/>
                <w:kern w:val="0"/>
                <w:sz w:val="24"/>
                <w:szCs w:val="24"/>
                <w:highlight w:val="none"/>
                <w:lang w:val="en-US" w:eastAsia="zh-CN"/>
                <w14:ligatures w14:val="none"/>
              </w:rPr>
              <w:t>203796</w:t>
            </w:r>
          </w:p>
        </w:tc>
      </w:tr>
      <w:tr w14:paraId="4FAD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39" w:type="dxa"/>
            <w:vAlign w:val="center"/>
          </w:tcPr>
          <w:p w14:paraId="181F9BDE">
            <w:pPr>
              <w:pageBreakBefore w:val="0"/>
              <w:widowControl/>
              <w:kinsoku/>
              <w:overflowPunct/>
              <w:bidi w:val="0"/>
              <w:snapToGrid w:val="0"/>
              <w:spacing w:line="240" w:lineRule="auto"/>
              <w:ind w:left="0" w:leftChars="0" w:right="0" w:rightChars="0" w:firstLine="0" w:firstLineChars="0"/>
              <w:jc w:val="center"/>
              <w:textAlignment w:val="center"/>
              <w:rPr>
                <w:rFonts w:hint="eastAsia" w:ascii="宋体" w:hAnsi="宋体" w:eastAsia="宋体" w:cs="宋体"/>
                <w:kern w:val="0"/>
                <w:sz w:val="24"/>
                <w:szCs w:val="24"/>
                <w:highlight w:val="none"/>
                <w:lang w:bidi="ar"/>
                <w14:ligatures w14:val="none"/>
              </w:rPr>
            </w:pPr>
            <w:r>
              <w:rPr>
                <w:rFonts w:hint="eastAsia" w:ascii="宋体" w:hAnsi="宋体" w:eastAsia="宋体" w:cs="宋体"/>
                <w:kern w:val="0"/>
                <w:sz w:val="24"/>
                <w:szCs w:val="24"/>
                <w:highlight w:val="none"/>
                <w:lang w:val="en-US" w:eastAsia="zh-CN"/>
                <w14:ligatures w14:val="none"/>
              </w:rPr>
              <w:t>红枣</w:t>
            </w:r>
            <w:r>
              <w:rPr>
                <w:rFonts w:hint="eastAsia" w:ascii="宋体" w:hAnsi="宋体" w:eastAsia="宋体" w:cs="宋体"/>
                <w:kern w:val="0"/>
                <w:sz w:val="24"/>
                <w:szCs w:val="24"/>
                <w:highlight w:val="none"/>
                <w14:ligatures w14:val="none"/>
              </w:rPr>
              <w:t>奶</w:t>
            </w:r>
          </w:p>
        </w:tc>
        <w:tc>
          <w:tcPr>
            <w:tcW w:w="1295" w:type="dxa"/>
            <w:vAlign w:val="center"/>
          </w:tcPr>
          <w:p w14:paraId="17B25F60">
            <w:pPr>
              <w:pageBreakBefore w:val="0"/>
              <w:widowControl/>
              <w:kinsoku/>
              <w:overflowPunct/>
              <w:bidi w:val="0"/>
              <w:snapToGrid w:val="0"/>
              <w:spacing w:line="240" w:lineRule="auto"/>
              <w:ind w:left="0" w:leftChars="0" w:right="0" w:rightChars="0" w:firstLine="0" w:firstLineChars="0"/>
              <w:jc w:val="center"/>
              <w:textAlignment w:val="center"/>
              <w:rPr>
                <w:rFonts w:hint="eastAsia" w:ascii="宋体" w:hAnsi="宋体" w:eastAsia="宋体" w:cs="宋体"/>
                <w:kern w:val="0"/>
                <w:sz w:val="24"/>
                <w:szCs w:val="24"/>
                <w:highlight w:val="none"/>
                <w:lang w:bidi="ar"/>
                <w14:ligatures w14:val="none"/>
              </w:rPr>
            </w:pPr>
            <w:r>
              <w:rPr>
                <w:rFonts w:hint="eastAsia" w:ascii="宋体" w:hAnsi="宋体" w:eastAsia="宋体" w:cs="宋体"/>
                <w:kern w:val="0"/>
                <w:sz w:val="24"/>
                <w:szCs w:val="24"/>
                <w:highlight w:val="none"/>
                <w:lang w:val="en-US" w:eastAsia="zh-CN" w:bidi="ar"/>
                <w14:ligatures w14:val="none"/>
              </w:rPr>
              <w:t>≥</w:t>
            </w:r>
            <w:r>
              <w:rPr>
                <w:rFonts w:hint="eastAsia" w:ascii="宋体" w:hAnsi="宋体" w:eastAsia="宋体" w:cs="宋体"/>
                <w:kern w:val="0"/>
                <w:sz w:val="24"/>
                <w:szCs w:val="24"/>
                <w:highlight w:val="none"/>
                <w:lang w:bidi="ar"/>
                <w14:ligatures w14:val="none"/>
              </w:rPr>
              <w:t>200ml</w:t>
            </w:r>
          </w:p>
        </w:tc>
        <w:tc>
          <w:tcPr>
            <w:tcW w:w="1732" w:type="dxa"/>
            <w:vAlign w:val="center"/>
          </w:tcPr>
          <w:p w14:paraId="17216391">
            <w:pPr>
              <w:pageBreakBefore w:val="0"/>
              <w:kinsoku/>
              <w:overflowPunct/>
              <w:bidi w:val="0"/>
              <w:snapToGrid w:val="0"/>
              <w:spacing w:line="240" w:lineRule="auto"/>
              <w:ind w:left="0" w:leftChars="0" w:right="0" w:rightChars="0" w:firstLine="0" w:firstLineChars="0"/>
              <w:jc w:val="center"/>
              <w:rPr>
                <w:rFonts w:hint="eastAsia" w:ascii="宋体" w:hAnsi="宋体" w:eastAsia="宋体" w:cs="宋体"/>
                <w:kern w:val="0"/>
                <w:sz w:val="24"/>
                <w:szCs w:val="24"/>
                <w:highlight w:val="none"/>
                <w:lang w:val="en-US" w:eastAsia="zh-CN"/>
                <w14:ligatures w14:val="none"/>
              </w:rPr>
            </w:pPr>
            <w:r>
              <w:rPr>
                <w:rFonts w:hint="eastAsia" w:ascii="宋体" w:hAnsi="宋体" w:eastAsia="宋体" w:cs="宋体"/>
                <w:kern w:val="0"/>
                <w:sz w:val="24"/>
                <w:szCs w:val="24"/>
                <w:highlight w:val="none"/>
                <w:lang w:val="en-US" w:eastAsia="zh-CN"/>
                <w14:ligatures w14:val="none"/>
              </w:rPr>
              <w:t>盒/瓶</w:t>
            </w:r>
          </w:p>
        </w:tc>
        <w:tc>
          <w:tcPr>
            <w:tcW w:w="1439" w:type="dxa"/>
            <w:vAlign w:val="center"/>
          </w:tcPr>
          <w:p w14:paraId="3A739D9F">
            <w:pPr>
              <w:pageBreakBefore w:val="0"/>
              <w:kinsoku/>
              <w:overflowPunct/>
              <w:bidi w:val="0"/>
              <w:snapToGrid w:val="0"/>
              <w:spacing w:line="240" w:lineRule="auto"/>
              <w:ind w:left="0" w:leftChars="0" w:right="0" w:rightChars="0" w:firstLine="0" w:firstLineChars="0"/>
              <w:jc w:val="right"/>
              <w:rPr>
                <w:rFonts w:hint="eastAsia" w:ascii="宋体" w:hAnsi="宋体" w:eastAsia="宋体" w:cs="宋体"/>
                <w:kern w:val="0"/>
                <w:sz w:val="24"/>
                <w:szCs w:val="24"/>
                <w:highlight w:val="none"/>
                <w:lang w:val="en-US"/>
                <w14:ligatures w14:val="none"/>
              </w:rPr>
            </w:pPr>
            <w:r>
              <w:rPr>
                <w:rFonts w:hint="eastAsia" w:ascii="宋体" w:hAnsi="宋体" w:eastAsia="宋体" w:cs="宋体"/>
                <w:kern w:val="0"/>
                <w:sz w:val="24"/>
                <w:szCs w:val="24"/>
                <w:highlight w:val="none"/>
                <w:lang w:val="en-US" w:eastAsia="zh-CN"/>
                <w14:ligatures w14:val="none"/>
              </w:rPr>
              <w:t>2.78</w:t>
            </w:r>
          </w:p>
        </w:tc>
        <w:tc>
          <w:tcPr>
            <w:tcW w:w="2616" w:type="dxa"/>
            <w:vAlign w:val="center"/>
          </w:tcPr>
          <w:p w14:paraId="4F8A4BCC">
            <w:pPr>
              <w:pageBreakBefore w:val="0"/>
              <w:kinsoku/>
              <w:overflowPunct/>
              <w:bidi w:val="0"/>
              <w:snapToGrid w:val="0"/>
              <w:spacing w:line="240" w:lineRule="auto"/>
              <w:ind w:left="0" w:leftChars="0" w:right="0" w:rightChars="0" w:firstLine="0" w:firstLineChars="0"/>
              <w:jc w:val="center"/>
              <w:rPr>
                <w:rFonts w:hint="eastAsia" w:ascii="宋体" w:hAnsi="宋体" w:eastAsia="宋体" w:cs="宋体"/>
                <w:kern w:val="0"/>
                <w:sz w:val="24"/>
                <w:szCs w:val="24"/>
                <w:highlight w:val="none"/>
                <w:lang w:val="en-US" w:eastAsia="zh-CN"/>
                <w14:ligatures w14:val="none"/>
              </w:rPr>
            </w:pPr>
            <w:r>
              <w:rPr>
                <w:rFonts w:hint="eastAsia" w:ascii="宋体" w:hAnsi="宋体" w:eastAsia="宋体" w:cs="宋体"/>
                <w:kern w:val="0"/>
                <w:sz w:val="24"/>
                <w:szCs w:val="24"/>
                <w:highlight w:val="none"/>
                <w:lang w:val="en-US" w:eastAsia="zh-CN"/>
                <w14:ligatures w14:val="none"/>
              </w:rPr>
              <w:t>119772</w:t>
            </w:r>
          </w:p>
        </w:tc>
      </w:tr>
    </w:tbl>
    <w:p w14:paraId="6326DED1">
      <w:pPr>
        <w:pageBreakBefore w:val="0"/>
        <w:kinsoku/>
        <w:overflowPunct/>
        <w:bidi w:val="0"/>
        <w:spacing w:line="360" w:lineRule="auto"/>
        <w:ind w:left="0" w:leftChars="0" w:firstLine="480" w:firstLineChars="200"/>
        <w:jc w:val="both"/>
        <w:rPr>
          <w:rFonts w:hint="eastAsia" w:ascii="宋体" w:hAnsi="宋体" w:eastAsia="宋体" w:cs="宋体"/>
          <w:bCs/>
          <w:sz w:val="24"/>
          <w:szCs w:val="24"/>
          <w:highlight w:val="none"/>
          <w:lang w:eastAsia="zh-CN"/>
          <w14:ligatures w14:val="none"/>
        </w:rPr>
      </w:pPr>
    </w:p>
    <w:p w14:paraId="18AA929F">
      <w:pPr>
        <w:pageBreakBefore w:val="0"/>
        <w:kinsoku/>
        <w:overflowPunct/>
        <w:bidi w:val="0"/>
        <w:spacing w:before="156" w:beforeLines="50" w:line="360" w:lineRule="auto"/>
        <w:ind w:left="0" w:firstLine="482" w:firstLineChars="200"/>
        <w:jc w:val="both"/>
        <w:rPr>
          <w:rFonts w:hint="eastAsia" w:ascii="宋体" w:hAnsi="宋体" w:eastAsia="宋体" w:cs="宋体"/>
          <w:b/>
          <w:sz w:val="24"/>
          <w:szCs w:val="24"/>
          <w:highlight w:val="none"/>
          <w14:ligatures w14:val="none"/>
        </w:rPr>
      </w:pPr>
      <w:r>
        <w:rPr>
          <w:rFonts w:hint="eastAsia" w:ascii="宋体" w:hAnsi="宋体" w:eastAsia="宋体" w:cs="宋体"/>
          <w:b/>
          <w:sz w:val="24"/>
          <w:szCs w:val="24"/>
          <w:highlight w:val="none"/>
          <w14:ligatures w14:val="none"/>
        </w:rPr>
        <w:t>(四)服务要求</w:t>
      </w:r>
    </w:p>
    <w:p w14:paraId="62C7AEAF">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 xml:space="preserve">1.送货方式：采购人在送货的前1-3天以邮件、书面、电话等方式通知供应商。订单内容包括：品种、品牌、规格、数量、送货时间、送货地点等。供应商每次根据采购人通知的订单内容准确供货，并按时（按采购人下单指定时间）运送物品到指定地点，供应商随货提供注明产品名称、单位、数量、售价及总金额的商品送货清单，作为采购人入库验收之凭证。供应商在收到订单后4小时以内，如不作任何沟通或反馈，该订货单视作被供应商完全接受。  </w:t>
      </w:r>
    </w:p>
    <w:p w14:paraId="21855002">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2.包装要求：容器(框、箱、袋)要求清洁、牢固、透气，无污染、无异味、无霉变现象。不同类别使用不同容器分别盛装。每件包装（如有）GB 7718-2011《食品安全国家标准 预包装食品标签通则》贴标签，并标明食品名称（如“纯牛奶”、“鲜牛奶（巴氏杀菌乳）”）</w:t>
      </w:r>
      <w:r>
        <w:rPr>
          <w:rFonts w:hint="eastAsia" w:ascii="宋体" w:hAnsi="宋体" w:eastAsia="宋体" w:cs="宋体"/>
          <w:bCs/>
          <w:sz w:val="24"/>
          <w:szCs w:val="24"/>
          <w:highlight w:val="none"/>
          <w:lang w:eastAsia="zh-CN"/>
          <w14:ligatures w14:val="none"/>
        </w:rPr>
        <w:t>、</w:t>
      </w:r>
      <w:r>
        <w:rPr>
          <w:rFonts w:hint="eastAsia" w:ascii="宋体" w:hAnsi="宋体" w:eastAsia="宋体" w:cs="宋体"/>
          <w:bCs/>
          <w:sz w:val="24"/>
          <w:szCs w:val="24"/>
          <w:highlight w:val="none"/>
          <w14:ligatures w14:val="none"/>
        </w:rPr>
        <w:t>配料表（生牛乳）</w:t>
      </w:r>
      <w:r>
        <w:rPr>
          <w:rFonts w:hint="eastAsia" w:ascii="宋体" w:hAnsi="宋体" w:eastAsia="宋体" w:cs="宋体"/>
          <w:bCs/>
          <w:sz w:val="24"/>
          <w:szCs w:val="24"/>
          <w:highlight w:val="none"/>
          <w:lang w:eastAsia="zh-CN"/>
          <w14:ligatures w14:val="none"/>
        </w:rPr>
        <w:t>、</w:t>
      </w:r>
      <w:r>
        <w:rPr>
          <w:rFonts w:hint="eastAsia" w:ascii="宋体" w:hAnsi="宋体" w:eastAsia="宋体" w:cs="宋体"/>
          <w:bCs/>
          <w:sz w:val="24"/>
          <w:szCs w:val="24"/>
          <w:highlight w:val="none"/>
          <w14:ligatures w14:val="none"/>
        </w:rPr>
        <w:t>净含量和规格</w:t>
      </w:r>
      <w:r>
        <w:rPr>
          <w:rFonts w:hint="eastAsia" w:ascii="宋体" w:hAnsi="宋体" w:eastAsia="宋体" w:cs="宋体"/>
          <w:bCs/>
          <w:sz w:val="24"/>
          <w:szCs w:val="24"/>
          <w:highlight w:val="none"/>
          <w:lang w:eastAsia="zh-CN"/>
          <w14:ligatures w14:val="none"/>
        </w:rPr>
        <w:t>、</w:t>
      </w:r>
      <w:r>
        <w:rPr>
          <w:rFonts w:hint="eastAsia" w:ascii="宋体" w:hAnsi="宋体" w:eastAsia="宋体" w:cs="宋体"/>
          <w:bCs/>
          <w:sz w:val="24"/>
          <w:szCs w:val="24"/>
          <w:highlight w:val="none"/>
          <w14:ligatures w14:val="none"/>
        </w:rPr>
        <w:t>生产者和（或）经销者的名称、地址和联系方式</w:t>
      </w:r>
      <w:r>
        <w:rPr>
          <w:rFonts w:hint="eastAsia" w:ascii="宋体" w:hAnsi="宋体" w:eastAsia="宋体" w:cs="宋体"/>
          <w:bCs/>
          <w:sz w:val="24"/>
          <w:szCs w:val="24"/>
          <w:highlight w:val="none"/>
          <w:lang w:eastAsia="zh-CN"/>
          <w14:ligatures w14:val="none"/>
        </w:rPr>
        <w:t>、</w:t>
      </w:r>
      <w:r>
        <w:rPr>
          <w:rFonts w:hint="eastAsia" w:ascii="宋体" w:hAnsi="宋体" w:eastAsia="宋体" w:cs="宋体"/>
          <w:bCs/>
          <w:sz w:val="24"/>
          <w:szCs w:val="24"/>
          <w:highlight w:val="none"/>
          <w14:ligatures w14:val="none"/>
        </w:rPr>
        <w:t>生产日期和保质期</w:t>
      </w:r>
      <w:r>
        <w:rPr>
          <w:rFonts w:hint="eastAsia" w:ascii="宋体" w:hAnsi="宋体" w:eastAsia="宋体" w:cs="宋体"/>
          <w:bCs/>
          <w:sz w:val="24"/>
          <w:szCs w:val="24"/>
          <w:highlight w:val="none"/>
          <w:lang w:eastAsia="zh-CN"/>
          <w14:ligatures w14:val="none"/>
        </w:rPr>
        <w:t>、</w:t>
      </w:r>
      <w:r>
        <w:rPr>
          <w:rFonts w:hint="eastAsia" w:ascii="宋体" w:hAnsi="宋体" w:eastAsia="宋体" w:cs="宋体"/>
          <w:bCs/>
          <w:sz w:val="24"/>
          <w:szCs w:val="24"/>
          <w:highlight w:val="none"/>
          <w14:ligatures w14:val="none"/>
        </w:rPr>
        <w:t>贮存条件（如“常温保存”或“2-6℃冷藏”）</w:t>
      </w:r>
      <w:r>
        <w:rPr>
          <w:rFonts w:hint="eastAsia" w:ascii="宋体" w:hAnsi="宋体" w:eastAsia="宋体" w:cs="宋体"/>
          <w:bCs/>
          <w:sz w:val="24"/>
          <w:szCs w:val="24"/>
          <w:highlight w:val="none"/>
          <w:lang w:eastAsia="zh-CN"/>
          <w14:ligatures w14:val="none"/>
        </w:rPr>
        <w:t>、</w:t>
      </w:r>
      <w:r>
        <w:rPr>
          <w:rFonts w:hint="eastAsia" w:ascii="宋体" w:hAnsi="宋体" w:eastAsia="宋体" w:cs="宋体"/>
          <w:bCs/>
          <w:sz w:val="24"/>
          <w:szCs w:val="24"/>
          <w:highlight w:val="none"/>
          <w14:ligatures w14:val="none"/>
        </w:rPr>
        <w:t>食品生产许可证编号（SC编号）</w:t>
      </w:r>
      <w:r>
        <w:rPr>
          <w:rFonts w:hint="eastAsia" w:ascii="宋体" w:hAnsi="宋体" w:eastAsia="宋体" w:cs="宋体"/>
          <w:bCs/>
          <w:sz w:val="24"/>
          <w:szCs w:val="24"/>
          <w:highlight w:val="none"/>
          <w:lang w:eastAsia="zh-CN"/>
          <w14:ligatures w14:val="none"/>
        </w:rPr>
        <w:t>、</w:t>
      </w:r>
      <w:r>
        <w:rPr>
          <w:rFonts w:hint="eastAsia" w:ascii="宋体" w:hAnsi="宋体" w:eastAsia="宋体" w:cs="宋体"/>
          <w:bCs/>
          <w:sz w:val="24"/>
          <w:szCs w:val="24"/>
          <w:highlight w:val="none"/>
          <w14:ligatures w14:val="none"/>
        </w:rPr>
        <w:t>产品标准代号（如GB 25190、GB 19645）</w:t>
      </w:r>
      <w:r>
        <w:rPr>
          <w:rFonts w:hint="eastAsia" w:ascii="宋体" w:hAnsi="宋体" w:eastAsia="宋体" w:cs="宋体"/>
          <w:bCs/>
          <w:sz w:val="24"/>
          <w:szCs w:val="24"/>
          <w:highlight w:val="none"/>
          <w:lang w:eastAsia="zh-CN"/>
          <w14:ligatures w14:val="none"/>
        </w:rPr>
        <w:t>、</w:t>
      </w:r>
      <w:r>
        <w:rPr>
          <w:rFonts w:hint="eastAsia" w:ascii="宋体" w:hAnsi="宋体" w:eastAsia="宋体" w:cs="宋体"/>
          <w:bCs/>
          <w:sz w:val="24"/>
          <w:szCs w:val="24"/>
          <w:highlight w:val="none"/>
          <w14:ligatures w14:val="none"/>
        </w:rPr>
        <w:t>营养成分表</w:t>
      </w:r>
      <w:r>
        <w:rPr>
          <w:rFonts w:hint="eastAsia" w:ascii="宋体" w:hAnsi="宋体" w:eastAsia="宋体" w:cs="宋体"/>
          <w:bCs/>
          <w:sz w:val="24"/>
          <w:szCs w:val="24"/>
          <w:highlight w:val="none"/>
          <w:lang w:eastAsia="zh-CN"/>
          <w14:ligatures w14:val="none"/>
        </w:rPr>
        <w:t>。</w:t>
      </w:r>
      <w:r>
        <w:rPr>
          <w:rFonts w:hint="eastAsia" w:ascii="宋体" w:hAnsi="宋体" w:eastAsia="宋体" w:cs="宋体"/>
          <w:bCs/>
          <w:sz w:val="24"/>
          <w:szCs w:val="24"/>
          <w:highlight w:val="none"/>
          <w14:ligatures w14:val="none"/>
        </w:rPr>
        <w:t>用于产品包装的材料必须清洁，产品无污染。产品的包装和标签必须符合相应的规定和要求，包装费用由供应商承担。凡由于包装不良造成的损失和由此产生的费用均由中标人承担。</w:t>
      </w:r>
    </w:p>
    <w:p w14:paraId="125B2DCD">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3.运输要求：运输载具须符合《中华人民共和国食品安全法》的相关规定。供应商应采用符合卫生标准的外包装和运载工具，并且要保持清洁和定期消毒。所有配送产品，应分类包装并做好密封措施，不能直接外露，防止交叉污染及环境污染。盛装工具应保持洁净，无泥渍、污渍。运输车厢的内仓，包括地面、墙面和顶，应使用抗腐蚀、防潮，易清洁消毒的材料。车厢内无不良气味、异味；运输途中严防日晒、雨淋，注意通风散热。产品堆放科学合理，避免造成产品的交叉污染；装车方式切实符合安全卫生要求。本项目项下如对温度有要求产品的，应使用冷链运输，并确定食品的温度，记录送货车辆温度，并记录存档。</w:t>
      </w:r>
    </w:p>
    <w:p w14:paraId="4EF8D97A">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4.数量方面要求：保证配送货物数量、重量的准确性，以采购验收人的验货数量、质量为准（标准差不大于2%），供应商每次随货送上一式四份的送货清单，供双方验货后签字确认，双方各持二份，作为送、收货的凭证。</w:t>
      </w:r>
    </w:p>
    <w:p w14:paraId="3BBC0C84">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5.对采购人临时的供货要求，供应商需随订随送，并在3小时内送达采购人指定地点。如未能兑现配送时间承诺，采购人可按照无偿退货处理。</w:t>
      </w:r>
    </w:p>
    <w:p w14:paraId="3838ECB6">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6.供应商除不可抗力，不得因其他任何理由延迟送货。采购人如遇特殊情况需推迟送货，应提前通知供应商。因供应商原因延误交货日期的（采购人要求推迟的除外），采购人有权自行采购，并由供应商承担由此产生的一切损失和费用（包括直接经济损失和间接经济损失）。</w:t>
      </w:r>
    </w:p>
    <w:p w14:paraId="7ADDC3E7">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7.经验要求：为确保供应商将来中标后在合同履约时能为采购人提供物美价廉的产品，保证货物供应稳定，供应商有固定的产品经营场所和齐全的相关设备，熟悉医院采购需求特点，能够满足医院伙食物资供应需求。具有不同客户的同类项目经验（尤其具有为高校、工厂、大型企业、机关事业单位等类型较多人数团体食堂物资供货经验），且完成的项目应获得客户对服务质量满意，体现良好的服务质量和水平。</w:t>
      </w:r>
    </w:p>
    <w:p w14:paraId="37EA5A69">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w:t>
      </w:r>
      <w:r>
        <w:rPr>
          <w:rFonts w:hint="eastAsia" w:ascii="宋体" w:hAnsi="宋体" w:eastAsia="宋体" w:cs="宋体"/>
          <w:bCs/>
          <w:sz w:val="24"/>
          <w:szCs w:val="24"/>
          <w:highlight w:val="none"/>
          <w:lang w:val="en-US" w:eastAsia="zh-CN"/>
          <w14:ligatures w14:val="none"/>
        </w:rPr>
        <w:t>8</w:t>
      </w:r>
      <w:r>
        <w:rPr>
          <w:rFonts w:hint="eastAsia" w:ascii="宋体" w:hAnsi="宋体" w:eastAsia="宋体" w:cs="宋体"/>
          <w:bCs/>
          <w:sz w:val="24"/>
          <w:szCs w:val="24"/>
          <w:highlight w:val="none"/>
          <w14:ligatures w14:val="none"/>
        </w:rPr>
        <w:t>.因供应商供应的产品原料质量问题或产品自身质量问题、品质问题造成采购人就餐人员身体不适、身体伤害及经济损失的，须由供应商立即派专人到现场妥善处理，做好安抚工作和善后事宜，并承担所产生的一切责任、赔偿由此发生的一切经济损失。（投标人的投标文件须提供承诺函并加盖单位公章，承诺函格式自拟）</w:t>
      </w:r>
    </w:p>
    <w:p w14:paraId="349B3E2B">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w:t>
      </w:r>
      <w:r>
        <w:rPr>
          <w:rFonts w:hint="eastAsia" w:ascii="宋体" w:hAnsi="宋体" w:eastAsia="宋体" w:cs="宋体"/>
          <w:bCs/>
          <w:sz w:val="24"/>
          <w:szCs w:val="24"/>
          <w:highlight w:val="none"/>
          <w:lang w:val="en-US" w:eastAsia="zh-CN"/>
          <w14:ligatures w14:val="none"/>
        </w:rPr>
        <w:t>9</w:t>
      </w:r>
      <w:r>
        <w:rPr>
          <w:rFonts w:hint="eastAsia" w:ascii="宋体" w:hAnsi="宋体" w:eastAsia="宋体" w:cs="宋体"/>
          <w:bCs/>
          <w:sz w:val="24"/>
          <w:szCs w:val="24"/>
          <w:highlight w:val="none"/>
          <w14:ligatures w14:val="none"/>
        </w:rPr>
        <w:t>.供应商投标文件中所提供的资料必须真实有效，如采购人在合同执行期间对于资料的真实性有异议时，供应商必须在采购人提出异议后5个工作日内提供相关资料原件复核。如不能在规定时间内提供原件复核或资料作假的，视为违约，采购人有权不予退还履约保证金并上报监管部门处理。（投标人的投标文件须提供承诺函并加盖单位公章，承诺函格式自拟）</w:t>
      </w:r>
    </w:p>
    <w:p w14:paraId="42ACD129">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lang w:val="en-US" w:eastAsia="zh-CN"/>
          <w14:ligatures w14:val="none"/>
        </w:rPr>
        <w:t>10</w:t>
      </w:r>
      <w:r>
        <w:rPr>
          <w:rFonts w:hint="eastAsia" w:ascii="宋体" w:hAnsi="宋体" w:eastAsia="宋体" w:cs="宋体"/>
          <w:bCs/>
          <w:sz w:val="24"/>
          <w:szCs w:val="24"/>
          <w:highlight w:val="none"/>
          <w14:ligatures w14:val="none"/>
        </w:rPr>
        <w:t>.特殊要求：供应商须在送货当天安排至少一名配送人员协助采购人搬运货物至仓库。</w:t>
      </w:r>
    </w:p>
    <w:p w14:paraId="7AE0EE0E">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lang w:val="en-US" w:eastAsia="zh-CN"/>
          <w14:ligatures w14:val="none"/>
        </w:rPr>
        <w:t>11</w:t>
      </w:r>
      <w:r>
        <w:rPr>
          <w:rFonts w:hint="eastAsia" w:ascii="宋体" w:hAnsi="宋体" w:eastAsia="宋体" w:cs="宋体"/>
          <w:bCs/>
          <w:sz w:val="24"/>
          <w:szCs w:val="24"/>
          <w:highlight w:val="none"/>
          <w14:ligatures w14:val="none"/>
        </w:rPr>
        <w:t>.供应商在实施产品供货期间，不得将配送供货的实际数量及供货地点泄露给其他企业或者个人，供应商必须指派相对固定的人员完成产品配送服务，产品配送人员必须遵纪守法、品行良好，无违法犯罪记录。</w:t>
      </w:r>
    </w:p>
    <w:p w14:paraId="221978F6">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lang w:val="en-US" w:eastAsia="zh-CN"/>
          <w14:ligatures w14:val="none"/>
        </w:rPr>
        <w:t>12</w:t>
      </w:r>
      <w:r>
        <w:rPr>
          <w:rFonts w:hint="eastAsia" w:ascii="宋体" w:hAnsi="宋体" w:eastAsia="宋体" w:cs="宋体"/>
          <w:bCs/>
          <w:sz w:val="24"/>
          <w:szCs w:val="24"/>
          <w:highlight w:val="none"/>
          <w14:ligatures w14:val="none"/>
        </w:rPr>
        <w:t>.供应商每月提供的报价清单应符合采购人“膳食物资进销存系统”的填报要求。</w:t>
      </w:r>
    </w:p>
    <w:p w14:paraId="4642422B">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lang w:val="en-US" w:eastAsia="zh-CN"/>
          <w14:ligatures w14:val="none"/>
        </w:rPr>
        <w:t>13</w:t>
      </w:r>
      <w:r>
        <w:rPr>
          <w:rFonts w:hint="eastAsia" w:ascii="宋体" w:hAnsi="宋体" w:eastAsia="宋体" w:cs="宋体"/>
          <w:bCs/>
          <w:sz w:val="24"/>
          <w:szCs w:val="24"/>
          <w:highlight w:val="none"/>
          <w14:ligatures w14:val="none"/>
        </w:rPr>
        <w:t>.供应商对食品供应链进行明确，所有食品的来源必须清晰，直接接触食品相关产品（包装材料）及预包装食品均要有以SC开头的生产许可证编号，若供应商不是制造商，供应商要与生产食品的源头有固定的供应关系（供货时需提供合同或协议），严禁收购非标准食材供应。食品生产企业必须严格遵守相关的法律法规，食品来源应当是受到地方政府部门监管的专业流通市场或具有相关资质的厂家生产，严禁收购非标准产品供应。否则，采购人有权单方面终止合同，并无需因此承担违约责任，由此造成的采购人经济损失由供应商承担。</w:t>
      </w:r>
    </w:p>
    <w:p w14:paraId="76F14C6D">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如该品牌商品无质量标准，则需由供应商按国家和行业的要求自行描述。</w:t>
      </w:r>
    </w:p>
    <w:p w14:paraId="220DE584">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lang w:val="en-US" w:eastAsia="zh-CN"/>
          <w14:ligatures w14:val="none"/>
        </w:rPr>
        <w:t>14</w:t>
      </w:r>
      <w:r>
        <w:rPr>
          <w:rFonts w:hint="eastAsia" w:ascii="宋体" w:hAnsi="宋体" w:eastAsia="宋体" w:cs="宋体"/>
          <w:bCs/>
          <w:sz w:val="24"/>
          <w:szCs w:val="24"/>
          <w:highlight w:val="none"/>
          <w14:ligatures w14:val="none"/>
        </w:rPr>
        <w:t>.为做到“来源可追溯、去向可查证”的目的，从源头上治理医院食堂食品隐患，采购人优先采购已纳入“国家食品（产品）安全追溯平台（http://www.chinatrace.org/）”的重点品种。</w:t>
      </w:r>
    </w:p>
    <w:p w14:paraId="0A2AAC6F">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lang w:val="en-US" w:eastAsia="zh-CN"/>
          <w14:ligatures w14:val="none"/>
        </w:rPr>
        <w:t>15</w:t>
      </w:r>
      <w:r>
        <w:rPr>
          <w:rFonts w:hint="eastAsia" w:ascii="宋体" w:hAnsi="宋体" w:eastAsia="宋体" w:cs="宋体"/>
          <w:bCs/>
          <w:sz w:val="24"/>
          <w:szCs w:val="24"/>
          <w:highlight w:val="none"/>
          <w14:ligatures w14:val="none"/>
        </w:rPr>
        <w:t>.投标时，供应商提供的投标文件</w:t>
      </w:r>
      <w:r>
        <w:rPr>
          <w:rFonts w:hint="eastAsia" w:ascii="宋体" w:hAnsi="宋体" w:eastAsia="宋体" w:cs="宋体"/>
          <w:kern w:val="0"/>
          <w:sz w:val="24"/>
          <w:szCs w:val="24"/>
          <w:highlight w:val="none"/>
          <w14:ligatures w14:val="none"/>
        </w:rPr>
        <w:t>应结合本项目实际需求，</w:t>
      </w:r>
      <w:r>
        <w:rPr>
          <w:rFonts w:hint="eastAsia" w:ascii="宋体" w:hAnsi="宋体" w:eastAsia="宋体" w:cs="宋体"/>
          <w:bCs/>
          <w:sz w:val="24"/>
          <w:szCs w:val="24"/>
          <w:highlight w:val="none"/>
          <w14:ligatures w14:val="none"/>
        </w:rPr>
        <w:t>对本项目所配送食材物资制定</w:t>
      </w:r>
      <w:r>
        <w:rPr>
          <w:rFonts w:hint="eastAsia" w:ascii="宋体" w:hAnsi="宋体" w:eastAsia="宋体" w:cs="宋体"/>
          <w:kern w:val="0"/>
          <w:sz w:val="24"/>
          <w:szCs w:val="24"/>
          <w:highlight w:val="none"/>
          <w14:ligatures w14:val="none"/>
        </w:rPr>
        <w:t>切实可行</w:t>
      </w:r>
      <w:r>
        <w:rPr>
          <w:rFonts w:hint="eastAsia" w:ascii="宋体" w:hAnsi="宋体" w:eastAsia="宋体" w:cs="宋体"/>
          <w:bCs/>
          <w:sz w:val="24"/>
          <w:szCs w:val="24"/>
          <w:highlight w:val="none"/>
          <w14:ligatures w14:val="none"/>
        </w:rPr>
        <w:t>的质量保障措施方案，包括但不限于</w:t>
      </w:r>
      <w:r>
        <w:rPr>
          <w:rFonts w:hint="eastAsia" w:ascii="宋体" w:hAnsi="宋体" w:eastAsia="宋体" w:cs="宋体"/>
          <w:bCs/>
          <w:sz w:val="24"/>
          <w:szCs w:val="24"/>
          <w:highlight w:val="none"/>
          <w:lang w:val="en-US" w:eastAsia="zh-CN"/>
          <w14:ligatures w14:val="none"/>
        </w:rPr>
        <w:t>牛奶饮品</w:t>
      </w:r>
      <w:r>
        <w:rPr>
          <w:rFonts w:hint="eastAsia" w:ascii="宋体" w:hAnsi="宋体" w:eastAsia="宋体" w:cs="宋体"/>
          <w:bCs/>
          <w:sz w:val="24"/>
          <w:szCs w:val="24"/>
          <w:highlight w:val="none"/>
          <w14:ligatures w14:val="none"/>
        </w:rPr>
        <w:t>类物资的：①</w:t>
      </w:r>
      <w:r>
        <w:rPr>
          <w:rFonts w:hint="eastAsia" w:ascii="宋体" w:hAnsi="宋体" w:eastAsia="宋体" w:cs="宋体"/>
          <w:bCs/>
          <w:sz w:val="24"/>
          <w:szCs w:val="24"/>
          <w:highlight w:val="none"/>
          <w:lang w:val="en-US" w:eastAsia="zh-CN"/>
          <w14:ligatures w14:val="none"/>
        </w:rPr>
        <w:t>每批次牛奶</w:t>
      </w:r>
      <w:r>
        <w:rPr>
          <w:rFonts w:hint="eastAsia" w:ascii="宋体" w:hAnsi="宋体" w:eastAsia="宋体" w:cs="宋体"/>
          <w:bCs/>
          <w:sz w:val="24"/>
          <w:szCs w:val="24"/>
          <w:highlight w:val="none"/>
          <w14:ligatures w14:val="none"/>
        </w:rPr>
        <w:t>的质量保证方案；②运输配送环节的质量保证方案；③包装环节的质量保证方案；④储存环节的质量保证方案；⑤验收环节的质量保证方案。</w:t>
      </w:r>
    </w:p>
    <w:p w14:paraId="2225C9A3">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lang w:val="en-US" w:eastAsia="zh-CN"/>
          <w14:ligatures w14:val="none"/>
        </w:rPr>
        <w:t>16</w:t>
      </w:r>
      <w:r>
        <w:rPr>
          <w:rFonts w:hint="eastAsia" w:ascii="宋体" w:hAnsi="宋体" w:eastAsia="宋体" w:cs="宋体"/>
          <w:bCs/>
          <w:sz w:val="24"/>
          <w:szCs w:val="24"/>
          <w:highlight w:val="none"/>
          <w14:ligatures w14:val="none"/>
        </w:rPr>
        <w:t>.投标时，供应商提供的投标文件应结合对本项目的理解与采购人的实际需求提供切实可行的售后及应急服务方案，方案包括：①快速的退换货机制进行阐述，若出现漏配、错配等问题情况方案；②现场服务支持能力；③食品安全事故应急处理方案；④临时配送需求方案；⑤售后服务体系证明。</w:t>
      </w:r>
    </w:p>
    <w:p w14:paraId="1EB5253E">
      <w:pPr>
        <w:pageBreakBefore w:val="0"/>
        <w:numPr>
          <w:ilvl w:val="0"/>
          <w:numId w:val="1"/>
        </w:numPr>
        <w:kinsoku/>
        <w:overflowPunct/>
        <w:bidi w:val="0"/>
        <w:spacing w:before="312" w:beforeLines="100" w:line="360" w:lineRule="auto"/>
        <w:ind w:left="0" w:firstLine="562" w:firstLineChars="200"/>
        <w:jc w:val="both"/>
        <w:outlineLvl w:val="1"/>
        <w:rPr>
          <w:rFonts w:hint="eastAsia" w:ascii="宋体" w:hAnsi="宋体" w:eastAsia="宋体" w:cs="宋体"/>
          <w:b/>
          <w:bCs/>
          <w:kern w:val="0"/>
          <w:sz w:val="28"/>
          <w:szCs w:val="28"/>
          <w:highlight w:val="none"/>
          <w14:ligatures w14:val="none"/>
        </w:rPr>
      </w:pPr>
      <w:r>
        <w:rPr>
          <w:rFonts w:hint="eastAsia" w:ascii="宋体" w:hAnsi="宋体" w:eastAsia="宋体" w:cs="宋体"/>
          <w:b/>
          <w:bCs/>
          <w:kern w:val="0"/>
          <w:sz w:val="28"/>
          <w:szCs w:val="28"/>
          <w:highlight w:val="none"/>
          <w14:ligatures w14:val="none"/>
        </w:rPr>
        <w:t>商务要求</w:t>
      </w:r>
    </w:p>
    <w:p w14:paraId="266289C0">
      <w:pPr>
        <w:pageBreakBefore w:val="0"/>
        <w:kinsoku/>
        <w:overflowPunct/>
        <w:bidi w:val="0"/>
        <w:spacing w:before="156" w:beforeLines="50" w:line="360" w:lineRule="auto"/>
        <w:ind w:left="0" w:firstLine="482" w:firstLineChars="200"/>
        <w:jc w:val="both"/>
        <w:rPr>
          <w:rFonts w:hint="eastAsia" w:ascii="宋体" w:hAnsi="宋体" w:eastAsia="宋体" w:cs="宋体"/>
          <w:b/>
          <w:sz w:val="24"/>
          <w:szCs w:val="24"/>
          <w:highlight w:val="none"/>
          <w14:ligatures w14:val="none"/>
        </w:rPr>
      </w:pPr>
      <w:r>
        <w:rPr>
          <w:rFonts w:hint="eastAsia" w:ascii="宋体" w:hAnsi="宋体" w:eastAsia="宋体" w:cs="宋体"/>
          <w:b/>
          <w:sz w:val="24"/>
          <w:szCs w:val="24"/>
          <w:highlight w:val="none"/>
          <w14:ligatures w14:val="none"/>
        </w:rPr>
        <w:t>(一)采购项目交付（实施）的时间（期限）和地点（范围）</w:t>
      </w:r>
    </w:p>
    <w:p w14:paraId="2D4B5681">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1.交付（实施）的时间（期限）：本项目服务期3年，合同履行期限自合同签订之日起或累计实际食材结算款项达到中标金额时止。</w:t>
      </w:r>
    </w:p>
    <w:p w14:paraId="3E425ED7">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2.交付（实施）的地点（范围）：广州市内采购人指定地点。</w:t>
      </w:r>
    </w:p>
    <w:p w14:paraId="133D3EFE">
      <w:pPr>
        <w:pageBreakBefore w:val="0"/>
        <w:kinsoku/>
        <w:overflowPunct/>
        <w:bidi w:val="0"/>
        <w:spacing w:before="156" w:beforeLines="50" w:line="360" w:lineRule="auto"/>
        <w:ind w:left="0" w:firstLine="482" w:firstLineChars="200"/>
        <w:jc w:val="both"/>
        <w:rPr>
          <w:rFonts w:hint="eastAsia" w:ascii="宋体" w:hAnsi="宋体" w:eastAsia="宋体" w:cs="宋体"/>
          <w:b/>
          <w:sz w:val="24"/>
          <w:szCs w:val="24"/>
          <w:highlight w:val="none"/>
          <w14:ligatures w14:val="none"/>
        </w:rPr>
      </w:pPr>
      <w:r>
        <w:rPr>
          <w:rFonts w:hint="eastAsia" w:ascii="宋体" w:hAnsi="宋体" w:eastAsia="宋体" w:cs="宋体"/>
          <w:b/>
          <w:sz w:val="24"/>
          <w:szCs w:val="24"/>
          <w:highlight w:val="none"/>
          <w14:ligatures w14:val="none"/>
        </w:rPr>
        <w:t>(二)验收及标准</w:t>
      </w:r>
    </w:p>
    <w:p w14:paraId="2FA6446E">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1.所配送的产品应是国内产品，且符合《中华人民共和国食品安全法》要求及国家、行业内规定的生产与经营内相关标准（如有），保证无异味、无变质等质量问题，如不符合投标时响应描述的质量标准，采购人有权要求无条件退货，对采购人造成不良影响的，供应商应承担该行为造成一切责任与赔偿。（投标人的投标文件须提供承诺函并加盖单位公章，承诺函格式自拟）</w:t>
      </w:r>
    </w:p>
    <w:p w14:paraId="189C059B">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2.所配送产品货真价实，能按采购人要求提供相应批次的合格检验证明。</w:t>
      </w:r>
    </w:p>
    <w:p w14:paraId="348FD663">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3.所配送货物各项技术指标完全符合国家有关质量检测、环保标准及产品出厂标准。</w:t>
      </w:r>
    </w:p>
    <w:p w14:paraId="0D206DF5">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4.</w:t>
      </w:r>
      <w:r>
        <w:rPr>
          <w:rFonts w:hint="eastAsia" w:ascii="宋体" w:hAnsi="宋体" w:eastAsia="宋体" w:cs="宋体"/>
          <w:bCs/>
          <w:sz w:val="24"/>
          <w:szCs w:val="24"/>
          <w:highlight w:val="none"/>
          <w:lang w:val="en-US" w:eastAsia="zh-CN"/>
          <w14:ligatures w14:val="none"/>
        </w:rPr>
        <w:t>牛奶饮品</w:t>
      </w:r>
      <w:r>
        <w:rPr>
          <w:rFonts w:hint="eastAsia" w:ascii="宋体" w:hAnsi="宋体" w:eastAsia="宋体" w:cs="宋体"/>
          <w:bCs/>
          <w:sz w:val="24"/>
          <w:szCs w:val="24"/>
          <w:highlight w:val="none"/>
          <w14:ligatures w14:val="none"/>
        </w:rPr>
        <w:t>类食材验收具体标准如下：</w:t>
      </w:r>
    </w:p>
    <w:p w14:paraId="57D2B0BD">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★（1）外包装箱：清洁、完整、无破损、无水渍污迹。印刷信息清晰。</w:t>
      </w:r>
    </w:p>
    <w:p w14:paraId="6BCBB87D">
      <w:pPr>
        <w:pageBreakBefore w:val="0"/>
        <w:kinsoku/>
        <w:overflowPunct/>
        <w:bidi w:val="0"/>
        <w:spacing w:line="360" w:lineRule="auto"/>
        <w:ind w:left="0" w:leftChars="0" w:firstLine="480" w:firstLineChars="200"/>
        <w:jc w:val="both"/>
        <w:rPr>
          <w:rFonts w:hint="eastAsia" w:ascii="宋体" w:hAnsi="宋体" w:eastAsia="宋体" w:cs="宋体"/>
          <w:bCs/>
          <w:sz w:val="24"/>
          <w:szCs w:val="24"/>
          <w:highlight w:val="none"/>
          <w:lang w:eastAsia="zh-CN"/>
          <w14:ligatures w14:val="none"/>
        </w:rPr>
      </w:pPr>
      <w:r>
        <w:rPr>
          <w:rFonts w:hint="eastAsia" w:ascii="宋体" w:hAnsi="宋体" w:eastAsia="宋体" w:cs="宋体"/>
          <w:bCs/>
          <w:sz w:val="24"/>
          <w:szCs w:val="24"/>
          <w:highlight w:val="none"/>
          <w14:ligatures w14:val="none"/>
        </w:rPr>
        <w:t>完整性：无胀包、漏奶、变形（特别是利乐包）、封口严密（瓶盖无松动，屋顶包无开角）。标签：符合 GB 7718 要求。品名明确（“纯牛奶”或“鲜牛奶”）</w:t>
      </w:r>
      <w:r>
        <w:rPr>
          <w:rFonts w:hint="eastAsia" w:ascii="宋体" w:hAnsi="宋体" w:eastAsia="宋体" w:cs="宋体"/>
          <w:bCs/>
          <w:sz w:val="24"/>
          <w:szCs w:val="24"/>
          <w:highlight w:val="none"/>
          <w:lang w:eastAsia="zh-CN"/>
          <w14:ligatures w14:val="none"/>
        </w:rPr>
        <w:t>、</w:t>
      </w:r>
    </w:p>
    <w:p w14:paraId="674AB5DA">
      <w:pPr>
        <w:pageBreakBefore w:val="0"/>
        <w:kinsoku/>
        <w:overflowPunct/>
        <w:bidi w:val="0"/>
        <w:spacing w:line="360" w:lineRule="auto"/>
        <w:ind w:left="0" w:leftChars="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配料仅为“生牛乳”</w:t>
      </w:r>
      <w:r>
        <w:rPr>
          <w:rFonts w:hint="eastAsia" w:ascii="宋体" w:hAnsi="宋体" w:eastAsia="宋体" w:cs="宋体"/>
          <w:bCs/>
          <w:sz w:val="24"/>
          <w:szCs w:val="24"/>
          <w:highlight w:val="none"/>
          <w:lang w:eastAsia="zh-CN"/>
          <w14:ligatures w14:val="none"/>
        </w:rPr>
        <w:t>、</w:t>
      </w:r>
      <w:r>
        <w:rPr>
          <w:rFonts w:hint="eastAsia" w:ascii="宋体" w:hAnsi="宋体" w:eastAsia="宋体" w:cs="宋体"/>
          <w:bCs/>
          <w:sz w:val="24"/>
          <w:szCs w:val="24"/>
          <w:highlight w:val="none"/>
          <w14:ligatures w14:val="none"/>
        </w:rPr>
        <w:t>产品类型标注清晰（如“全脂灭菌乳”）</w:t>
      </w:r>
      <w:r>
        <w:rPr>
          <w:rFonts w:hint="eastAsia" w:ascii="宋体" w:hAnsi="宋体" w:eastAsia="宋体" w:cs="宋体"/>
          <w:bCs/>
          <w:sz w:val="24"/>
          <w:szCs w:val="24"/>
          <w:highlight w:val="none"/>
          <w:lang w:eastAsia="zh-CN"/>
          <w14:ligatures w14:val="none"/>
        </w:rPr>
        <w:t>、</w:t>
      </w:r>
      <w:r>
        <w:rPr>
          <w:rFonts w:hint="eastAsia" w:ascii="宋体" w:hAnsi="宋体" w:eastAsia="宋体" w:cs="宋体"/>
          <w:bCs/>
          <w:sz w:val="24"/>
          <w:szCs w:val="24"/>
          <w:highlight w:val="none"/>
          <w14:ligatures w14:val="none"/>
        </w:rPr>
        <w:t>生产日期、保质期、贮存条件印刷清晰、无篡改</w:t>
      </w:r>
      <w:r>
        <w:rPr>
          <w:rFonts w:hint="eastAsia" w:ascii="宋体" w:hAnsi="宋体" w:eastAsia="宋体" w:cs="宋体"/>
          <w:bCs/>
          <w:sz w:val="24"/>
          <w:szCs w:val="24"/>
          <w:highlight w:val="none"/>
          <w:lang w:eastAsia="zh-CN"/>
          <w14:ligatures w14:val="none"/>
        </w:rPr>
        <w:t>、</w:t>
      </w:r>
      <w:r>
        <w:rPr>
          <w:rFonts w:hint="eastAsia" w:ascii="宋体" w:hAnsi="宋体" w:eastAsia="宋体" w:cs="宋体"/>
          <w:bCs/>
          <w:sz w:val="24"/>
          <w:szCs w:val="24"/>
          <w:highlight w:val="none"/>
          <w14:ligatures w14:val="none"/>
        </w:rPr>
        <w:t>执行标准号正确（常温奶：GB 25190；巴氏奶：GB 19645）</w:t>
      </w:r>
      <w:r>
        <w:rPr>
          <w:rFonts w:hint="eastAsia" w:ascii="宋体" w:hAnsi="宋体" w:eastAsia="宋体" w:cs="宋体"/>
          <w:bCs/>
          <w:sz w:val="24"/>
          <w:szCs w:val="24"/>
          <w:highlight w:val="none"/>
          <w:lang w:eastAsia="zh-CN"/>
          <w14:ligatures w14:val="none"/>
        </w:rPr>
        <w:t>、</w:t>
      </w:r>
      <w:r>
        <w:rPr>
          <w:rFonts w:hint="eastAsia" w:ascii="宋体" w:hAnsi="宋体" w:eastAsia="宋体" w:cs="宋体"/>
          <w:bCs/>
          <w:sz w:val="24"/>
          <w:szCs w:val="24"/>
          <w:highlight w:val="none"/>
          <w14:ligatures w14:val="none"/>
        </w:rPr>
        <w:t>SC标志及编号清晰</w:t>
      </w:r>
      <w:r>
        <w:rPr>
          <w:rFonts w:hint="eastAsia" w:ascii="宋体" w:hAnsi="宋体" w:eastAsia="宋体" w:cs="宋体"/>
          <w:bCs/>
          <w:sz w:val="24"/>
          <w:szCs w:val="24"/>
          <w:highlight w:val="none"/>
          <w:lang w:eastAsia="zh-CN"/>
          <w14:ligatures w14:val="none"/>
        </w:rPr>
        <w:t>、</w:t>
      </w:r>
      <w:r>
        <w:rPr>
          <w:rFonts w:hint="eastAsia" w:ascii="宋体" w:hAnsi="宋体" w:eastAsia="宋体" w:cs="宋体"/>
          <w:bCs/>
          <w:sz w:val="24"/>
          <w:szCs w:val="24"/>
          <w:highlight w:val="none"/>
          <w14:ligatures w14:val="none"/>
        </w:rPr>
        <w:t>营养标签（蛋白质含量需重点核对）。</w:t>
      </w:r>
    </w:p>
    <w:p w14:paraId="34127740">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w:t>
      </w:r>
      <w:r>
        <w:rPr>
          <w:rFonts w:hint="eastAsia" w:ascii="宋体" w:hAnsi="宋体" w:eastAsia="宋体" w:cs="宋体"/>
          <w:bCs/>
          <w:sz w:val="24"/>
          <w:szCs w:val="24"/>
          <w:highlight w:val="none"/>
          <w:lang w:val="en-US" w:eastAsia="zh-CN"/>
          <w14:ligatures w14:val="none"/>
        </w:rPr>
        <w:t>2</w:t>
      </w:r>
      <w:r>
        <w:rPr>
          <w:rFonts w:hint="eastAsia" w:ascii="宋体" w:hAnsi="宋体" w:eastAsia="宋体" w:cs="宋体"/>
          <w:bCs/>
          <w:sz w:val="24"/>
          <w:szCs w:val="24"/>
          <w:highlight w:val="none"/>
          <w14:ligatures w14:val="none"/>
        </w:rPr>
        <w:t>）随机抽样，开包/开盒检验：色泽：呈均匀一致的乳白色或微黄色。</w:t>
      </w:r>
    </w:p>
    <w:p w14:paraId="078F9028">
      <w:pPr>
        <w:pageBreakBefore w:val="0"/>
        <w:kinsoku/>
        <w:overflowPunct/>
        <w:bidi w:val="0"/>
        <w:spacing w:line="360" w:lineRule="auto"/>
        <w:ind w:left="0" w:leftChars="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组织状态：呈均匀的液体，无凝块、无沉淀、无肉眼可见异物、无脂肪上浮。</w:t>
      </w:r>
    </w:p>
    <w:p w14:paraId="6DFB8DF6">
      <w:pPr>
        <w:pageBreakBefore w:val="0"/>
        <w:kinsoku/>
        <w:overflowPunct/>
        <w:bidi w:val="0"/>
        <w:spacing w:line="360" w:lineRule="auto"/>
        <w:ind w:left="0" w:leftChars="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滋味与气味：具有牛奶固有的纯正乳香味，无异味（如焦糊味、饲料味、氧化味、酸败味等）。杂质：在透明玻璃杯中观察，应无任何外来杂质。</w:t>
      </w:r>
    </w:p>
    <w:p w14:paraId="640DB069">
      <w:pPr>
        <w:pageBreakBefore w:val="0"/>
        <w:kinsoku/>
        <w:overflowPunct/>
        <w:bidi w:val="0"/>
        <w:spacing w:line="360" w:lineRule="auto"/>
        <w:ind w:left="0" w:leftChars="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w:t>
      </w:r>
      <w:r>
        <w:rPr>
          <w:rFonts w:hint="eastAsia" w:ascii="宋体" w:hAnsi="宋体" w:eastAsia="宋体" w:cs="宋体"/>
          <w:bCs/>
          <w:sz w:val="24"/>
          <w:szCs w:val="24"/>
          <w:highlight w:val="none"/>
          <w:lang w:val="en-US" w:eastAsia="zh-CN"/>
          <w14:ligatures w14:val="none"/>
        </w:rPr>
        <w:t>3</w:t>
      </w:r>
      <w:r>
        <w:rPr>
          <w:rFonts w:hint="eastAsia" w:ascii="宋体" w:hAnsi="宋体" w:eastAsia="宋体" w:cs="宋体"/>
          <w:bCs/>
          <w:sz w:val="24"/>
          <w:szCs w:val="24"/>
          <w:highlight w:val="none"/>
          <w14:ligatures w14:val="none"/>
        </w:rPr>
        <w:t>）</w:t>
      </w:r>
      <w:r>
        <w:rPr>
          <w:rFonts w:hint="eastAsia" w:ascii="宋体" w:hAnsi="宋体" w:eastAsia="宋体" w:cs="宋体"/>
          <w:bCs/>
          <w:sz w:val="24"/>
          <w:szCs w:val="24"/>
          <w:highlight w:val="none"/>
          <w:lang w:val="en-US" w:eastAsia="zh-CN"/>
          <w14:ligatures w14:val="none"/>
        </w:rPr>
        <w:t>必须符合</w:t>
      </w:r>
      <w:r>
        <w:rPr>
          <w:rFonts w:hint="eastAsia" w:ascii="宋体" w:hAnsi="宋体" w:eastAsia="宋体" w:cs="宋体"/>
          <w:bCs/>
          <w:sz w:val="24"/>
          <w:szCs w:val="24"/>
          <w:highlight w:val="none"/>
          <w14:ligatures w14:val="none"/>
        </w:rPr>
        <w:t>GB 25190-2010《食品安全国家标准 灭菌乳》：适用于UHT超高温灭菌乳/常温纯牛奶。</w:t>
      </w:r>
    </w:p>
    <w:p w14:paraId="01E402C8">
      <w:pPr>
        <w:pageBreakBefore w:val="0"/>
        <w:kinsoku/>
        <w:overflowPunct/>
        <w:bidi w:val="0"/>
        <w:spacing w:line="360" w:lineRule="auto"/>
        <w:ind w:left="0" w:leftChars="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GB 19645-2010《食品安全国家标准 巴氏杀菌乳》：适用于巴氏杀菌乳/冷藏鲜牛奶。</w:t>
      </w:r>
    </w:p>
    <w:p w14:paraId="0C09DD01">
      <w:pPr>
        <w:pageBreakBefore w:val="0"/>
        <w:kinsoku/>
        <w:overflowPunct/>
        <w:bidi w:val="0"/>
        <w:spacing w:line="360" w:lineRule="auto"/>
        <w:ind w:left="0" w:leftChars="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GB 19301-2010《食品安全国家标准 生乳》：是生产前述产品的基础原料标准，有时也用于溯源检查。</w:t>
      </w:r>
    </w:p>
    <w:p w14:paraId="61FD849D">
      <w:pPr>
        <w:pageBreakBefore w:val="0"/>
        <w:kinsoku/>
        <w:overflowPunct/>
        <w:bidi w:val="0"/>
        <w:spacing w:line="360" w:lineRule="auto"/>
        <w:ind w:left="0" w:leftChars="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w:t>
      </w:r>
      <w:r>
        <w:rPr>
          <w:rFonts w:hint="eastAsia" w:ascii="宋体" w:hAnsi="宋体" w:eastAsia="宋体" w:cs="宋体"/>
          <w:bCs/>
          <w:sz w:val="24"/>
          <w:szCs w:val="24"/>
          <w:highlight w:val="none"/>
          <w:lang w:val="en-US" w:eastAsia="zh-CN"/>
          <w14:ligatures w14:val="none"/>
        </w:rPr>
        <w:t>4</w:t>
      </w:r>
      <w:r>
        <w:rPr>
          <w:rFonts w:hint="eastAsia" w:ascii="宋体" w:hAnsi="宋体" w:eastAsia="宋体" w:cs="宋体"/>
          <w:bCs/>
          <w:sz w:val="24"/>
          <w:szCs w:val="24"/>
          <w:highlight w:val="none"/>
          <w14:ligatures w14:val="none"/>
        </w:rPr>
        <w:t>）有效期要求：供应商必须保证所供应产品是食用有效期剩余50%（含）以上，如发现不符合要求，但仍在保质期内，采购人有权拒收，并责令其在4小时内重新送货，所发生费用由供应商负责。如超时送货或再次送货不符合要求的，按“（三）考核要求”第4点处理。</w:t>
      </w:r>
    </w:p>
    <w:p w14:paraId="103D9AF5">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5.凡达不到上述验收要求，采购人有权拒绝收货并责令重新配送，相关考核标准则参照《中山大学孙逸仙纪念医院总务科食堂食材配送供应商考核表》。</w:t>
      </w:r>
    </w:p>
    <w:p w14:paraId="266E6420">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6.对产品进行认真验收，对不符合规格要求的产品，供应商应无条件退货；供应商未能履行招标文件和合同所定事项,或供应不合格的、假冒伪劣、以次充好的产品，采购人退货后将记录在案。因供应商供货质量问题(如：变质、发霉、有异味等现象)造成退货、换货的，每出现一次扣除履约保证金1</w:t>
      </w:r>
      <w:r>
        <w:rPr>
          <w:rFonts w:hint="eastAsia" w:ascii="宋体" w:hAnsi="宋体" w:eastAsia="宋体" w:cs="宋体"/>
          <w:bCs/>
          <w:sz w:val="24"/>
          <w:szCs w:val="24"/>
          <w:highlight w:val="none"/>
          <w:lang w:val="en-US" w:eastAsia="zh-CN"/>
          <w14:ligatures w14:val="none"/>
        </w:rPr>
        <w:t>千</w:t>
      </w:r>
      <w:r>
        <w:rPr>
          <w:rFonts w:hint="eastAsia" w:ascii="宋体" w:hAnsi="宋体" w:eastAsia="宋体" w:cs="宋体"/>
          <w:bCs/>
          <w:sz w:val="24"/>
          <w:szCs w:val="24"/>
          <w:highlight w:val="none"/>
          <w14:ligatures w14:val="none"/>
        </w:rPr>
        <w:t>元。如类似问题出现三次或以上，除了扣除相应保证金外，采购人有权无条件解除合同。</w:t>
      </w:r>
    </w:p>
    <w:p w14:paraId="7403DF29">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7.供应商必须负责运输、质量检测等工作，所产生的费用由供应商负责，采购人有权不定期对供应的产品委托具有相关资质的国家检测机构进行检测。如检测结果未达到国家食品管理部门的有关标准及供应商承诺的标准，检测费用由供应商负责，采购人还有权扣除当月的全额货款作为罚金，经相关行政主管部门同意后，有权解除合同，由此产生的一切经济损失由供应商承担。同时，采购人有权追讨由此而引起的责任。</w:t>
      </w:r>
    </w:p>
    <w:p w14:paraId="5395294B">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8.供应商不得擅自变更供应产品（如品种、品牌（如有）、品名、产地、包装、规格等），应严格按采购人要求供应，否则采购人验收人员有权拒收。如因市场流通问题确实需要变更的，应事前向采购人提出申请，并经采购人同意后方可变更，替换的产品不得低于中标产品的质量，价格不得高于中标价格。</w:t>
      </w:r>
    </w:p>
    <w:p w14:paraId="1C5E16C3">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9.若发现所配送货物超出中标价格情况，第一次处以该产品当天供货额的3倍罚金，第二次处以该产品当天供货额的5倍罚金，第三次处以该产品当天供货额的10倍罚金；合同期内累计达到4次者，采购人可根据合同情况视为违约，并有权上报监管部门，由此引发的所有损失由供应商负责。</w:t>
      </w:r>
    </w:p>
    <w:p w14:paraId="609BFB9F">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10.采购人如果发现供应商提供的产品</w:t>
      </w:r>
      <w:r>
        <w:rPr>
          <w:rFonts w:hint="eastAsia" w:ascii="宋体" w:hAnsi="宋体" w:eastAsia="宋体" w:cs="宋体"/>
          <w:bCs/>
          <w:sz w:val="24"/>
          <w:szCs w:val="24"/>
          <w:highlight w:val="none"/>
          <w:lang w:val="en-US" w:eastAsia="zh-CN"/>
          <w14:ligatures w14:val="none"/>
        </w:rPr>
        <w:t>整箱短缺</w:t>
      </w:r>
      <w:r>
        <w:rPr>
          <w:rFonts w:hint="eastAsia" w:ascii="宋体" w:hAnsi="宋体" w:eastAsia="宋体" w:cs="宋体"/>
          <w:bCs/>
          <w:sz w:val="24"/>
          <w:szCs w:val="24"/>
          <w:highlight w:val="none"/>
          <w14:ligatures w14:val="none"/>
        </w:rPr>
        <w:t>，采购人有权责令其在规定的时间内重新送货，并扣除其短缺数量的金额</w:t>
      </w:r>
      <w:r>
        <w:rPr>
          <w:rFonts w:hint="eastAsia" w:ascii="宋体" w:hAnsi="宋体" w:eastAsia="宋体" w:cs="宋体"/>
          <w:bCs/>
          <w:sz w:val="24"/>
          <w:szCs w:val="24"/>
          <w:highlight w:val="none"/>
          <w:lang w:eastAsia="zh-CN"/>
          <w14:ligatures w14:val="none"/>
        </w:rPr>
        <w:t>。</w:t>
      </w:r>
      <w:r>
        <w:rPr>
          <w:rFonts w:hint="eastAsia" w:ascii="宋体" w:hAnsi="宋体" w:eastAsia="宋体" w:cs="宋体"/>
          <w:bCs/>
          <w:sz w:val="24"/>
          <w:szCs w:val="24"/>
          <w:highlight w:val="none"/>
          <w14:ligatures w14:val="none"/>
        </w:rPr>
        <w:t>采购人如果发现供应商提供的产品单箱包装内实际瓶/盒数量少于标称数量（如标称24盒/箱，实收22盒）。按以下方式处理：该箱整体视为不合格品，采购人有权拒收并要求更换。若无法及时补送，处以其缺少数量的金额的10倍罚金，当月类似现象累计达到3次，采购人有权根据合同情况视为违约，并报监管部门，所发生经济损失由供应商负责。</w:t>
      </w:r>
    </w:p>
    <w:p w14:paraId="5B10F939">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11.采购人验收产品后在加工制作过程中发现的质量问题由供应商负责包换或包退，并由供应商承担因此而产生的一切费用。</w:t>
      </w:r>
    </w:p>
    <w:p w14:paraId="3535E037">
      <w:pPr>
        <w:pageBreakBefore w:val="0"/>
        <w:kinsoku/>
        <w:overflowPunct/>
        <w:bidi w:val="0"/>
        <w:spacing w:before="156" w:beforeLines="50" w:line="360" w:lineRule="auto"/>
        <w:ind w:left="0" w:firstLine="482" w:firstLineChars="200"/>
        <w:jc w:val="both"/>
        <w:rPr>
          <w:rFonts w:hint="eastAsia" w:ascii="宋体" w:hAnsi="宋体" w:eastAsia="宋体" w:cs="宋体"/>
          <w:b/>
          <w:sz w:val="24"/>
          <w:szCs w:val="24"/>
          <w:highlight w:val="none"/>
          <w14:ligatures w14:val="none"/>
        </w:rPr>
      </w:pPr>
      <w:r>
        <w:rPr>
          <w:rFonts w:hint="eastAsia" w:ascii="宋体" w:hAnsi="宋体" w:eastAsia="宋体" w:cs="宋体"/>
          <w:b/>
          <w:sz w:val="24"/>
          <w:szCs w:val="24"/>
          <w:highlight w:val="none"/>
          <w14:ligatures w14:val="none"/>
        </w:rPr>
        <w:t>(三)考核要求</w:t>
      </w:r>
    </w:p>
    <w:p w14:paraId="6EE77605">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★1.供应商必须服从采购人实施的《中山大学孙逸仙纪念医院总务科食堂食材配送供应商考核表》（以下统称“考核表”）及相关评分准则。（投标人的投标文件须提供承诺函并加盖单位公章，承诺函格式自拟）</w:t>
      </w:r>
    </w:p>
    <w:p w14:paraId="40A78811">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2.服务期内，为了及时了解供应商履行合同的情况，采购人每月对供应商采取考核评定，评定内容由采购人决定（详见《考核表》）。年度评分均值≥80分的为合格，如评估不合格的，经相关行政主管部门同意后，采购人有权无条件立即解除合同，一切经济和法律责任由供应商自行承担。</w:t>
      </w:r>
    </w:p>
    <w:p w14:paraId="761BBD87">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3.合同期内采购人对供应商考核评定累计两个月低于70分的，经相关行政主管部门同意后，采购人有权无条件立即解除合同，所发生的一切损失由供应商负责。</w:t>
      </w:r>
    </w:p>
    <w:p w14:paraId="2142DD94">
      <w:pPr>
        <w:pageBreakBefore w:val="0"/>
        <w:kinsoku/>
        <w:overflowPunct/>
        <w:bidi w:val="0"/>
        <w:spacing w:line="360" w:lineRule="auto"/>
        <w:ind w:left="0" w:firstLine="480" w:firstLineChars="200"/>
        <w:jc w:val="both"/>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4.如因供应商货物发生迟交货现象的，作以下处理：①采购人对迟交部分的产品可拒绝收货；②按当次交货产品总价值的5%扣违约金；③处罚标准按照《中山大学孙逸仙纪念医院总务科食堂食材配送供应商考核表》；④如采购人需要对迟交部分的产品进行自行采购的，供应商负责支付对该部分产品实际采购价格与供应商供货价格之间的差价的10倍金额作为违约金。（投标人的投标文件须提供承诺函并加盖单位公章，承诺函格式自拟）</w:t>
      </w:r>
    </w:p>
    <w:p w14:paraId="64B28F4B">
      <w:pPr>
        <w:pageBreakBefore w:val="0"/>
        <w:kinsoku/>
        <w:overflowPunct/>
        <w:bidi w:val="0"/>
        <w:spacing w:line="360" w:lineRule="auto"/>
        <w:ind w:left="0" w:leftChars="0" w:firstLine="0" w:firstLineChars="0"/>
        <w:jc w:val="center"/>
        <w:rPr>
          <w:rFonts w:hint="eastAsia" w:ascii="宋体" w:hAnsi="宋体" w:eastAsia="宋体" w:cs="宋体"/>
          <w:bCs/>
          <w:sz w:val="24"/>
          <w:szCs w:val="24"/>
          <w:highlight w:val="none"/>
          <w14:ligatures w14:val="none"/>
        </w:rPr>
      </w:pPr>
      <w:r>
        <w:rPr>
          <w:rFonts w:hint="eastAsia" w:ascii="宋体" w:hAnsi="宋体" w:eastAsia="宋体" w:cs="宋体"/>
          <w:bCs/>
          <w:sz w:val="24"/>
          <w:szCs w:val="24"/>
          <w:highlight w:val="none"/>
          <w14:ligatures w14:val="none"/>
        </w:rPr>
        <w:t>《中山大学孙逸仙纪念医院总务科食堂食材配送供应商考核表》</w:t>
      </w:r>
    </w:p>
    <w:tbl>
      <w:tblPr>
        <w:tblStyle w:val="17"/>
        <w:tblpPr w:leftFromText="180" w:rightFromText="180" w:vertAnchor="text" w:tblpX="1" w:tblpY="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6"/>
        <w:gridCol w:w="718"/>
        <w:gridCol w:w="5420"/>
        <w:gridCol w:w="528"/>
      </w:tblGrid>
      <w:tr w14:paraId="2946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1856" w:type="dxa"/>
            <w:vMerge w:val="restart"/>
            <w:vAlign w:val="center"/>
          </w:tcPr>
          <w:p w14:paraId="003BCB4B">
            <w:pPr>
              <w:keepNext/>
              <w:pageBreakBefore w:val="0"/>
              <w:kinsoku/>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b/>
                <w:kern w:val="0"/>
                <w:sz w:val="24"/>
                <w:szCs w:val="24"/>
                <w:highlight w:val="none"/>
                <w:lang w:eastAsia="en-US"/>
                <w14:ligatures w14:val="none"/>
              </w:rPr>
            </w:pPr>
            <w:r>
              <w:rPr>
                <w:rFonts w:hint="eastAsia" w:ascii="宋体" w:hAnsi="宋体" w:eastAsia="宋体" w:cs="宋体"/>
                <w:b/>
                <w:kern w:val="0"/>
                <w:sz w:val="24"/>
                <w:szCs w:val="24"/>
                <w:highlight w:val="none"/>
                <w:lang w:eastAsia="en-US"/>
                <w14:ligatures w14:val="none"/>
              </w:rPr>
              <w:t>考核指标</w:t>
            </w:r>
          </w:p>
        </w:tc>
        <w:tc>
          <w:tcPr>
            <w:tcW w:w="718" w:type="dxa"/>
            <w:vMerge w:val="restart"/>
            <w:vAlign w:val="center"/>
          </w:tcPr>
          <w:p w14:paraId="2061E14C">
            <w:pPr>
              <w:keepNext/>
              <w:pageBreakBefore w:val="0"/>
              <w:kinsoku/>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b/>
                <w:kern w:val="0"/>
                <w:sz w:val="24"/>
                <w:szCs w:val="24"/>
                <w:highlight w:val="none"/>
                <w:lang w:eastAsia="en-US"/>
                <w14:ligatures w14:val="none"/>
              </w:rPr>
            </w:pPr>
            <w:r>
              <w:rPr>
                <w:rFonts w:hint="eastAsia" w:ascii="宋体" w:hAnsi="宋体" w:eastAsia="宋体" w:cs="宋体"/>
                <w:b/>
                <w:kern w:val="0"/>
                <w:sz w:val="24"/>
                <w:szCs w:val="24"/>
                <w:highlight w:val="none"/>
                <w:lang w:eastAsia="en-US"/>
                <w14:ligatures w14:val="none"/>
              </w:rPr>
              <w:t>分值</w:t>
            </w:r>
          </w:p>
        </w:tc>
        <w:tc>
          <w:tcPr>
            <w:tcW w:w="5420" w:type="dxa"/>
            <w:vMerge w:val="restart"/>
            <w:vAlign w:val="center"/>
          </w:tcPr>
          <w:p w14:paraId="7BAFDDBD">
            <w:pPr>
              <w:keepNext/>
              <w:pageBreakBefore w:val="0"/>
              <w:kinsoku/>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b/>
                <w:kern w:val="0"/>
                <w:sz w:val="24"/>
                <w:szCs w:val="24"/>
                <w:highlight w:val="none"/>
                <w14:ligatures w14:val="none"/>
              </w:rPr>
            </w:pPr>
            <w:r>
              <w:rPr>
                <w:rFonts w:hint="eastAsia" w:ascii="宋体" w:hAnsi="宋体" w:eastAsia="宋体" w:cs="宋体"/>
                <w:b/>
                <w:kern w:val="0"/>
                <w:sz w:val="24"/>
                <w:szCs w:val="24"/>
                <w:highlight w:val="none"/>
                <w14:ligatures w14:val="none"/>
              </w:rPr>
              <w:t>考核要素和评估内容及其标准</w:t>
            </w:r>
          </w:p>
        </w:tc>
        <w:tc>
          <w:tcPr>
            <w:tcW w:w="528" w:type="dxa"/>
            <w:vMerge w:val="restart"/>
            <w:vAlign w:val="center"/>
          </w:tcPr>
          <w:p w14:paraId="0D285AC0">
            <w:pPr>
              <w:keepNext/>
              <w:pageBreakBefore w:val="0"/>
              <w:kinsoku/>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b/>
                <w:kern w:val="0"/>
                <w:sz w:val="24"/>
                <w:szCs w:val="24"/>
                <w:highlight w:val="none"/>
                <w:lang w:eastAsia="en-US"/>
                <w14:ligatures w14:val="none"/>
              </w:rPr>
            </w:pPr>
            <w:r>
              <w:rPr>
                <w:rFonts w:hint="eastAsia" w:ascii="宋体" w:hAnsi="宋体" w:eastAsia="宋体" w:cs="宋体"/>
                <w:b/>
                <w:kern w:val="0"/>
                <w:sz w:val="24"/>
                <w:szCs w:val="24"/>
                <w:highlight w:val="none"/>
                <w:lang w:eastAsia="en-US"/>
                <w14:ligatures w14:val="none"/>
              </w:rPr>
              <w:t>得分</w:t>
            </w:r>
          </w:p>
        </w:tc>
      </w:tr>
      <w:tr w14:paraId="7AAC3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1856" w:type="dxa"/>
            <w:vMerge w:val="continue"/>
            <w:vAlign w:val="center"/>
          </w:tcPr>
          <w:p w14:paraId="54AD9935">
            <w:pPr>
              <w:keepNext/>
              <w:pageBreakBefore w:val="0"/>
              <w:kinsoku/>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b/>
                <w:kern w:val="0"/>
                <w:sz w:val="24"/>
                <w:szCs w:val="24"/>
                <w:highlight w:val="none"/>
                <w:lang w:eastAsia="en-US"/>
                <w14:ligatures w14:val="none"/>
              </w:rPr>
            </w:pPr>
          </w:p>
        </w:tc>
        <w:tc>
          <w:tcPr>
            <w:tcW w:w="718" w:type="dxa"/>
            <w:vMerge w:val="continue"/>
            <w:vAlign w:val="center"/>
          </w:tcPr>
          <w:p w14:paraId="2DDC0B77">
            <w:pPr>
              <w:keepNext/>
              <w:pageBreakBefore w:val="0"/>
              <w:kinsoku/>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b/>
                <w:kern w:val="0"/>
                <w:sz w:val="24"/>
                <w:szCs w:val="24"/>
                <w:highlight w:val="none"/>
                <w:lang w:eastAsia="en-US"/>
                <w14:ligatures w14:val="none"/>
              </w:rPr>
            </w:pPr>
          </w:p>
        </w:tc>
        <w:tc>
          <w:tcPr>
            <w:tcW w:w="5420" w:type="dxa"/>
            <w:vMerge w:val="continue"/>
            <w:vAlign w:val="center"/>
          </w:tcPr>
          <w:p w14:paraId="486E3FAC">
            <w:pPr>
              <w:keepNext/>
              <w:pageBreakBefore w:val="0"/>
              <w:kinsoku/>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b/>
                <w:kern w:val="0"/>
                <w:sz w:val="24"/>
                <w:szCs w:val="24"/>
                <w:highlight w:val="none"/>
                <w:lang w:eastAsia="en-US"/>
                <w14:ligatures w14:val="none"/>
              </w:rPr>
            </w:pPr>
          </w:p>
        </w:tc>
        <w:tc>
          <w:tcPr>
            <w:tcW w:w="528" w:type="dxa"/>
            <w:vMerge w:val="continue"/>
            <w:vAlign w:val="center"/>
          </w:tcPr>
          <w:p w14:paraId="0F60C655">
            <w:pPr>
              <w:keepNext/>
              <w:pageBreakBefore w:val="0"/>
              <w:kinsoku/>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b/>
                <w:kern w:val="0"/>
                <w:sz w:val="24"/>
                <w:szCs w:val="24"/>
                <w:highlight w:val="none"/>
                <w:lang w:eastAsia="en-US"/>
                <w14:ligatures w14:val="none"/>
              </w:rPr>
            </w:pPr>
          </w:p>
        </w:tc>
      </w:tr>
      <w:tr w14:paraId="1062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56" w:type="dxa"/>
            <w:vAlign w:val="center"/>
          </w:tcPr>
          <w:p w14:paraId="476E40DF">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lang w:eastAsia="en-US"/>
                <w14:ligatures w14:val="none"/>
              </w:rPr>
            </w:pPr>
            <w:r>
              <w:rPr>
                <w:rFonts w:hint="eastAsia" w:ascii="宋体" w:hAnsi="宋体" w:eastAsia="宋体" w:cs="宋体"/>
                <w:kern w:val="0"/>
                <w:sz w:val="24"/>
                <w:szCs w:val="24"/>
                <w:highlight w:val="none"/>
                <w:lang w:eastAsia="en-US"/>
                <w14:ligatures w14:val="none"/>
              </w:rPr>
              <w:t>一、送货时间</w:t>
            </w:r>
          </w:p>
        </w:tc>
        <w:tc>
          <w:tcPr>
            <w:tcW w:w="718" w:type="dxa"/>
            <w:vAlign w:val="center"/>
          </w:tcPr>
          <w:p w14:paraId="014F65F9">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lang w:eastAsia="en-US"/>
                <w14:ligatures w14:val="none"/>
              </w:rPr>
            </w:pPr>
            <w:r>
              <w:rPr>
                <w:rFonts w:hint="eastAsia" w:ascii="宋体" w:hAnsi="宋体" w:eastAsia="宋体" w:cs="宋体"/>
                <w:kern w:val="0"/>
                <w:sz w:val="24"/>
                <w:szCs w:val="24"/>
                <w:highlight w:val="none"/>
                <w:lang w:eastAsia="en-US"/>
                <w14:ligatures w14:val="none"/>
              </w:rPr>
              <w:t>10</w:t>
            </w:r>
          </w:p>
        </w:tc>
        <w:tc>
          <w:tcPr>
            <w:tcW w:w="5420" w:type="dxa"/>
            <w:vAlign w:val="center"/>
          </w:tcPr>
          <w:p w14:paraId="2A0A492F">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一次不漏地按时送达的得10分。不准时送达少于3次的得8-9分。3次及以上不准时但能与院方及时沟通的得5-7分，不沟通或沟通不及时得4分或以下。</w:t>
            </w:r>
          </w:p>
        </w:tc>
        <w:tc>
          <w:tcPr>
            <w:tcW w:w="528" w:type="dxa"/>
            <w:vAlign w:val="center"/>
          </w:tcPr>
          <w:p w14:paraId="0F690FFA">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14:ligatures w14:val="none"/>
              </w:rPr>
            </w:pPr>
          </w:p>
        </w:tc>
      </w:tr>
      <w:tr w14:paraId="574A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56" w:type="dxa"/>
            <w:vAlign w:val="center"/>
          </w:tcPr>
          <w:p w14:paraId="10FEC174">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lang w:val="en-US" w:eastAsia="zh-CN"/>
                <w14:ligatures w14:val="none"/>
              </w:rPr>
            </w:pPr>
            <w:r>
              <w:rPr>
                <w:rFonts w:hint="eastAsia" w:ascii="宋体" w:hAnsi="宋体" w:eastAsia="宋体" w:cs="宋体"/>
                <w:kern w:val="0"/>
                <w:sz w:val="24"/>
                <w:szCs w:val="24"/>
                <w:highlight w:val="none"/>
                <w:lang w:eastAsia="en-US"/>
                <w14:ligatures w14:val="none"/>
              </w:rPr>
              <w:t>二、</w:t>
            </w:r>
            <w:r>
              <w:rPr>
                <w:rFonts w:hint="eastAsia" w:ascii="宋体" w:hAnsi="宋体" w:eastAsia="宋体" w:cs="宋体"/>
                <w:kern w:val="0"/>
                <w:sz w:val="24"/>
                <w:szCs w:val="24"/>
                <w:highlight w:val="none"/>
                <w:lang w:val="en-US" w:eastAsia="zh-CN"/>
                <w14:ligatures w14:val="none"/>
              </w:rPr>
              <w:t>产品份量</w:t>
            </w:r>
          </w:p>
        </w:tc>
        <w:tc>
          <w:tcPr>
            <w:tcW w:w="718" w:type="dxa"/>
            <w:vAlign w:val="center"/>
          </w:tcPr>
          <w:p w14:paraId="0AE5A477">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lang w:eastAsia="en-US"/>
                <w14:ligatures w14:val="none"/>
              </w:rPr>
            </w:pPr>
            <w:r>
              <w:rPr>
                <w:rFonts w:hint="eastAsia" w:ascii="宋体" w:hAnsi="宋体" w:eastAsia="宋体" w:cs="宋体"/>
                <w:kern w:val="0"/>
                <w:sz w:val="24"/>
                <w:szCs w:val="24"/>
                <w:highlight w:val="none"/>
                <w:lang w:eastAsia="en-US"/>
                <w14:ligatures w14:val="none"/>
              </w:rPr>
              <w:t>10</w:t>
            </w:r>
          </w:p>
        </w:tc>
        <w:tc>
          <w:tcPr>
            <w:tcW w:w="5420" w:type="dxa"/>
            <w:vAlign w:val="center"/>
          </w:tcPr>
          <w:p w14:paraId="51C23BEF">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每盒严格足量200毫升</w:t>
            </w:r>
            <w:r>
              <w:rPr>
                <w:rFonts w:hint="eastAsia" w:ascii="宋体" w:hAnsi="宋体" w:eastAsia="宋体" w:cs="宋体"/>
                <w:kern w:val="0"/>
                <w:sz w:val="24"/>
                <w:szCs w:val="24"/>
                <w:highlight w:val="none"/>
                <w:lang w:val="en-US" w:eastAsia="zh-CN"/>
                <w14:ligatures w14:val="none"/>
              </w:rPr>
              <w:t>/每箱规格完整</w:t>
            </w:r>
            <w:r>
              <w:rPr>
                <w:rFonts w:hint="eastAsia" w:ascii="宋体" w:hAnsi="宋体" w:eastAsia="宋体" w:cs="宋体"/>
                <w:kern w:val="0"/>
                <w:sz w:val="24"/>
                <w:szCs w:val="24"/>
                <w:highlight w:val="none"/>
                <w14:ligatures w14:val="none"/>
              </w:rPr>
              <w:t>得10分。一盒</w:t>
            </w:r>
            <w:r>
              <w:rPr>
                <w:rFonts w:hint="eastAsia" w:ascii="宋体" w:hAnsi="宋体" w:eastAsia="宋体" w:cs="宋体"/>
                <w:kern w:val="0"/>
                <w:sz w:val="24"/>
                <w:szCs w:val="24"/>
                <w:highlight w:val="none"/>
                <w:lang w:val="en-US" w:eastAsia="zh-CN"/>
                <w14:ligatures w14:val="none"/>
              </w:rPr>
              <w:t>/一箱</w:t>
            </w:r>
            <w:r>
              <w:rPr>
                <w:rFonts w:hint="eastAsia" w:ascii="宋体" w:hAnsi="宋体" w:eastAsia="宋体" w:cs="宋体"/>
                <w:kern w:val="0"/>
                <w:sz w:val="24"/>
                <w:szCs w:val="24"/>
                <w:highlight w:val="none"/>
                <w14:ligatures w14:val="none"/>
              </w:rPr>
              <w:t>份量不足但能及时更正的得7-9分。一</w:t>
            </w:r>
            <w:r>
              <w:rPr>
                <w:rFonts w:hint="eastAsia" w:ascii="宋体" w:hAnsi="宋体" w:eastAsia="宋体" w:cs="宋体"/>
                <w:kern w:val="0"/>
                <w:sz w:val="24"/>
                <w:szCs w:val="24"/>
                <w:highlight w:val="none"/>
                <w:lang w:val="en-US" w:eastAsia="zh-CN"/>
                <w14:ligatures w14:val="none"/>
              </w:rPr>
              <w:t>盒/一箱</w:t>
            </w:r>
            <w:r>
              <w:rPr>
                <w:rFonts w:hint="eastAsia" w:ascii="宋体" w:hAnsi="宋体" w:eastAsia="宋体" w:cs="宋体"/>
                <w:kern w:val="0"/>
                <w:sz w:val="24"/>
                <w:szCs w:val="24"/>
                <w:highlight w:val="none"/>
                <w14:ligatures w14:val="none"/>
              </w:rPr>
              <w:t>份量不足但能与院方及时沟通的得5-6分。一盒</w:t>
            </w:r>
            <w:r>
              <w:rPr>
                <w:rFonts w:hint="eastAsia" w:ascii="宋体" w:hAnsi="宋体" w:eastAsia="宋体" w:cs="宋体"/>
                <w:kern w:val="0"/>
                <w:sz w:val="24"/>
                <w:szCs w:val="24"/>
                <w:highlight w:val="none"/>
                <w:lang w:val="en-US" w:eastAsia="zh-CN"/>
                <w14:ligatures w14:val="none"/>
              </w:rPr>
              <w:t>/一箱</w:t>
            </w:r>
            <w:r>
              <w:rPr>
                <w:rFonts w:hint="eastAsia" w:ascii="宋体" w:hAnsi="宋体" w:eastAsia="宋体" w:cs="宋体"/>
                <w:kern w:val="0"/>
                <w:sz w:val="24"/>
                <w:szCs w:val="24"/>
                <w:highlight w:val="none"/>
                <w14:ligatures w14:val="none"/>
              </w:rPr>
              <w:t>份量严重不足或不沟通或沟通不及时的得4分或以下。</w:t>
            </w:r>
          </w:p>
        </w:tc>
        <w:tc>
          <w:tcPr>
            <w:tcW w:w="528" w:type="dxa"/>
            <w:vAlign w:val="center"/>
          </w:tcPr>
          <w:p w14:paraId="5C4291EF">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14:ligatures w14:val="none"/>
              </w:rPr>
            </w:pPr>
          </w:p>
        </w:tc>
      </w:tr>
      <w:tr w14:paraId="35BC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56" w:type="dxa"/>
            <w:vAlign w:val="center"/>
          </w:tcPr>
          <w:p w14:paraId="67C0C143">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lang w:eastAsia="en-US"/>
                <w14:ligatures w14:val="none"/>
              </w:rPr>
            </w:pPr>
            <w:r>
              <w:rPr>
                <w:rFonts w:hint="eastAsia" w:ascii="宋体" w:hAnsi="宋体" w:eastAsia="宋体" w:cs="宋体"/>
                <w:kern w:val="0"/>
                <w:sz w:val="24"/>
                <w:szCs w:val="24"/>
                <w:highlight w:val="none"/>
                <w:lang w:eastAsia="en-US"/>
                <w14:ligatures w14:val="none"/>
              </w:rPr>
              <w:t>三、货物来源</w:t>
            </w:r>
          </w:p>
        </w:tc>
        <w:tc>
          <w:tcPr>
            <w:tcW w:w="718" w:type="dxa"/>
            <w:vAlign w:val="center"/>
          </w:tcPr>
          <w:p w14:paraId="5D176F5B">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lang w:eastAsia="en-US"/>
                <w14:ligatures w14:val="none"/>
              </w:rPr>
            </w:pPr>
            <w:r>
              <w:rPr>
                <w:rFonts w:hint="eastAsia" w:ascii="宋体" w:hAnsi="宋体" w:eastAsia="宋体" w:cs="宋体"/>
                <w:kern w:val="0"/>
                <w:sz w:val="24"/>
                <w:szCs w:val="24"/>
                <w:highlight w:val="none"/>
                <w:lang w:eastAsia="en-US"/>
                <w14:ligatures w14:val="none"/>
              </w:rPr>
              <w:t>10</w:t>
            </w:r>
          </w:p>
        </w:tc>
        <w:tc>
          <w:tcPr>
            <w:tcW w:w="5420" w:type="dxa"/>
            <w:vAlign w:val="center"/>
          </w:tcPr>
          <w:p w14:paraId="3BC55B8E">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能够提供货物来源证明的得10分。发现产品来源不清或不符合相关规定的，扣1分/品种/次，扣完10分为止。</w:t>
            </w:r>
          </w:p>
        </w:tc>
        <w:tc>
          <w:tcPr>
            <w:tcW w:w="528" w:type="dxa"/>
            <w:vAlign w:val="center"/>
          </w:tcPr>
          <w:p w14:paraId="35BA153D">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14:ligatures w14:val="none"/>
              </w:rPr>
            </w:pPr>
          </w:p>
        </w:tc>
      </w:tr>
      <w:tr w14:paraId="05EB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56" w:type="dxa"/>
            <w:vAlign w:val="center"/>
          </w:tcPr>
          <w:p w14:paraId="5D04D928">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lang w:eastAsia="en-US"/>
                <w14:ligatures w14:val="none"/>
              </w:rPr>
            </w:pPr>
            <w:r>
              <w:rPr>
                <w:rFonts w:hint="eastAsia" w:ascii="宋体" w:hAnsi="宋体" w:eastAsia="宋体" w:cs="宋体"/>
                <w:kern w:val="0"/>
                <w:sz w:val="24"/>
                <w:szCs w:val="24"/>
                <w:highlight w:val="none"/>
                <w:lang w:eastAsia="en-US"/>
                <w14:ligatures w14:val="none"/>
              </w:rPr>
              <w:t>四、差错情况</w:t>
            </w:r>
          </w:p>
        </w:tc>
        <w:tc>
          <w:tcPr>
            <w:tcW w:w="718" w:type="dxa"/>
            <w:vAlign w:val="center"/>
          </w:tcPr>
          <w:p w14:paraId="1EFA05A9">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lang w:eastAsia="en-US"/>
                <w14:ligatures w14:val="none"/>
              </w:rPr>
            </w:pPr>
            <w:r>
              <w:rPr>
                <w:rFonts w:hint="eastAsia" w:ascii="宋体" w:hAnsi="宋体" w:eastAsia="宋体" w:cs="宋体"/>
                <w:kern w:val="0"/>
                <w:sz w:val="24"/>
                <w:szCs w:val="24"/>
                <w:highlight w:val="none"/>
                <w:lang w:eastAsia="en-US"/>
                <w14:ligatures w14:val="none"/>
              </w:rPr>
              <w:t>10</w:t>
            </w:r>
          </w:p>
        </w:tc>
        <w:tc>
          <w:tcPr>
            <w:tcW w:w="5420" w:type="dxa"/>
            <w:vAlign w:val="center"/>
          </w:tcPr>
          <w:p w14:paraId="6A4E51C5">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按订单送货无差错的得8-10分。较少有差错但能及时补送的得5-7分。经常出错的得4分或以下。</w:t>
            </w:r>
          </w:p>
        </w:tc>
        <w:tc>
          <w:tcPr>
            <w:tcW w:w="528" w:type="dxa"/>
            <w:vAlign w:val="center"/>
          </w:tcPr>
          <w:p w14:paraId="47F943E2">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14:ligatures w14:val="none"/>
              </w:rPr>
            </w:pPr>
          </w:p>
        </w:tc>
      </w:tr>
      <w:tr w14:paraId="35A8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56" w:type="dxa"/>
            <w:vAlign w:val="center"/>
          </w:tcPr>
          <w:p w14:paraId="0BB6A222">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lang w:eastAsia="en-US"/>
                <w14:ligatures w14:val="none"/>
              </w:rPr>
            </w:pPr>
            <w:r>
              <w:rPr>
                <w:rFonts w:hint="eastAsia" w:ascii="宋体" w:hAnsi="宋体" w:eastAsia="宋体" w:cs="宋体"/>
                <w:kern w:val="0"/>
                <w:sz w:val="24"/>
                <w:szCs w:val="24"/>
                <w:highlight w:val="none"/>
                <w:lang w:eastAsia="en-US"/>
                <w14:ligatures w14:val="none"/>
              </w:rPr>
              <w:t>五、及时补送</w:t>
            </w:r>
          </w:p>
        </w:tc>
        <w:tc>
          <w:tcPr>
            <w:tcW w:w="718" w:type="dxa"/>
            <w:vAlign w:val="center"/>
          </w:tcPr>
          <w:p w14:paraId="3B74EA02">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lang w:eastAsia="en-US"/>
                <w14:ligatures w14:val="none"/>
              </w:rPr>
            </w:pPr>
            <w:r>
              <w:rPr>
                <w:rFonts w:hint="eastAsia" w:ascii="宋体" w:hAnsi="宋体" w:eastAsia="宋体" w:cs="宋体"/>
                <w:kern w:val="0"/>
                <w:sz w:val="24"/>
                <w:szCs w:val="24"/>
                <w:highlight w:val="none"/>
                <w:lang w:eastAsia="en-US"/>
                <w14:ligatures w14:val="none"/>
              </w:rPr>
              <w:t>10</w:t>
            </w:r>
          </w:p>
        </w:tc>
        <w:tc>
          <w:tcPr>
            <w:tcW w:w="5420" w:type="dxa"/>
            <w:vAlign w:val="center"/>
          </w:tcPr>
          <w:p w14:paraId="38274ADB">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lang w:eastAsia="en-US"/>
                <w14:ligatures w14:val="none"/>
              </w:rPr>
            </w:pPr>
            <w:r>
              <w:rPr>
                <w:rFonts w:hint="eastAsia" w:ascii="宋体" w:hAnsi="宋体" w:eastAsia="宋体" w:cs="宋体"/>
                <w:kern w:val="0"/>
                <w:sz w:val="24"/>
                <w:szCs w:val="24"/>
                <w:highlight w:val="none"/>
                <w14:ligatures w14:val="none"/>
              </w:rPr>
              <w:t>若须在规定的时间内重新送货时，能按时按订单送达的得8-10分。偶尔不能按时送达的得5-7分。无法按时或无法按订单送达的得4分或以下。</w:t>
            </w:r>
            <w:r>
              <w:rPr>
                <w:rFonts w:hint="eastAsia" w:ascii="宋体" w:hAnsi="宋体" w:eastAsia="宋体" w:cs="宋体"/>
                <w:kern w:val="0"/>
                <w:sz w:val="24"/>
                <w:szCs w:val="24"/>
                <w:highlight w:val="none"/>
                <w:lang w:eastAsia="en-US"/>
                <w14:ligatures w14:val="none"/>
              </w:rPr>
              <w:t>不存在重新送货情形的按满分10分计。</w:t>
            </w:r>
          </w:p>
        </w:tc>
        <w:tc>
          <w:tcPr>
            <w:tcW w:w="528" w:type="dxa"/>
            <w:vAlign w:val="center"/>
          </w:tcPr>
          <w:p w14:paraId="62322F81">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lang w:eastAsia="en-US"/>
                <w14:ligatures w14:val="none"/>
              </w:rPr>
            </w:pPr>
          </w:p>
        </w:tc>
      </w:tr>
      <w:tr w14:paraId="075C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56" w:type="dxa"/>
            <w:vAlign w:val="center"/>
          </w:tcPr>
          <w:p w14:paraId="21001FD2">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lang w:eastAsia="en-US"/>
                <w14:ligatures w14:val="none"/>
              </w:rPr>
            </w:pPr>
            <w:r>
              <w:rPr>
                <w:rFonts w:hint="eastAsia" w:ascii="宋体" w:hAnsi="宋体" w:eastAsia="宋体" w:cs="宋体"/>
                <w:kern w:val="0"/>
                <w:sz w:val="24"/>
                <w:szCs w:val="24"/>
                <w:highlight w:val="none"/>
                <w:lang w:eastAsia="en-US"/>
                <w14:ligatures w14:val="none"/>
              </w:rPr>
              <w:t>六、联系制度</w:t>
            </w:r>
          </w:p>
        </w:tc>
        <w:tc>
          <w:tcPr>
            <w:tcW w:w="718" w:type="dxa"/>
            <w:vAlign w:val="center"/>
          </w:tcPr>
          <w:p w14:paraId="411B39DE">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lang w:eastAsia="en-US"/>
                <w14:ligatures w14:val="none"/>
              </w:rPr>
            </w:pPr>
            <w:r>
              <w:rPr>
                <w:rFonts w:hint="eastAsia" w:ascii="宋体" w:hAnsi="宋体" w:eastAsia="宋体" w:cs="宋体"/>
                <w:kern w:val="0"/>
                <w:sz w:val="24"/>
                <w:szCs w:val="24"/>
                <w:highlight w:val="none"/>
                <w:lang w:eastAsia="en-US"/>
                <w14:ligatures w14:val="none"/>
              </w:rPr>
              <w:t>10</w:t>
            </w:r>
          </w:p>
        </w:tc>
        <w:tc>
          <w:tcPr>
            <w:tcW w:w="5420" w:type="dxa"/>
            <w:vAlign w:val="center"/>
          </w:tcPr>
          <w:p w14:paraId="286CBA58">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在供货过程中发生问题时，根据公司管理层与院方联系的积极性与问题处理结果进行考核，（0-5分）。</w:t>
            </w:r>
          </w:p>
          <w:p w14:paraId="24DF4E4D">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若需更换品牌、品种、规格、价格等事宜，能事先与院方联系并商议的得3分。</w:t>
            </w:r>
          </w:p>
          <w:p w14:paraId="77A522F4">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管理层能主动倾听院方意见的，根据随访频率考核（0-2分）。</w:t>
            </w:r>
          </w:p>
        </w:tc>
        <w:tc>
          <w:tcPr>
            <w:tcW w:w="528" w:type="dxa"/>
            <w:vAlign w:val="center"/>
          </w:tcPr>
          <w:p w14:paraId="5EE02256">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14:ligatures w14:val="none"/>
              </w:rPr>
            </w:pPr>
          </w:p>
        </w:tc>
      </w:tr>
      <w:tr w14:paraId="4EF0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56" w:type="dxa"/>
            <w:vAlign w:val="center"/>
          </w:tcPr>
          <w:p w14:paraId="2FD099C6">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lang w:eastAsia="en-US"/>
                <w14:ligatures w14:val="none"/>
              </w:rPr>
            </w:pPr>
            <w:r>
              <w:rPr>
                <w:rFonts w:hint="eastAsia" w:ascii="宋体" w:hAnsi="宋体" w:eastAsia="宋体" w:cs="宋体"/>
                <w:kern w:val="0"/>
                <w:sz w:val="24"/>
                <w:szCs w:val="24"/>
                <w:highlight w:val="none"/>
                <w:lang w:eastAsia="en-US"/>
                <w14:ligatures w14:val="none"/>
              </w:rPr>
              <w:t>七、配送规范</w:t>
            </w:r>
          </w:p>
        </w:tc>
        <w:tc>
          <w:tcPr>
            <w:tcW w:w="718" w:type="dxa"/>
            <w:vAlign w:val="center"/>
          </w:tcPr>
          <w:p w14:paraId="321CF272">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lang w:eastAsia="en-US"/>
                <w14:ligatures w14:val="none"/>
              </w:rPr>
            </w:pPr>
            <w:r>
              <w:rPr>
                <w:rFonts w:hint="eastAsia" w:ascii="宋体" w:hAnsi="宋体" w:eastAsia="宋体" w:cs="宋体"/>
                <w:kern w:val="0"/>
                <w:sz w:val="24"/>
                <w:szCs w:val="24"/>
                <w:highlight w:val="none"/>
                <w:lang w:eastAsia="en-US"/>
                <w14:ligatures w14:val="none"/>
              </w:rPr>
              <w:t>10</w:t>
            </w:r>
          </w:p>
        </w:tc>
        <w:tc>
          <w:tcPr>
            <w:tcW w:w="5420" w:type="dxa"/>
            <w:vAlign w:val="center"/>
          </w:tcPr>
          <w:p w14:paraId="4B94DB94">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所使用的运输容器、运输载具、运输包装等符合相关规定的5分。若不符合每次扣1分。</w:t>
            </w:r>
          </w:p>
          <w:p w14:paraId="17230074">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lang w:eastAsia="en-US"/>
                <w14:ligatures w14:val="none"/>
              </w:rPr>
            </w:pPr>
            <w:r>
              <w:rPr>
                <w:rFonts w:hint="eastAsia" w:ascii="宋体" w:hAnsi="宋体" w:eastAsia="宋体" w:cs="宋体"/>
                <w:kern w:val="0"/>
                <w:sz w:val="24"/>
                <w:szCs w:val="24"/>
                <w:highlight w:val="none"/>
                <w14:ligatures w14:val="none"/>
              </w:rPr>
              <w:t>产品价格及其报价单，符合招标文件的定价原则的得5分。</w:t>
            </w:r>
            <w:r>
              <w:rPr>
                <w:rFonts w:hint="eastAsia" w:ascii="宋体" w:hAnsi="宋体" w:eastAsia="宋体" w:cs="宋体"/>
                <w:kern w:val="0"/>
                <w:sz w:val="24"/>
                <w:szCs w:val="24"/>
                <w:highlight w:val="none"/>
                <w:lang w:eastAsia="en-US"/>
                <w14:ligatures w14:val="none"/>
              </w:rPr>
              <w:t>若不符合每次扣1分。</w:t>
            </w:r>
          </w:p>
        </w:tc>
        <w:tc>
          <w:tcPr>
            <w:tcW w:w="528" w:type="dxa"/>
            <w:vAlign w:val="center"/>
          </w:tcPr>
          <w:p w14:paraId="783C9F09">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lang w:eastAsia="en-US"/>
                <w14:ligatures w14:val="none"/>
              </w:rPr>
            </w:pPr>
          </w:p>
        </w:tc>
      </w:tr>
      <w:tr w14:paraId="13A5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56" w:type="dxa"/>
            <w:vAlign w:val="center"/>
          </w:tcPr>
          <w:p w14:paraId="6EBC7821">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lang w:eastAsia="en-US"/>
                <w14:ligatures w14:val="none"/>
              </w:rPr>
            </w:pPr>
            <w:r>
              <w:rPr>
                <w:rFonts w:hint="eastAsia" w:ascii="宋体" w:hAnsi="宋体" w:eastAsia="宋体" w:cs="宋体"/>
                <w:kern w:val="0"/>
                <w:sz w:val="24"/>
                <w:szCs w:val="24"/>
                <w:highlight w:val="none"/>
                <w:lang w:eastAsia="en-US"/>
                <w14:ligatures w14:val="none"/>
              </w:rPr>
              <w:t>八、服务态度</w:t>
            </w:r>
          </w:p>
        </w:tc>
        <w:tc>
          <w:tcPr>
            <w:tcW w:w="718" w:type="dxa"/>
            <w:vAlign w:val="center"/>
          </w:tcPr>
          <w:p w14:paraId="00256605">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lang w:eastAsia="en-US"/>
                <w14:ligatures w14:val="none"/>
              </w:rPr>
            </w:pPr>
            <w:r>
              <w:rPr>
                <w:rFonts w:hint="eastAsia" w:ascii="宋体" w:hAnsi="宋体" w:eastAsia="宋体" w:cs="宋体"/>
                <w:kern w:val="0"/>
                <w:sz w:val="24"/>
                <w:szCs w:val="24"/>
                <w:highlight w:val="none"/>
                <w:lang w:eastAsia="en-US"/>
                <w14:ligatures w14:val="none"/>
              </w:rPr>
              <w:t>10</w:t>
            </w:r>
          </w:p>
        </w:tc>
        <w:tc>
          <w:tcPr>
            <w:tcW w:w="5420" w:type="dxa"/>
            <w:vAlign w:val="center"/>
          </w:tcPr>
          <w:p w14:paraId="3D9A2BF9">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供应商人员应热情服务，对收货方提出各项合理要求，应耐心，不急躁、不厌烦，并及时处理。每次服务不佳扣2分，如发现3次服务态度问题，采购人有权要求供应商更换人员。</w:t>
            </w:r>
          </w:p>
        </w:tc>
        <w:tc>
          <w:tcPr>
            <w:tcW w:w="528" w:type="dxa"/>
            <w:vAlign w:val="center"/>
          </w:tcPr>
          <w:p w14:paraId="5134785B">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14:ligatures w14:val="none"/>
              </w:rPr>
            </w:pPr>
          </w:p>
        </w:tc>
      </w:tr>
      <w:tr w14:paraId="4ADF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56" w:type="dxa"/>
            <w:vAlign w:val="center"/>
          </w:tcPr>
          <w:p w14:paraId="6029034E">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lang w:eastAsia="en-US"/>
                <w14:ligatures w14:val="none"/>
              </w:rPr>
            </w:pPr>
            <w:r>
              <w:rPr>
                <w:rFonts w:hint="eastAsia" w:ascii="宋体" w:hAnsi="宋体" w:eastAsia="宋体" w:cs="宋体"/>
                <w:kern w:val="0"/>
                <w:sz w:val="24"/>
                <w:szCs w:val="24"/>
                <w:highlight w:val="none"/>
                <w:lang w:eastAsia="en-US"/>
                <w14:ligatures w14:val="none"/>
              </w:rPr>
              <w:t>九、货物质量</w:t>
            </w:r>
          </w:p>
        </w:tc>
        <w:tc>
          <w:tcPr>
            <w:tcW w:w="718" w:type="dxa"/>
            <w:vAlign w:val="center"/>
          </w:tcPr>
          <w:p w14:paraId="11D4F990">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lang w:eastAsia="en-US"/>
                <w14:ligatures w14:val="none"/>
              </w:rPr>
            </w:pPr>
            <w:r>
              <w:rPr>
                <w:rFonts w:hint="eastAsia" w:ascii="宋体" w:hAnsi="宋体" w:eastAsia="宋体" w:cs="宋体"/>
                <w:kern w:val="0"/>
                <w:sz w:val="24"/>
                <w:szCs w:val="24"/>
                <w:highlight w:val="none"/>
                <w:lang w:eastAsia="en-US"/>
                <w14:ligatures w14:val="none"/>
              </w:rPr>
              <w:t>20</w:t>
            </w:r>
          </w:p>
        </w:tc>
        <w:tc>
          <w:tcPr>
            <w:tcW w:w="5420" w:type="dxa"/>
            <w:vAlign w:val="center"/>
          </w:tcPr>
          <w:p w14:paraId="224DDB63">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货物质量符合采购人所需及相关规定，没有出现“以次充好”或“货不对板”或“过期产品”或“质量问题”的得20分。</w:t>
            </w:r>
          </w:p>
        </w:tc>
        <w:tc>
          <w:tcPr>
            <w:tcW w:w="528" w:type="dxa"/>
            <w:vAlign w:val="center"/>
          </w:tcPr>
          <w:p w14:paraId="1CAFB98F">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14:ligatures w14:val="none"/>
              </w:rPr>
            </w:pPr>
          </w:p>
        </w:tc>
      </w:tr>
      <w:tr w14:paraId="2023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56" w:type="dxa"/>
            <w:gridSpan w:val="2"/>
            <w:vAlign w:val="center"/>
          </w:tcPr>
          <w:p w14:paraId="68E2D079">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b/>
                <w:kern w:val="0"/>
                <w:sz w:val="24"/>
                <w:szCs w:val="24"/>
                <w:highlight w:val="none"/>
                <w:lang w:eastAsia="en-US"/>
                <w14:ligatures w14:val="none"/>
              </w:rPr>
            </w:pPr>
            <w:r>
              <w:rPr>
                <w:rFonts w:hint="eastAsia" w:ascii="宋体" w:hAnsi="宋体" w:eastAsia="宋体" w:cs="宋体"/>
                <w:b/>
                <w:kern w:val="0"/>
                <w:sz w:val="24"/>
                <w:szCs w:val="24"/>
                <w:highlight w:val="none"/>
                <w:lang w:eastAsia="en-US"/>
                <w14:ligatures w14:val="none"/>
              </w:rPr>
              <w:t>一票否决项</w:t>
            </w:r>
          </w:p>
        </w:tc>
        <w:tc>
          <w:tcPr>
            <w:tcW w:w="5420" w:type="dxa"/>
            <w:gridSpan w:val="2"/>
            <w:vAlign w:val="center"/>
          </w:tcPr>
          <w:p w14:paraId="1B88DAFA">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b/>
                <w:kern w:val="0"/>
                <w:sz w:val="24"/>
                <w:szCs w:val="24"/>
                <w:highlight w:val="none"/>
                <w14:ligatures w14:val="none"/>
              </w:rPr>
            </w:pPr>
            <w:r>
              <w:rPr>
                <w:rFonts w:hint="eastAsia" w:ascii="宋体" w:hAnsi="宋体" w:eastAsia="宋体" w:cs="宋体"/>
                <w:b/>
                <w:kern w:val="0"/>
                <w:sz w:val="24"/>
                <w:szCs w:val="24"/>
                <w:highlight w:val="none"/>
                <w14:ligatures w14:val="none"/>
              </w:rPr>
              <w:t>1、以贿赂或类似贿赂的形式讨好采购人、货物验收人等利害关系人的行为。</w:t>
            </w:r>
          </w:p>
          <w:p w14:paraId="0913C18F">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b/>
                <w:kern w:val="0"/>
                <w:sz w:val="24"/>
                <w:szCs w:val="24"/>
                <w:highlight w:val="none"/>
                <w14:ligatures w14:val="none"/>
              </w:rPr>
            </w:pPr>
            <w:r>
              <w:rPr>
                <w:rFonts w:hint="eastAsia" w:ascii="宋体" w:hAnsi="宋体" w:eastAsia="宋体" w:cs="宋体"/>
                <w:b/>
                <w:kern w:val="0"/>
                <w:sz w:val="24"/>
                <w:szCs w:val="24"/>
                <w:highlight w:val="none"/>
                <w14:ligatures w14:val="none"/>
              </w:rPr>
              <w:t>2、要求检测的商品未经检测，且未按要求限时整改。</w:t>
            </w:r>
          </w:p>
          <w:p w14:paraId="16DBA4EE">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b/>
                <w:kern w:val="0"/>
                <w:sz w:val="24"/>
                <w:szCs w:val="24"/>
                <w:highlight w:val="none"/>
                <w14:ligatures w14:val="none"/>
              </w:rPr>
            </w:pPr>
            <w:r>
              <w:rPr>
                <w:rFonts w:hint="eastAsia" w:ascii="宋体" w:hAnsi="宋体" w:eastAsia="宋体" w:cs="宋体"/>
                <w:b/>
                <w:kern w:val="0"/>
                <w:sz w:val="24"/>
                <w:szCs w:val="24"/>
                <w:highlight w:val="none"/>
                <w14:ligatures w14:val="none"/>
              </w:rPr>
              <w:t>3、食品原料质量问题而引起的食物中毒事件。</w:t>
            </w:r>
          </w:p>
          <w:p w14:paraId="662277A3">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b/>
                <w:kern w:val="0"/>
                <w:sz w:val="24"/>
                <w:szCs w:val="24"/>
                <w:highlight w:val="none"/>
                <w14:ligatures w14:val="none"/>
              </w:rPr>
            </w:pPr>
            <w:r>
              <w:rPr>
                <w:rFonts w:hint="eastAsia" w:ascii="宋体" w:hAnsi="宋体" w:eastAsia="宋体" w:cs="宋体"/>
                <w:b/>
                <w:kern w:val="0"/>
                <w:sz w:val="24"/>
                <w:szCs w:val="24"/>
                <w:highlight w:val="none"/>
                <w14:ligatures w14:val="none"/>
              </w:rPr>
              <w:t>4、提供虚假发票、虚假货物入库单。</w:t>
            </w:r>
          </w:p>
          <w:p w14:paraId="57C4F2E8">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b/>
                <w:kern w:val="0"/>
                <w:sz w:val="24"/>
                <w:szCs w:val="24"/>
                <w:highlight w:val="none"/>
                <w14:ligatures w14:val="none"/>
              </w:rPr>
            </w:pPr>
            <w:r>
              <w:rPr>
                <w:rFonts w:hint="eastAsia" w:ascii="宋体" w:hAnsi="宋体" w:eastAsia="宋体" w:cs="宋体"/>
                <w:b/>
                <w:kern w:val="0"/>
                <w:sz w:val="24"/>
                <w:szCs w:val="24"/>
                <w:highlight w:val="none"/>
                <w14:ligatures w14:val="none"/>
              </w:rPr>
              <w:t>5、上述条款情节严重，被采购人认定为一票否决的。</w:t>
            </w:r>
          </w:p>
          <w:p w14:paraId="7A1DDEA4">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b/>
                <w:kern w:val="0"/>
                <w:sz w:val="24"/>
                <w:szCs w:val="24"/>
                <w:highlight w:val="none"/>
                <w:lang w:eastAsia="en-US"/>
                <w14:ligatures w14:val="none"/>
              </w:rPr>
            </w:pPr>
            <w:r>
              <w:rPr>
                <w:rFonts w:hint="eastAsia" w:ascii="宋体" w:hAnsi="宋体" w:eastAsia="宋体" w:cs="宋体"/>
                <w:b/>
                <w:kern w:val="0"/>
                <w:sz w:val="24"/>
                <w:szCs w:val="24"/>
                <w:highlight w:val="none"/>
                <w14:ligatures w14:val="none"/>
              </w:rPr>
              <w:t>（若出现上述情况，采购人有权不支付当月货款并没收履约保证金，所发生的一切损失由供应商负责，</w:t>
            </w:r>
            <w:r>
              <w:rPr>
                <w:rFonts w:hint="eastAsia" w:ascii="宋体" w:hAnsi="宋体" w:eastAsia="宋体" w:cs="宋体"/>
                <w:b/>
                <w:kern w:val="0"/>
                <w:sz w:val="24"/>
                <w:szCs w:val="24"/>
                <w:highlight w:val="none"/>
                <w:lang w:val="en-GB"/>
                <w14:ligatures w14:val="none"/>
              </w:rPr>
              <w:t>采购人可根据合同情况视为违约，并报上报监管部门。</w:t>
            </w:r>
            <w:r>
              <w:rPr>
                <w:rFonts w:hint="eastAsia" w:ascii="宋体" w:hAnsi="宋体" w:eastAsia="宋体" w:cs="宋体"/>
                <w:b/>
                <w:kern w:val="0"/>
                <w:sz w:val="24"/>
                <w:szCs w:val="24"/>
                <w:highlight w:val="none"/>
                <w:lang w:eastAsia="en-US"/>
                <w14:ligatures w14:val="none"/>
              </w:rPr>
              <w:t>）</w:t>
            </w:r>
          </w:p>
        </w:tc>
      </w:tr>
      <w:tr w14:paraId="189E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56" w:type="dxa"/>
            <w:gridSpan w:val="2"/>
            <w:vAlign w:val="center"/>
          </w:tcPr>
          <w:p w14:paraId="02A72E46">
            <w:pPr>
              <w:keepNext/>
              <w:pageBreakBefore w:val="0"/>
              <w:kinsoku/>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lang w:eastAsia="en-US"/>
                <w14:ligatures w14:val="none"/>
              </w:rPr>
            </w:pPr>
            <w:r>
              <w:rPr>
                <w:rFonts w:hint="eastAsia" w:ascii="宋体" w:hAnsi="宋体" w:eastAsia="宋体" w:cs="宋体"/>
                <w:kern w:val="0"/>
                <w:sz w:val="24"/>
                <w:szCs w:val="24"/>
                <w:highlight w:val="none"/>
                <w:lang w:eastAsia="en-US"/>
                <w14:ligatures w14:val="none"/>
              </w:rPr>
              <w:t>总分</w:t>
            </w:r>
          </w:p>
        </w:tc>
        <w:tc>
          <w:tcPr>
            <w:tcW w:w="5420" w:type="dxa"/>
            <w:gridSpan w:val="2"/>
            <w:vAlign w:val="center"/>
          </w:tcPr>
          <w:p w14:paraId="356B8D81">
            <w:pPr>
              <w:keepNext/>
              <w:pageBreakBefore w:val="0"/>
              <w:kinsoku/>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lang w:eastAsia="en-US"/>
                <w14:ligatures w14:val="none"/>
              </w:rPr>
            </w:pPr>
            <w:r>
              <w:rPr>
                <w:rFonts w:hint="eastAsia" w:ascii="宋体" w:hAnsi="宋体" w:eastAsia="宋体" w:cs="宋体"/>
                <w:kern w:val="0"/>
                <w:sz w:val="24"/>
                <w:szCs w:val="24"/>
                <w:highlight w:val="none"/>
                <w14:ligatures w14:val="none"/>
              </w:rPr>
              <w:t>_____</w:t>
            </w:r>
            <w:r>
              <w:rPr>
                <w:rFonts w:hint="eastAsia" w:ascii="宋体" w:hAnsi="宋体" w:eastAsia="宋体" w:cs="宋体"/>
                <w:kern w:val="0"/>
                <w:sz w:val="24"/>
                <w:szCs w:val="24"/>
                <w:highlight w:val="none"/>
                <w:lang w:eastAsia="en-US"/>
                <w14:ligatures w14:val="none"/>
              </w:rPr>
              <w:t>分</w:t>
            </w:r>
          </w:p>
        </w:tc>
      </w:tr>
      <w:tr w14:paraId="2A98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56" w:type="dxa"/>
            <w:gridSpan w:val="2"/>
            <w:vAlign w:val="center"/>
          </w:tcPr>
          <w:p w14:paraId="42D51D82">
            <w:pPr>
              <w:keepNext/>
              <w:pageBreakBefore w:val="0"/>
              <w:kinsoku/>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lang w:eastAsia="en-US"/>
                <w14:ligatures w14:val="none"/>
              </w:rPr>
            </w:pPr>
            <w:r>
              <w:rPr>
                <w:rFonts w:hint="eastAsia" w:ascii="宋体" w:hAnsi="宋体" w:eastAsia="宋体" w:cs="宋体"/>
                <w:kern w:val="0"/>
                <w:sz w:val="24"/>
                <w:szCs w:val="24"/>
                <w:highlight w:val="none"/>
                <w:lang w:eastAsia="en-US"/>
                <w14:ligatures w14:val="none"/>
              </w:rPr>
              <w:t>扣分规则</w:t>
            </w:r>
          </w:p>
        </w:tc>
        <w:tc>
          <w:tcPr>
            <w:tcW w:w="5420" w:type="dxa"/>
            <w:gridSpan w:val="2"/>
            <w:vAlign w:val="center"/>
          </w:tcPr>
          <w:p w14:paraId="301DED2B">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总分在90分或以上时，不扣减费用；</w:t>
            </w:r>
          </w:p>
          <w:p w14:paraId="059C2C72">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总分在60~89分时，扣减(90-总分)×200元；</w:t>
            </w:r>
          </w:p>
          <w:p w14:paraId="468A7304">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总分在60~79分时，扣减[(80-总分)×400+3000]元；</w:t>
            </w:r>
          </w:p>
          <w:p w14:paraId="45AC45CD">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总分在60~69分时，扣减[(70-总分)×600+5000]元。</w:t>
            </w:r>
          </w:p>
          <w:p w14:paraId="6FAB0A4D">
            <w:pPr>
              <w:keepNext/>
              <w:pageBreakBefore w:val="0"/>
              <w:kinsoku/>
              <w:wordWrap w:val="0"/>
              <w:overflowPunct/>
              <w:topLinePunct/>
              <w:autoSpaceDE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当所得总分处于以上不止一个应扣罚区间时，同时适用全部所处区间的扣减规则，叠加扣罚费用。例如，总分为65分时，扣减总额为：(90-65)×200+[(80-65)×400+3000]+[(70-65)×600+5000]=5000+9000+8000=22000元。</w:t>
            </w:r>
          </w:p>
          <w:p w14:paraId="138C4042">
            <w:pPr>
              <w:keepNext/>
              <w:pageBreakBefore w:val="0"/>
              <w:kinsoku/>
              <w:wordWrap w:val="0"/>
              <w:overflowPunct/>
              <w:autoSpaceDE w:val="0"/>
              <w:autoSpaceDN w:val="0"/>
              <w:bidi w:val="0"/>
              <w:snapToGrid w:val="0"/>
              <w:spacing w:before="156" w:beforeLines="50" w:line="240" w:lineRule="auto"/>
              <w:ind w:left="0" w:leftChars="0" w:right="0" w:rightChars="0" w:firstLine="0" w:firstLineChars="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低于60分扣减当月货款的50%。</w:t>
            </w:r>
          </w:p>
          <w:p w14:paraId="31E9F2D1">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lang w:val="en-GB"/>
                <w14:ligatures w14:val="none"/>
              </w:rPr>
            </w:pPr>
            <w:r>
              <w:rPr>
                <w:rFonts w:hint="eastAsia" w:ascii="宋体" w:hAnsi="宋体" w:eastAsia="宋体" w:cs="宋体"/>
                <w:kern w:val="0"/>
                <w:sz w:val="24"/>
                <w:szCs w:val="24"/>
                <w:highlight w:val="none"/>
                <w14:ligatures w14:val="none"/>
              </w:rPr>
              <w:t>合同期内累计两个月低于70分，采购人可根据合同情况视为违约，并报上报监管部门。所发生的一切损失由供应商负责（包括终止合同期间采购费用及重新招标费用）。</w:t>
            </w:r>
          </w:p>
        </w:tc>
      </w:tr>
      <w:tr w14:paraId="56C49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56" w:type="dxa"/>
            <w:gridSpan w:val="2"/>
            <w:vAlign w:val="center"/>
          </w:tcPr>
          <w:p w14:paraId="6376076F">
            <w:pPr>
              <w:keepNext/>
              <w:pageBreakBefore w:val="0"/>
              <w:kinsoku/>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lang w:eastAsia="en-US"/>
                <w14:ligatures w14:val="none"/>
              </w:rPr>
            </w:pPr>
            <w:r>
              <w:rPr>
                <w:rFonts w:hint="eastAsia" w:ascii="宋体" w:hAnsi="宋体" w:eastAsia="宋体" w:cs="宋体"/>
                <w:kern w:val="0"/>
                <w:sz w:val="24"/>
                <w:szCs w:val="24"/>
                <w:highlight w:val="none"/>
                <w:lang w:eastAsia="en-US"/>
                <w14:ligatures w14:val="none"/>
              </w:rPr>
              <w:t>本月减扣金额</w:t>
            </w:r>
          </w:p>
        </w:tc>
        <w:tc>
          <w:tcPr>
            <w:tcW w:w="5420" w:type="dxa"/>
            <w:gridSpan w:val="2"/>
            <w:vAlign w:val="center"/>
          </w:tcPr>
          <w:p w14:paraId="024A0442">
            <w:pPr>
              <w:keepNext/>
              <w:pageBreakBefore w:val="0"/>
              <w:kinsoku/>
              <w:overflowPunct/>
              <w:autoSpaceDE w:val="0"/>
              <w:autoSpaceDN w:val="0"/>
              <w:bidi w:val="0"/>
              <w:snapToGrid w:val="0"/>
              <w:spacing w:line="240" w:lineRule="auto"/>
              <w:ind w:left="0" w:leftChars="0" w:right="0" w:rightChars="0" w:firstLine="0" w:firstLineChars="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_____</w:t>
            </w:r>
            <w:r>
              <w:rPr>
                <w:rFonts w:hint="eastAsia" w:ascii="宋体" w:hAnsi="宋体" w:eastAsia="宋体" w:cs="宋体"/>
                <w:kern w:val="0"/>
                <w:sz w:val="24"/>
                <w:szCs w:val="24"/>
                <w:highlight w:val="none"/>
                <w:lang w:eastAsia="en-US"/>
                <w14:ligatures w14:val="none"/>
              </w:rPr>
              <w:t>元</w:t>
            </w:r>
          </w:p>
        </w:tc>
      </w:tr>
    </w:tbl>
    <w:p w14:paraId="034004DB">
      <w:pPr>
        <w:pStyle w:val="2"/>
        <w:rPr>
          <w:rFonts w:hint="eastAsia"/>
        </w:rPr>
      </w:pPr>
    </w:p>
    <w:p w14:paraId="6772A741">
      <w:pPr>
        <w:pageBreakBefore w:val="0"/>
        <w:kinsoku/>
        <w:overflowPunct/>
        <w:bidi w:val="0"/>
        <w:spacing w:before="156" w:beforeLines="50" w:line="360" w:lineRule="auto"/>
        <w:ind w:left="0" w:firstLine="482" w:firstLineChars="200"/>
        <w:jc w:val="both"/>
        <w:rPr>
          <w:rFonts w:hint="eastAsia" w:ascii="宋体" w:hAnsi="宋体" w:eastAsia="宋体" w:cs="宋体"/>
          <w:b/>
          <w:bCs/>
          <w:kern w:val="0"/>
          <w:sz w:val="24"/>
          <w:szCs w:val="24"/>
          <w:highlight w:val="none"/>
          <w14:ligatures w14:val="none"/>
        </w:rPr>
      </w:pPr>
      <w:r>
        <w:rPr>
          <w:rFonts w:hint="eastAsia" w:ascii="宋体" w:hAnsi="宋体" w:eastAsia="宋体" w:cs="宋体"/>
          <w:b/>
          <w:bCs/>
          <w:kern w:val="0"/>
          <w:sz w:val="24"/>
          <w:szCs w:val="24"/>
          <w:highlight w:val="none"/>
          <w14:ligatures w14:val="none"/>
        </w:rPr>
        <w:t>(四)★履约保证金</w:t>
      </w:r>
    </w:p>
    <w:p w14:paraId="34876046">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1.供应商中标后需以履约保函等非现金形式向采购人缴纳履约保证金：人民币</w:t>
      </w:r>
      <w:r>
        <w:rPr>
          <w:rFonts w:hint="eastAsia" w:ascii="宋体" w:hAnsi="宋体" w:eastAsia="宋体" w:cs="宋体"/>
          <w:kern w:val="0"/>
          <w:sz w:val="24"/>
          <w:szCs w:val="24"/>
          <w:highlight w:val="none"/>
          <w:lang w:val="en-US" w:eastAsia="zh-CN"/>
          <w14:ligatures w14:val="none"/>
        </w:rPr>
        <w:t>壹</w:t>
      </w:r>
      <w:r>
        <w:rPr>
          <w:rFonts w:hint="eastAsia" w:ascii="宋体" w:hAnsi="宋体" w:eastAsia="宋体" w:cs="宋体"/>
          <w:kern w:val="0"/>
          <w:sz w:val="24"/>
          <w:szCs w:val="24"/>
          <w:highlight w:val="none"/>
          <w14:ligatures w14:val="none"/>
        </w:rPr>
        <w:t>万元整（10000元）。服务期满或双方协商解除合同后，采购人将无息退还履约保证金给供应商。供应商在合同签署一个月内不缴纳履约保证金视为放弃此次服务协议，供应商将承担所有责任后果。（投标人的投标文件须提供承诺函并加盖单位公章，承诺函格式自拟）</w:t>
      </w:r>
    </w:p>
    <w:p w14:paraId="48853A57">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采购人账号名称：中山大学孙逸仙纪念医院</w:t>
      </w:r>
    </w:p>
    <w:p w14:paraId="3A1BFE70">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账号：3602000509000704422 </w:t>
      </w:r>
    </w:p>
    <w:p w14:paraId="5EFCD891">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开户行：广州市工商银行第二支行。</w:t>
      </w:r>
    </w:p>
    <w:p w14:paraId="250D1043">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2.如在合同执行期间因供应商违约导致履约保证金部分扣除的，供应商需在5个工作日内将扣除的履约保证金补齐。因供应商原因导致提前终止合同时，采购人有权不退回履约保证金给供应商。</w:t>
      </w:r>
    </w:p>
    <w:p w14:paraId="0135AF2A">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在供应商完成其合同义务，包括任何保证义务后90日内，一次性无息退还履约保证金；如合同解除后90天内采购人未能及时退还保证金，则采购人每逾期1日按照履约保证金总额的1‰赔偿给供应商（因供应商自身原因造成逾期除外）。</w:t>
      </w:r>
    </w:p>
    <w:p w14:paraId="038D830D">
      <w:pPr>
        <w:pageBreakBefore w:val="0"/>
        <w:kinsoku/>
        <w:overflowPunct/>
        <w:bidi w:val="0"/>
        <w:spacing w:before="156" w:beforeLines="50" w:line="360" w:lineRule="auto"/>
        <w:ind w:left="0" w:firstLine="482" w:firstLineChars="200"/>
        <w:jc w:val="both"/>
        <w:rPr>
          <w:rFonts w:hint="eastAsia" w:ascii="宋体" w:hAnsi="宋体" w:eastAsia="宋体" w:cs="宋体"/>
          <w:b/>
          <w:bCs/>
          <w:kern w:val="0"/>
          <w:sz w:val="24"/>
          <w:szCs w:val="24"/>
          <w:highlight w:val="none"/>
          <w14:ligatures w14:val="none"/>
        </w:rPr>
      </w:pPr>
      <w:r>
        <w:rPr>
          <w:rFonts w:hint="eastAsia" w:ascii="宋体" w:hAnsi="宋体" w:eastAsia="宋体" w:cs="宋体"/>
          <w:b/>
          <w:bCs/>
          <w:kern w:val="0"/>
          <w:sz w:val="24"/>
          <w:szCs w:val="24"/>
          <w:highlight w:val="none"/>
          <w14:ligatures w14:val="none"/>
        </w:rPr>
        <w:t>(五)报价要求</w:t>
      </w:r>
    </w:p>
    <w:p w14:paraId="66E94451">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1．投标及结算时的单价包括货物、加工、检测（包括第三方检测机构检测）、包装、仓储、运输保险、运输、装卸、售后服务、人工费、社保、五险一金、各项税费、利润及合同实施过程中不可预见费用等，在合同期内原则上固定不变。</w:t>
      </w:r>
    </w:p>
    <w:p w14:paraId="1DEEBE6A">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2．本项目采用单价报价形式，并按用户需求书采购清单中的预估数量合计报价作为本项目的投标总报价。本项目的价格评审以总报价为依据。</w:t>
      </w:r>
    </w:p>
    <w:p w14:paraId="6B0B9AB5">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3.结算价格＝</w:t>
      </w:r>
      <w:r>
        <w:rPr>
          <w:rFonts w:hint="eastAsia" w:ascii="宋体" w:hAnsi="宋体" w:eastAsia="宋体" w:cs="宋体"/>
          <w:kern w:val="0"/>
          <w:sz w:val="24"/>
          <w:szCs w:val="24"/>
          <w:highlight w:val="none"/>
          <w:lang w:val="en-US" w:eastAsia="zh-CN"/>
          <w14:ligatures w14:val="none"/>
        </w:rPr>
        <w:t>牛奶饮品</w:t>
      </w:r>
      <w:r>
        <w:rPr>
          <w:rFonts w:hint="eastAsia" w:ascii="宋体" w:hAnsi="宋体" w:eastAsia="宋体" w:cs="宋体"/>
          <w:kern w:val="0"/>
          <w:sz w:val="24"/>
          <w:szCs w:val="24"/>
          <w:highlight w:val="none"/>
          <w:lang w:eastAsia="zh-CN"/>
          <w14:ligatures w14:val="none"/>
        </w:rPr>
        <w:t>类</w:t>
      </w:r>
      <w:r>
        <w:rPr>
          <w:rFonts w:hint="eastAsia" w:ascii="宋体" w:hAnsi="宋体" w:eastAsia="宋体" w:cs="宋体"/>
          <w:kern w:val="0"/>
          <w:sz w:val="24"/>
          <w:szCs w:val="24"/>
          <w:highlight w:val="none"/>
          <w14:ligatures w14:val="none"/>
        </w:rPr>
        <w:t>的单价报价×经采购人确认的实际配送供货量。供货时按采购人需求的实际品种数量、结算价格以及当月考核结果办理合同结算手续。</w:t>
      </w:r>
      <w:bookmarkStart w:id="0" w:name="_GoBack"/>
      <w:bookmarkEnd w:id="0"/>
    </w:p>
    <w:p w14:paraId="373B066B">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4．实际数量以采购人的验货及过磅数量为准，供应商每次随货送上至少一式四份的纸质电脑版送货清单及邮件形式发送电子版（Excel格式）送货清单到采购人指定的电子邮箱地址。其中，送货清单含：品种、品牌、规格、配送数量、实收数量、单价、总金额、送货人签字等，并加盖公章；待双方验货后签字确认，双方各持两份，作为送、收货凭证及结算依据。</w:t>
      </w:r>
    </w:p>
    <w:p w14:paraId="6E7209AA">
      <w:pPr>
        <w:pageBreakBefore w:val="0"/>
        <w:kinsoku/>
        <w:overflowPunct/>
        <w:bidi w:val="0"/>
        <w:spacing w:before="156" w:beforeLines="50" w:line="360" w:lineRule="auto"/>
        <w:ind w:left="0" w:firstLine="482" w:firstLineChars="200"/>
        <w:jc w:val="both"/>
        <w:rPr>
          <w:rFonts w:hint="eastAsia" w:ascii="宋体" w:hAnsi="宋体" w:eastAsia="宋体" w:cs="宋体"/>
          <w:b/>
          <w:bCs/>
          <w:kern w:val="0"/>
          <w:sz w:val="24"/>
          <w:szCs w:val="24"/>
          <w:highlight w:val="none"/>
          <w14:ligatures w14:val="none"/>
        </w:rPr>
      </w:pPr>
      <w:r>
        <w:rPr>
          <w:rFonts w:hint="eastAsia" w:ascii="宋体" w:hAnsi="宋体" w:eastAsia="宋体" w:cs="宋体"/>
          <w:b/>
          <w:bCs/>
          <w:kern w:val="0"/>
          <w:sz w:val="24"/>
          <w:szCs w:val="24"/>
          <w:highlight w:val="none"/>
          <w14:ligatures w14:val="none"/>
        </w:rPr>
        <w:t>(六)结算及付款方式</w:t>
      </w:r>
    </w:p>
    <w:p w14:paraId="27E9B3F3">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1.结算方式：根据结算单价，按采购人需求的实际品种数量、结算价格以及当月考核结果办理结算手续。</w:t>
      </w:r>
    </w:p>
    <w:p w14:paraId="4BA9280D">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2.每月据实结算一次。供应商完成当月供货订单后，于次月25日前凭正式发票及经采购人确认的送货清单以及双方确认的月度考核评分表，向采购人申请付款，采购人收到申请核对无误后在10个工作日内结清上月所有货款。</w:t>
      </w:r>
    </w:p>
    <w:p w14:paraId="33724C19">
      <w:pPr>
        <w:pageBreakBefore w:val="0"/>
        <w:kinsoku/>
        <w:overflowPunct/>
        <w:bidi w:val="0"/>
        <w:spacing w:before="156" w:beforeLines="50" w:line="360" w:lineRule="auto"/>
        <w:ind w:left="0" w:firstLine="482" w:firstLineChars="200"/>
        <w:jc w:val="both"/>
        <w:rPr>
          <w:rFonts w:hint="eastAsia" w:ascii="宋体" w:hAnsi="宋体" w:eastAsia="宋体" w:cs="宋体"/>
          <w:b/>
          <w:bCs/>
          <w:kern w:val="0"/>
          <w:sz w:val="24"/>
          <w:szCs w:val="24"/>
          <w:highlight w:val="none"/>
          <w14:ligatures w14:val="none"/>
        </w:rPr>
      </w:pPr>
      <w:r>
        <w:rPr>
          <w:rFonts w:hint="eastAsia" w:ascii="宋体" w:hAnsi="宋体" w:eastAsia="宋体" w:cs="宋体"/>
          <w:b/>
          <w:bCs/>
          <w:kern w:val="0"/>
          <w:sz w:val="24"/>
          <w:szCs w:val="24"/>
          <w:highlight w:val="none"/>
          <w14:ligatures w14:val="none"/>
        </w:rPr>
        <w:t>(七)发现供应商有以下行为，经调查属实的，采购人有权上报相关行政主管部门，经同意后，采购人可解除相关合同，且履约保证金不退还：</w:t>
      </w:r>
    </w:p>
    <w:p w14:paraId="42DE1899">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1.在合同执行阶段，供应商提供的货物质量及服务与投标文件所承诺的不符合的；</w:t>
      </w:r>
    </w:p>
    <w:p w14:paraId="5D62844A">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2.弄虚作假，提供虚假材料取得供应资格的；</w:t>
      </w:r>
    </w:p>
    <w:p w14:paraId="2779FB80">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3.中标供应项目有转包、分包行为的；</w:t>
      </w:r>
    </w:p>
    <w:p w14:paraId="0DB23791">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4.经营情况发生重大变更，已经不具备承接供应项目能力的；</w:t>
      </w:r>
    </w:p>
    <w:p w14:paraId="090A75E5">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5.无正当理由拒绝履行合同向采购人供货的；</w:t>
      </w:r>
    </w:p>
    <w:p w14:paraId="715978DA">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6.有行贿、给回扣等不正当竞争行为的；</w:t>
      </w:r>
    </w:p>
    <w:p w14:paraId="107E38E9">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7.在经营过程中，存在制假、掺假、售假或销售无证食品、未按规定经营范围经营等违反国家有关规定的行为，造成恶劣影响的；</w:t>
      </w:r>
    </w:p>
    <w:p w14:paraId="555A03E8">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8.因所供货物质量原因导致院区内发生食品卫生安全事故的；</w:t>
      </w:r>
    </w:p>
    <w:p w14:paraId="7954BD22">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9.在经营过程中出现严重影响采购人声誉和形象或严重造成采购人损失的其他行为的；</w:t>
      </w:r>
    </w:p>
    <w:p w14:paraId="42E8CA19">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10.供应商未在中标后30天内提供有效食品安全责任保险的；</w:t>
      </w:r>
    </w:p>
    <w:p w14:paraId="779DE796">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11.有其它违法违纪行为的。</w:t>
      </w:r>
    </w:p>
    <w:p w14:paraId="7FCA62C5">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合同的解除并不因此免除违约方根据本合同约定应当承担的违约责任和赔偿责任。</w:t>
      </w:r>
    </w:p>
    <w:p w14:paraId="123C1462">
      <w:pPr>
        <w:pageBreakBefore w:val="0"/>
        <w:kinsoku/>
        <w:overflowPunct/>
        <w:bidi w:val="0"/>
        <w:spacing w:before="156" w:beforeLines="50" w:line="360" w:lineRule="auto"/>
        <w:ind w:left="0" w:firstLine="482" w:firstLineChars="200"/>
        <w:jc w:val="both"/>
        <w:rPr>
          <w:rFonts w:hint="eastAsia" w:ascii="宋体" w:hAnsi="宋体" w:eastAsia="宋体" w:cs="宋体"/>
          <w:b/>
          <w:bCs/>
          <w:kern w:val="0"/>
          <w:sz w:val="24"/>
          <w:szCs w:val="24"/>
          <w:highlight w:val="none"/>
          <w14:ligatures w14:val="none"/>
        </w:rPr>
      </w:pPr>
      <w:r>
        <w:rPr>
          <w:rFonts w:hint="eastAsia" w:ascii="宋体" w:hAnsi="宋体" w:eastAsia="宋体" w:cs="宋体"/>
          <w:b/>
          <w:bCs/>
          <w:kern w:val="0"/>
          <w:sz w:val="24"/>
          <w:szCs w:val="24"/>
          <w:highlight w:val="none"/>
          <w14:ligatures w14:val="none"/>
        </w:rPr>
        <w:t>(八)其他要求</w:t>
      </w:r>
    </w:p>
    <w:p w14:paraId="7B78B694">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1.投标人配送人员必须持有效健康合格证明。如配送人员健康证临期，须在证件过期前5日内提交新的有效合格健康证明，配送人员应固定，服从管理。配送人员及车辆进出</w:t>
      </w:r>
      <w:r>
        <w:rPr>
          <w:rFonts w:hint="eastAsia" w:ascii="宋体" w:hAnsi="宋体" w:eastAsia="宋体" w:cs="宋体"/>
          <w:kern w:val="0"/>
          <w:sz w:val="24"/>
          <w:szCs w:val="24"/>
          <w:highlight w:val="none"/>
          <w:lang w:val="en-US" w:eastAsia="zh-CN"/>
          <w14:ligatures w14:val="none"/>
        </w:rPr>
        <w:t>医院</w:t>
      </w:r>
      <w:r>
        <w:rPr>
          <w:rFonts w:hint="eastAsia" w:ascii="宋体" w:hAnsi="宋体" w:eastAsia="宋体" w:cs="宋体"/>
          <w:kern w:val="0"/>
          <w:sz w:val="24"/>
          <w:szCs w:val="24"/>
          <w:highlight w:val="none"/>
          <w14:ligatures w14:val="none"/>
        </w:rPr>
        <w:t>应遵守</w:t>
      </w:r>
      <w:r>
        <w:rPr>
          <w:rFonts w:hint="eastAsia" w:ascii="宋体" w:hAnsi="宋体" w:eastAsia="宋体" w:cs="宋体"/>
          <w:kern w:val="0"/>
          <w:sz w:val="24"/>
          <w:szCs w:val="24"/>
          <w:highlight w:val="none"/>
          <w:lang w:val="en-US" w:eastAsia="zh-CN"/>
          <w14:ligatures w14:val="none"/>
        </w:rPr>
        <w:t>医院</w:t>
      </w:r>
      <w:r>
        <w:rPr>
          <w:rFonts w:hint="eastAsia" w:ascii="宋体" w:hAnsi="宋体" w:eastAsia="宋体" w:cs="宋体"/>
          <w:kern w:val="0"/>
          <w:sz w:val="24"/>
          <w:szCs w:val="24"/>
          <w:highlight w:val="none"/>
          <w14:ligatures w14:val="none"/>
        </w:rPr>
        <w:t>相关规定，如：不得滋事、酒驾、行驶速度不得超过30公里/小时等。</w:t>
      </w:r>
    </w:p>
    <w:p w14:paraId="0AD5443C">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lang w:val="en-US" w:eastAsia="zh-CN"/>
          <w14:ligatures w14:val="none"/>
        </w:rPr>
        <w:t>2</w:t>
      </w:r>
      <w:r>
        <w:rPr>
          <w:rFonts w:hint="eastAsia" w:ascii="宋体" w:hAnsi="宋体" w:eastAsia="宋体" w:cs="宋体"/>
          <w:kern w:val="0"/>
          <w:sz w:val="24"/>
          <w:szCs w:val="24"/>
          <w:highlight w:val="none"/>
          <w14:ligatures w14:val="none"/>
        </w:rPr>
        <w:t>.投标人应遵守</w:t>
      </w:r>
      <w:r>
        <w:rPr>
          <w:rFonts w:hint="eastAsia" w:ascii="宋体" w:hAnsi="宋体" w:eastAsia="宋体" w:cs="宋体"/>
          <w:kern w:val="0"/>
          <w:sz w:val="24"/>
          <w:szCs w:val="24"/>
          <w:highlight w:val="none"/>
          <w:lang w:val="en-US" w:eastAsia="zh-CN"/>
          <w14:ligatures w14:val="none"/>
        </w:rPr>
        <w:t>医院</w:t>
      </w:r>
      <w:r>
        <w:rPr>
          <w:rFonts w:hint="eastAsia" w:ascii="宋体" w:hAnsi="宋体" w:eastAsia="宋体" w:cs="宋体"/>
          <w:kern w:val="0"/>
          <w:sz w:val="24"/>
          <w:szCs w:val="24"/>
          <w:highlight w:val="none"/>
          <w14:ligatures w14:val="none"/>
        </w:rPr>
        <w:t>相关制度和食品安全管理规定。</w:t>
      </w:r>
    </w:p>
    <w:p w14:paraId="51043C91">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lang w:val="en-US" w:eastAsia="zh-CN"/>
          <w14:ligatures w14:val="none"/>
        </w:rPr>
        <w:t>3</w:t>
      </w:r>
      <w:r>
        <w:rPr>
          <w:rFonts w:hint="eastAsia" w:ascii="宋体" w:hAnsi="宋体" w:eastAsia="宋体" w:cs="宋体"/>
          <w:kern w:val="0"/>
          <w:sz w:val="24"/>
          <w:szCs w:val="24"/>
          <w:highlight w:val="none"/>
          <w14:ligatures w14:val="none"/>
        </w:rPr>
        <w:t>.如果发生食品安全事件或事故，经第三方检验（检测）机构确认是投标人提供货物存在质量安全问题造成的事件或事故，投标人须按照相关法律法规承担相应的法律责任。</w:t>
      </w:r>
    </w:p>
    <w:p w14:paraId="6641DDEC">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lang w:val="en-US" w:eastAsia="zh-CN"/>
          <w14:ligatures w14:val="none"/>
        </w:rPr>
        <w:t>4</w:t>
      </w:r>
      <w:r>
        <w:rPr>
          <w:rFonts w:hint="eastAsia" w:ascii="宋体" w:hAnsi="宋体" w:eastAsia="宋体" w:cs="宋体"/>
          <w:kern w:val="0"/>
          <w:sz w:val="24"/>
          <w:szCs w:val="24"/>
          <w:highlight w:val="none"/>
          <w14:ligatures w14:val="none"/>
        </w:rPr>
        <w:t>. 投标人如果连续发生三次不履行供货义务或不按照《中华人民共和国食品安全法》及相关法律法规执行的，采购人有权终止合同并追究相关违约责任。若确属政策、生产厂家调整品种等原因造成缺货无法正常供应的物品，投标人应提供相关证明材料，并提出解决方案。</w:t>
      </w:r>
    </w:p>
    <w:p w14:paraId="17696385">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lang w:val="en-US" w:eastAsia="zh-CN"/>
          <w14:ligatures w14:val="none"/>
        </w:rPr>
        <w:t>5</w:t>
      </w:r>
      <w:r>
        <w:rPr>
          <w:rFonts w:hint="eastAsia" w:ascii="宋体" w:hAnsi="宋体" w:eastAsia="宋体" w:cs="宋体"/>
          <w:kern w:val="0"/>
          <w:sz w:val="24"/>
          <w:szCs w:val="24"/>
          <w:highlight w:val="none"/>
          <w14:ligatures w14:val="none"/>
        </w:rPr>
        <w:t>.货物必须符合或优于国家（行业） 标准，以及本项目招标文件的质量要求和技术指标与出厂标准。国家标准、地方标准及行业标准与双方共同认可的约定标准不一致时，以标准最高者为准。</w:t>
      </w:r>
    </w:p>
    <w:p w14:paraId="004F7532">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lang w:val="en-US" w:eastAsia="zh-CN"/>
          <w14:ligatures w14:val="none"/>
        </w:rPr>
        <w:t>6</w:t>
      </w:r>
      <w:r>
        <w:rPr>
          <w:rFonts w:hint="eastAsia" w:ascii="宋体" w:hAnsi="宋体" w:eastAsia="宋体" w:cs="宋体"/>
          <w:kern w:val="0"/>
          <w:sz w:val="24"/>
          <w:szCs w:val="24"/>
          <w:highlight w:val="none"/>
          <w14:ligatures w14:val="none"/>
        </w:rPr>
        <w:t>.投标人须按等级保质保量完成供货，如提供的货物不符合质量要求的，投标人必须按时负责调换至合格为止；如连续3次调换仍不合格的，采购人有权终止合同并追究相关违约责任。</w:t>
      </w:r>
    </w:p>
    <w:p w14:paraId="6476B481">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lang w:val="en-US" w:eastAsia="zh-CN"/>
          <w14:ligatures w14:val="none"/>
        </w:rPr>
        <w:t>7</w:t>
      </w:r>
      <w:r>
        <w:rPr>
          <w:rFonts w:hint="eastAsia" w:ascii="宋体" w:hAnsi="宋体" w:eastAsia="宋体" w:cs="宋体"/>
          <w:kern w:val="0"/>
          <w:sz w:val="24"/>
          <w:szCs w:val="24"/>
          <w:highlight w:val="none"/>
          <w14:ligatures w14:val="none"/>
        </w:rPr>
        <w:t>.预包装原料必须为原公司(厂)生产的全新产品，符合国家相关规定的质量标准、环保标准、技术参数和规格要求，并达到采购人对食材的要求，不得提供假冒伪劣、有毒有害食品、过期、无证不合格物品进行配送。</w:t>
      </w:r>
    </w:p>
    <w:p w14:paraId="1B1EF1A6">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lang w:val="en-US" w:eastAsia="zh-CN"/>
          <w14:ligatures w14:val="none"/>
        </w:rPr>
        <w:t>8</w:t>
      </w:r>
      <w:r>
        <w:rPr>
          <w:rFonts w:hint="eastAsia" w:ascii="宋体" w:hAnsi="宋体" w:eastAsia="宋体" w:cs="宋体"/>
          <w:kern w:val="0"/>
          <w:sz w:val="24"/>
          <w:szCs w:val="24"/>
          <w:highlight w:val="none"/>
          <w14:ligatures w14:val="none"/>
        </w:rPr>
        <w:t>.投入人员要求：投标人为本项目投入足够数量的高素质服务的人员（如专职检验人员、配送服务人员等），能够确保本项目正常供货以及货物后续使用、退换、安全、及时响应等问题。</w:t>
      </w:r>
    </w:p>
    <w:p w14:paraId="7EEF5DE9">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lang w:val="en-US" w:eastAsia="zh-CN"/>
          <w14:ligatures w14:val="none"/>
        </w:rPr>
        <w:t>9</w:t>
      </w:r>
      <w:r>
        <w:rPr>
          <w:rFonts w:hint="eastAsia" w:ascii="宋体" w:hAnsi="宋体" w:eastAsia="宋体" w:cs="宋体"/>
          <w:kern w:val="0"/>
          <w:sz w:val="24"/>
          <w:szCs w:val="24"/>
          <w:highlight w:val="none"/>
          <w14:ligatures w14:val="none"/>
        </w:rPr>
        <w:t>.仓储能力：（注：投标人的投标文件需提供仓储能力证明材料：①仓库属于自有的（公司名义下的需提供证明），须提供相关产权证明文件及仓库现场图片； ② 仓库属于租赁的，提供仓库租赁合同复印件及仓库现场图片，租赁合同须以投标人公司名义或法人代表签订，且租赁期限须大于或等于本项目服务期限。提供租赁合同的必须附业主相关产权证明文件（仓库产权或土地使用证的证明文件复印件）； ③自有或租赁的，证明材料中须能体现仓库的面积大小。）</w:t>
      </w:r>
    </w:p>
    <w:p w14:paraId="3FF2A769">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lang w:val="en-US" w:eastAsia="zh-CN"/>
          <w14:ligatures w14:val="none"/>
        </w:rPr>
        <w:t>10</w:t>
      </w:r>
      <w:r>
        <w:rPr>
          <w:rFonts w:hint="eastAsia" w:ascii="宋体" w:hAnsi="宋体" w:eastAsia="宋体" w:cs="宋体"/>
          <w:kern w:val="0"/>
          <w:sz w:val="24"/>
          <w:szCs w:val="24"/>
          <w:highlight w:val="none"/>
          <w14:ligatures w14:val="none"/>
        </w:rPr>
        <w:t>.物流服务能力要求：</w:t>
      </w:r>
    </w:p>
    <w:p w14:paraId="5B0D330C">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14:ligatures w14:val="none"/>
        </w:rPr>
        <w:t>投标人应自有或租赁运输货运车辆不少于</w:t>
      </w:r>
      <w:r>
        <w:rPr>
          <w:rFonts w:hint="eastAsia" w:ascii="宋体" w:hAnsi="宋体" w:eastAsia="宋体" w:cs="宋体"/>
          <w:kern w:val="0"/>
          <w:sz w:val="24"/>
          <w:szCs w:val="24"/>
          <w:highlight w:val="none"/>
          <w:lang w:val="en-US" w:eastAsia="zh-CN"/>
          <w14:ligatures w14:val="none"/>
        </w:rPr>
        <w:t>2</w:t>
      </w:r>
      <w:r>
        <w:rPr>
          <w:rFonts w:hint="eastAsia" w:ascii="宋体" w:hAnsi="宋体" w:eastAsia="宋体" w:cs="宋体"/>
          <w:kern w:val="0"/>
          <w:sz w:val="24"/>
          <w:szCs w:val="24"/>
          <w:highlight w:val="none"/>
          <w14:ligatures w14:val="none"/>
        </w:rPr>
        <w:t>辆，确保按采购人要求能安全、及时的供应货物。</w:t>
      </w:r>
    </w:p>
    <w:p w14:paraId="72761ACE">
      <w:pPr>
        <w:pageBreakBefore w:val="0"/>
        <w:kinsoku/>
        <w:overflowPunct/>
        <w:bidi w:val="0"/>
        <w:spacing w:line="360" w:lineRule="auto"/>
        <w:ind w:left="0" w:firstLine="480" w:firstLineChars="200"/>
        <w:jc w:val="both"/>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lang w:val="en-US" w:eastAsia="zh-CN"/>
          <w14:ligatures w14:val="none"/>
        </w:rPr>
        <w:t>11</w:t>
      </w:r>
      <w:r>
        <w:rPr>
          <w:rFonts w:hint="eastAsia" w:ascii="宋体" w:hAnsi="宋体" w:eastAsia="宋体" w:cs="宋体"/>
          <w:kern w:val="0"/>
          <w:sz w:val="24"/>
          <w:szCs w:val="24"/>
          <w:highlight w:val="none"/>
          <w14:ligatures w14:val="none"/>
        </w:rPr>
        <w:t>.应急处理能力要求：投标人应熟悉和了解医院环境、人员、日常使用特点，针对医院食材类配送各环节、过程可能出现的各种突发事件的提供应急预案。</w:t>
      </w:r>
    </w:p>
    <w:p w14:paraId="37EF45CD">
      <w:pPr>
        <w:pageBreakBefore w:val="0"/>
        <w:kinsoku/>
        <w:overflowPunct/>
        <w:bidi w:val="0"/>
        <w:spacing w:line="360" w:lineRule="auto"/>
        <w:ind w:left="0" w:firstLine="480" w:firstLineChars="200"/>
        <w:jc w:val="both"/>
        <w:rPr>
          <w:rFonts w:hint="eastAsia" w:ascii="宋体" w:hAnsi="宋体" w:eastAsia="宋体" w:cs="宋体"/>
          <w:sz w:val="24"/>
          <w:szCs w:val="24"/>
          <w:highlight w:val="none"/>
          <w14:ligatures w14:val="none"/>
        </w:rPr>
      </w:pPr>
      <w:r>
        <w:rPr>
          <w:rFonts w:hint="eastAsia" w:ascii="宋体" w:hAnsi="宋体" w:eastAsia="宋体" w:cs="宋体"/>
          <w:sz w:val="24"/>
          <w:szCs w:val="24"/>
          <w:highlight w:val="none"/>
          <w14:ligatures w14:val="none"/>
        </w:rPr>
        <w:t>（注：本项目共</w:t>
      </w:r>
      <w:r>
        <w:rPr>
          <w:rFonts w:hint="eastAsia" w:ascii="宋体" w:hAnsi="宋体" w:eastAsia="宋体" w:cs="宋体"/>
          <w:sz w:val="24"/>
          <w:szCs w:val="24"/>
          <w:highlight w:val="none"/>
          <w:lang w:val="en-US" w:eastAsia="zh-CN"/>
          <w14:ligatures w14:val="none"/>
        </w:rPr>
        <w:t>11</w:t>
      </w:r>
      <w:r>
        <w:rPr>
          <w:rFonts w:hint="eastAsia" w:ascii="宋体" w:hAnsi="宋体" w:eastAsia="宋体" w:cs="宋体"/>
          <w:sz w:val="24"/>
          <w:szCs w:val="24"/>
          <w:highlight w:val="none"/>
          <w14:ligatures w14:val="none"/>
        </w:rPr>
        <w:t>个“★”号条款，需求书中标注“★”号的条款，投标时投标人的投标文件须提供相关承诺函并加盖投标人公章）</w:t>
      </w:r>
    </w:p>
    <w:p w14:paraId="56F6DD81">
      <w:pPr>
        <w:pageBreakBefore w:val="0"/>
        <w:kinsoku/>
        <w:overflowPunct/>
        <w:bidi w:val="0"/>
        <w:ind w:left="0" w:firstLine="640" w:firstLineChars="200"/>
        <w:jc w:val="both"/>
        <w:rPr>
          <w:rFonts w:hint="eastAsia" w:ascii="宋体" w:hAnsi="宋体" w:eastAsia="宋体" w:cs="宋体"/>
          <w:highlight w:val="none"/>
        </w:rPr>
      </w:pPr>
    </w:p>
    <w:p w14:paraId="0D0E4F32">
      <w:pPr>
        <w:pageBreakBefore w:val="0"/>
        <w:widowControl/>
        <w:kinsoku/>
        <w:overflowPunct/>
        <w:bidi w:val="0"/>
        <w:ind w:left="0" w:firstLine="640" w:firstLineChars="200"/>
        <w:jc w:val="both"/>
        <w:rPr>
          <w:rFonts w:hint="eastAsia" w:ascii="宋体" w:hAnsi="宋体" w:eastAsia="宋体" w:cs="宋体"/>
          <w:highlight w:val="none"/>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FFD69">
    <w:pPr>
      <w:spacing w:line="177" w:lineRule="auto"/>
      <w:ind w:left="4489"/>
      <w:rPr>
        <w:rFonts w:ascii="Times New Roman" w:hAnsi="Times New Roman" w:eastAsia="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ED1BDF"/>
    <w:multiLevelType w:val="singleLevel"/>
    <w:tmpl w:val="F5ED1BDF"/>
    <w:lvl w:ilvl="0" w:tentative="0">
      <w:start w:val="2"/>
      <w:numFmt w:val="decimal"/>
      <w:lvlText w:val="%1."/>
      <w:lvlJc w:val="left"/>
      <w:pPr>
        <w:tabs>
          <w:tab w:val="left" w:pos="312"/>
        </w:tabs>
      </w:pPr>
    </w:lvl>
  </w:abstractNum>
  <w:abstractNum w:abstractNumId="1">
    <w:nsid w:val="00000012"/>
    <w:multiLevelType w:val="singleLevel"/>
    <w:tmpl w:val="00000012"/>
    <w:lvl w:ilvl="0" w:tentative="0">
      <w:start w:val="1"/>
      <w:numFmt w:val="chineseCounting"/>
      <w:suff w:val="nothing"/>
      <w:lvlText w:val="%1、"/>
      <w:lvlJc w:val="left"/>
      <w:pPr>
        <w:ind w:left="-2"/>
      </w:pPr>
      <w:rPr>
        <w:rFonts w:hint="eastAsia" w:ascii="宋体" w:hAnsi="宋体" w:eastAsia="宋体" w:cs="宋体"/>
        <w:b/>
        <w:bCs/>
        <w:sz w:val="28"/>
        <w:szCs w:val="28"/>
      </w:rPr>
    </w:lvl>
  </w:abstractNum>
  <w:abstractNum w:abstractNumId="2">
    <w:nsid w:val="7C17B599"/>
    <w:multiLevelType w:val="singleLevel"/>
    <w:tmpl w:val="7C17B599"/>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563"/>
    <w:rsid w:val="0036273C"/>
    <w:rsid w:val="003C79AB"/>
    <w:rsid w:val="00815A95"/>
    <w:rsid w:val="00A94368"/>
    <w:rsid w:val="00B51563"/>
    <w:rsid w:val="00C05EA4"/>
    <w:rsid w:val="00D61E2A"/>
    <w:rsid w:val="00E235F2"/>
    <w:rsid w:val="01414250"/>
    <w:rsid w:val="0A8F2853"/>
    <w:rsid w:val="100B68F3"/>
    <w:rsid w:val="15731CEC"/>
    <w:rsid w:val="1A8F0730"/>
    <w:rsid w:val="1D6E278E"/>
    <w:rsid w:val="1E9C0973"/>
    <w:rsid w:val="2A4F46D9"/>
    <w:rsid w:val="2DBE1145"/>
    <w:rsid w:val="389835D2"/>
    <w:rsid w:val="449152F5"/>
    <w:rsid w:val="4CB848EB"/>
    <w:rsid w:val="4F627306"/>
    <w:rsid w:val="52AA78A3"/>
    <w:rsid w:val="56986BAF"/>
    <w:rsid w:val="5ADA1C4D"/>
    <w:rsid w:val="5F9A4BDA"/>
    <w:rsid w:val="75353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eastAsia="仿宋" w:asciiTheme="minorHAnsi" w:hAnsiTheme="minorHAnsi" w:cstheme="minorBidi"/>
      <w:kern w:val="2"/>
      <w:sz w:val="32"/>
      <w:szCs w:val="22"/>
      <w:lang w:val="en-US" w:eastAsia="zh-CN" w:bidi="ar-SA"/>
      <w14:ligatures w14:val="standardContextual"/>
    </w:rPr>
  </w:style>
  <w:style w:type="paragraph" w:styleId="3">
    <w:name w:val="heading 1"/>
    <w:basedOn w:val="1"/>
    <w:next w:val="1"/>
    <w:link w:val="20"/>
    <w:qFormat/>
    <w:uiPriority w:val="9"/>
    <w:pPr>
      <w:keepNext/>
      <w:keepLines/>
      <w:spacing w:before="480" w:after="80" w:line="360" w:lineRule="auto"/>
      <w:ind w:firstLine="0" w:firstLineChars="0"/>
      <w:jc w:val="center"/>
      <w:outlineLvl w:val="0"/>
    </w:pPr>
    <w:rPr>
      <w:rFonts w:asciiTheme="majorHAnsi" w:hAnsiTheme="majorHAnsi" w:cstheme="majorBidi"/>
      <w:b/>
      <w:sz w:val="84"/>
      <w:szCs w:val="48"/>
    </w:rPr>
  </w:style>
  <w:style w:type="paragraph" w:styleId="4">
    <w:name w:val="heading 2"/>
    <w:basedOn w:val="1"/>
    <w:next w:val="1"/>
    <w:link w:val="21"/>
    <w:unhideWhenUsed/>
    <w:qFormat/>
    <w:uiPriority w:val="9"/>
    <w:pPr>
      <w:keepNext/>
      <w:keepLines/>
      <w:spacing w:before="160" w:after="80"/>
      <w:ind w:firstLine="0" w:firstLineChars="0"/>
      <w:jc w:val="center"/>
      <w:outlineLvl w:val="1"/>
    </w:pPr>
    <w:rPr>
      <w:rFonts w:asciiTheme="majorHAnsi" w:hAnsiTheme="majorHAnsi" w:cstheme="majorBidi"/>
      <w:b/>
      <w:szCs w:val="40"/>
    </w:rPr>
  </w:style>
  <w:style w:type="paragraph" w:styleId="5">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6">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8">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200" w:lineRule="exact"/>
      <w:ind w:firstLine="301"/>
    </w:pPr>
    <w:rPr>
      <w:rFonts w:ascii="宋体" w:hAnsi="Courier New"/>
      <w:spacing w:val="-4"/>
      <w:kern w:val="0"/>
      <w:sz w:val="18"/>
      <w:szCs w:val="20"/>
    </w:rPr>
  </w:style>
  <w:style w:type="paragraph" w:styleId="12">
    <w:name w:val="Plain Text"/>
    <w:basedOn w:val="1"/>
    <w:qFormat/>
    <w:uiPriority w:val="0"/>
    <w:pPr>
      <w:spacing w:before="156" w:beforeLines="50" w:after="156" w:afterLines="50" w:line="400" w:lineRule="exact"/>
    </w:pPr>
    <w:rPr>
      <w:rFonts w:ascii="宋体" w:hAnsi="Courier New"/>
      <w:kern w:val="0"/>
      <w:sz w:val="24"/>
    </w:rPr>
  </w:style>
  <w:style w:type="paragraph" w:styleId="1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basedOn w:val="1"/>
    <w:next w:val="1"/>
    <w:link w:val="30"/>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semiHidden/>
    <w:unhideWhenUsed/>
    <w:qFormat/>
    <w:uiPriority w:val="99"/>
    <w:rPr>
      <w:sz w:val="24"/>
    </w:rPr>
  </w:style>
  <w:style w:type="paragraph" w:styleId="16">
    <w:name w:val="Title"/>
    <w:basedOn w:val="1"/>
    <w:next w:val="1"/>
    <w:link w:val="29"/>
    <w:autoRedefine/>
    <w:qFormat/>
    <w:uiPriority w:val="10"/>
    <w:pPr>
      <w:spacing w:after="80" w:line="360" w:lineRule="auto"/>
      <w:ind w:firstLine="0" w:firstLineChars="0"/>
      <w:contextualSpacing/>
      <w:jc w:val="center"/>
    </w:pPr>
    <w:rPr>
      <w:rFonts w:asciiTheme="majorHAnsi" w:hAnsiTheme="majorHAnsi" w:cstheme="majorBidi"/>
      <w:b/>
      <w:spacing w:val="-10"/>
      <w:kern w:val="28"/>
      <w:sz w:val="72"/>
      <w:szCs w:val="56"/>
    </w:rPr>
  </w:style>
  <w:style w:type="character" w:styleId="19">
    <w:name w:val="Strong"/>
    <w:basedOn w:val="18"/>
    <w:qFormat/>
    <w:uiPriority w:val="22"/>
    <w:rPr>
      <w:b/>
      <w:bCs/>
    </w:rPr>
  </w:style>
  <w:style w:type="character" w:customStyle="1" w:styleId="20">
    <w:name w:val="标题 1 字符"/>
    <w:basedOn w:val="18"/>
    <w:link w:val="3"/>
    <w:qFormat/>
    <w:uiPriority w:val="9"/>
    <w:rPr>
      <w:rFonts w:eastAsia="仿宋" w:asciiTheme="majorHAnsi" w:hAnsiTheme="majorHAnsi" w:cstheme="majorBidi"/>
      <w:b/>
      <w:sz w:val="84"/>
      <w:szCs w:val="48"/>
    </w:rPr>
  </w:style>
  <w:style w:type="character" w:customStyle="1" w:styleId="21">
    <w:name w:val="标题 2 字符"/>
    <w:basedOn w:val="18"/>
    <w:link w:val="4"/>
    <w:qFormat/>
    <w:uiPriority w:val="9"/>
    <w:rPr>
      <w:rFonts w:eastAsia="仿宋" w:asciiTheme="majorHAnsi" w:hAnsiTheme="majorHAnsi" w:cstheme="majorBidi"/>
      <w:b/>
      <w:sz w:val="32"/>
      <w:szCs w:val="40"/>
    </w:rPr>
  </w:style>
  <w:style w:type="character" w:customStyle="1" w:styleId="22">
    <w:name w:val="标题 3 字符"/>
    <w:basedOn w:val="18"/>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8"/>
    <w:link w:val="6"/>
    <w:semiHidden/>
    <w:qFormat/>
    <w:uiPriority w:val="9"/>
    <w:rPr>
      <w:rFonts w:cstheme="majorBidi"/>
      <w:color w:val="104862" w:themeColor="accent1" w:themeShade="BF"/>
      <w:sz w:val="28"/>
      <w:szCs w:val="28"/>
    </w:rPr>
  </w:style>
  <w:style w:type="character" w:customStyle="1" w:styleId="24">
    <w:name w:val="标题 5 字符"/>
    <w:basedOn w:val="18"/>
    <w:link w:val="7"/>
    <w:semiHidden/>
    <w:qFormat/>
    <w:uiPriority w:val="9"/>
    <w:rPr>
      <w:rFonts w:cstheme="majorBidi"/>
      <w:color w:val="104862" w:themeColor="accent1" w:themeShade="BF"/>
      <w:sz w:val="24"/>
      <w:szCs w:val="24"/>
    </w:rPr>
  </w:style>
  <w:style w:type="character" w:customStyle="1" w:styleId="25">
    <w:name w:val="标题 6 字符"/>
    <w:basedOn w:val="18"/>
    <w:link w:val="8"/>
    <w:semiHidden/>
    <w:qFormat/>
    <w:uiPriority w:val="9"/>
    <w:rPr>
      <w:rFonts w:cstheme="majorBidi"/>
      <w:b/>
      <w:bCs/>
      <w:color w:val="104862" w:themeColor="accent1" w:themeShade="BF"/>
    </w:rPr>
  </w:style>
  <w:style w:type="character" w:customStyle="1" w:styleId="26">
    <w:name w:val="标题 7 字符"/>
    <w:basedOn w:val="18"/>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6"/>
    <w:qFormat/>
    <w:uiPriority w:val="10"/>
    <w:rPr>
      <w:rFonts w:eastAsia="仿宋" w:asciiTheme="majorHAnsi" w:hAnsiTheme="majorHAnsi" w:cstheme="majorBidi"/>
      <w:b/>
      <w:spacing w:val="-10"/>
      <w:kern w:val="28"/>
      <w:sz w:val="72"/>
      <w:szCs w:val="56"/>
    </w:rPr>
  </w:style>
  <w:style w:type="character" w:customStyle="1" w:styleId="30">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8"/>
    <w:link w:val="35"/>
    <w:qFormat/>
    <w:uiPriority w:val="30"/>
    <w:rPr>
      <w:i/>
      <w:iCs/>
      <w:color w:val="104862" w:themeColor="accent1" w:themeShade="BF"/>
    </w:rPr>
  </w:style>
  <w:style w:type="character" w:customStyle="1" w:styleId="37">
    <w:name w:val="Intense Reference"/>
    <w:basedOn w:val="18"/>
    <w:qFormat/>
    <w:uiPriority w:val="32"/>
    <w:rPr>
      <w:b/>
      <w:bCs/>
      <w:smallCaps/>
      <w:color w:val="104862" w:themeColor="accent1" w:themeShade="BF"/>
      <w:spacing w:val="5"/>
    </w:rPr>
  </w:style>
  <w:style w:type="paragraph" w:customStyle="1" w:styleId="38">
    <w:name w:val="null3"/>
    <w:hidden/>
    <w:qFormat/>
    <w:uiPriority w:val="0"/>
    <w:rPr>
      <w:rFonts w:hint="eastAsia" w:asciiTheme="minorHAnsi" w:hAnsiTheme="minorHAnsi" w:eastAsiaTheme="minorEastAsia" w:cstheme="minorBidi"/>
      <w:lang w:val="en-US" w:eastAsia="zh-Hans"/>
    </w:rPr>
  </w:style>
  <w:style w:type="paragraph" w:customStyle="1" w:styleId="39">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Arial Unicode MS" w:eastAsia="Times New Roman" w:cs="Arial Unicode MS"/>
      <w:color w:val="000000"/>
      <w:kern w:val="2"/>
      <w:sz w:val="21"/>
      <w:szCs w:val="21"/>
      <w:u w:val="none" w:color="000000"/>
      <w:lang w:val="en-US" w:eastAsia="zh-CN" w:bidi="ar-SA"/>
    </w:rPr>
  </w:style>
  <w:style w:type="character" w:customStyle="1" w:styleId="40">
    <w:name w:val="无"/>
    <w:qFormat/>
    <w:uiPriority w:val="0"/>
  </w:style>
  <w:style w:type="paragraph" w:customStyle="1" w:styleId="41">
    <w:name w:val="Plain Text"/>
    <w:basedOn w:val="42"/>
    <w:qFormat/>
    <w:uiPriority w:val="0"/>
    <w:pPr>
      <w:widowControl/>
      <w:jc w:val="left"/>
    </w:pPr>
    <w:rPr>
      <w:rFonts w:ascii="宋体" w:hAnsi="Courier New"/>
    </w:rPr>
  </w:style>
  <w:style w:type="paragraph" w:customStyle="1" w:styleId="42">
    <w:name w:val="Normal"/>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6749</Words>
  <Characters>7004</Characters>
  <Lines>208</Lines>
  <Paragraphs>58</Paragraphs>
  <TotalTime>6</TotalTime>
  <ScaleCrop>false</ScaleCrop>
  <LinksUpToDate>false</LinksUpToDate>
  <CharactersWithSpaces>7021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2024-03-01T02:00:00Z</dcterms:created>
  <dc:creator>段小圆</dc:creator>
  <cp:lastModifiedBy>段小圆</cp:lastModifiedBy>
  <dcterms:modified xsi:type="dcterms:W3CDTF">2025-12-30T09:29:15Z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eyJoZGlkIjoiMjBhNzc4OGU3Y2NjYjY4ZmE1MjVjNWY3MmIxYTA4NjAiLCJ1c2VySWQiOiIxNjU3NTM1NjcxIn0=</vt:lpwstr>
  </property>
  <property fmtid="{D5CDD505-2E9C-101B-9397-08002B2CF9AE}" pid="3" name="KSOProductBuildVer">
    <vt:lpwstr>2052-12.1.0.23542</vt:lpwstr>
  </property>
  <property fmtid="{D5CDD505-2E9C-101B-9397-08002B2CF9AE}" pid="4" name="ICV">
    <vt:lpwstr>C8A17EBC406448A1A848155886AC1DEB_13</vt:lpwstr>
  </property>
</Properties>
</file>