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4315"/>
      <w:bookmarkStart w:id="2" w:name="_Toc15365"/>
      <w:bookmarkStart w:id="3" w:name="_Toc17040"/>
      <w:bookmarkStart w:id="4" w:name="_Toc16091"/>
      <w:bookmarkStart w:id="5" w:name="_Toc3493"/>
      <w:bookmarkStart w:id="6" w:name="_Toc15553"/>
      <w:bookmarkStart w:id="7" w:name="_Toc15189"/>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4A7A9AD9">
      <w:pPr>
        <w:spacing w:line="480" w:lineRule="auto"/>
        <w:jc w:val="center"/>
        <w:rPr>
          <w:rFonts w:hint="eastAsia" w:ascii="微软雅黑" w:hAnsi="微软雅黑" w:eastAsia="微软雅黑" w:cs="微软雅黑"/>
          <w:b w:val="0"/>
          <w:bCs w:val="0"/>
          <w:sz w:val="60"/>
          <w:szCs w:val="60"/>
          <w:lang w:val="en-US" w:eastAsia="zh-CN"/>
        </w:rPr>
      </w:pPr>
      <w:r>
        <w:rPr>
          <w:rFonts w:hint="eastAsia" w:ascii="微软雅黑" w:hAnsi="微软雅黑" w:eastAsia="微软雅黑" w:cs="微软雅黑"/>
          <w:b w:val="0"/>
          <w:bCs w:val="0"/>
          <w:sz w:val="60"/>
          <w:szCs w:val="60"/>
          <w:lang w:val="en-US" w:eastAsia="zh-CN"/>
        </w:rPr>
        <w:t>中山大学孙逸仙纪念医院SPSS软件系统采购项目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8"/>
      </w:pPr>
    </w:p>
    <w:p w14:paraId="56311E93">
      <w:pPr>
        <w:pStyle w:val="18"/>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6003</w:t>
      </w:r>
    </w:p>
    <w:p w14:paraId="2D7F87C4">
      <w:pPr>
        <w:adjustRightInd w:val="0"/>
        <w:snapToGrid w:val="0"/>
        <w:spacing w:line="360" w:lineRule="auto"/>
        <w:jc w:val="center"/>
        <w:rPr>
          <w:rFonts w:ascii="仿宋" w:hAnsi="仿宋" w:eastAsia="仿宋" w:cs="仿宋"/>
          <w:b/>
          <w:bCs/>
          <w:sz w:val="36"/>
          <w:szCs w:val="36"/>
        </w:rPr>
      </w:pPr>
    </w:p>
    <w:p w14:paraId="6D102D32">
      <w:pPr>
        <w:pStyle w:val="18"/>
        <w:rPr>
          <w:rFonts w:ascii="仿宋" w:hAnsi="仿宋" w:eastAsia="仿宋" w:cs="仿宋"/>
          <w:b/>
          <w:bCs/>
          <w:sz w:val="36"/>
          <w:szCs w:val="36"/>
        </w:rPr>
      </w:pPr>
    </w:p>
    <w:p w14:paraId="71A0AC67">
      <w:pPr>
        <w:pStyle w:val="18"/>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6</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9"/>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9"/>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9"/>
        <w:tabs>
          <w:tab w:val="right" w:leader="dot" w:pos="9070"/>
        </w:tabs>
        <w:rPr>
          <w:rFonts w:ascii="仿宋" w:hAnsi="仿宋" w:eastAsia="仿宋" w:cs="仿宋"/>
          <w:b/>
          <w:bCs/>
          <w:sz w:val="28"/>
          <w:szCs w:val="28"/>
        </w:rPr>
      </w:pPr>
    </w:p>
    <w:p w14:paraId="77603379">
      <w:pPr>
        <w:pStyle w:val="19"/>
        <w:rPr>
          <w:rFonts w:ascii="宋体" w:hAnsi="宋体"/>
          <w:bCs/>
          <w:szCs w:val="28"/>
        </w:rPr>
      </w:pPr>
      <w:r>
        <w:rPr>
          <w:rFonts w:hint="eastAsia" w:ascii="仿宋" w:hAnsi="仿宋" w:eastAsia="仿宋" w:cs="仿宋"/>
          <w:b/>
          <w:bCs/>
          <w:sz w:val="28"/>
          <w:szCs w:val="28"/>
        </w:rPr>
        <w:fldChar w:fldCharType="end"/>
      </w:r>
    </w:p>
    <w:p w14:paraId="4388D1A0">
      <w:pPr>
        <w:pStyle w:val="19"/>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8"/>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w:t>
      </w:r>
      <w:r>
        <w:rPr>
          <w:rFonts w:hint="eastAsia" w:ascii="仿宋" w:hAnsi="仿宋" w:eastAsia="仿宋" w:cs="仿宋"/>
          <w:kern w:val="0"/>
          <w:sz w:val="24"/>
          <w:lang w:val="en-US" w:eastAsia="zh-CN"/>
        </w:rPr>
        <w:t>SPSS软件系统采购项目</w:t>
      </w:r>
      <w:r>
        <w:rPr>
          <w:rFonts w:hint="eastAsia" w:ascii="仿宋" w:hAnsi="仿宋" w:eastAsia="仿宋" w:cs="仿宋"/>
          <w:kern w:val="0"/>
          <w:sz w:val="24"/>
        </w:rPr>
        <w:t>-某某公司</w:t>
      </w:r>
    </w:p>
    <w:p w14:paraId="035B6408">
      <w:pPr>
        <w:pStyle w:val="18"/>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6</w:t>
      </w:r>
      <w:bookmarkStart w:id="134" w:name="_GoBack"/>
      <w:bookmarkEnd w:id="134"/>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16</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w:t>
      </w:r>
      <w:r>
        <w:rPr>
          <w:rFonts w:hint="eastAsia" w:ascii="仿宋" w:hAnsi="仿宋" w:eastAsia="仿宋" w:cs="仿宋"/>
          <w:kern w:val="0"/>
          <w:sz w:val="24"/>
          <w:lang w:val="en-US" w:eastAsia="zh-CN"/>
        </w:rPr>
        <w:t>竞谈</w:t>
      </w:r>
      <w:r>
        <w:rPr>
          <w:rFonts w:hint="eastAsia" w:ascii="仿宋" w:hAnsi="仿宋" w:eastAsia="仿宋" w:cs="仿宋"/>
          <w:kern w:val="0"/>
          <w:sz w:val="24"/>
        </w:rPr>
        <w:t>文件、成交通知书及相关答疑回复的电子送达地址；电子文书成功发送至供应商提供的电子送达地址时，视为已送达。</w:t>
      </w:r>
    </w:p>
    <w:p w14:paraId="6A9B7071">
      <w:pPr>
        <w:pStyle w:val="18"/>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8"/>
        <w:rPr>
          <w:rFonts w:ascii="宋体" w:hAnsi="宋体"/>
          <w:b/>
          <w:bCs/>
          <w:sz w:val="24"/>
          <w:highlight w:val="yellow"/>
        </w:rPr>
      </w:pPr>
    </w:p>
    <w:p w14:paraId="253A7DF4">
      <w:pPr>
        <w:pStyle w:val="18"/>
        <w:rPr>
          <w:rFonts w:ascii="宋体" w:hAnsi="宋体"/>
          <w:b/>
          <w:bCs/>
          <w:sz w:val="24"/>
          <w:highlight w:val="yellow"/>
        </w:rPr>
      </w:pPr>
    </w:p>
    <w:p w14:paraId="2A86480C">
      <w:pPr>
        <w:pStyle w:val="18"/>
        <w:rPr>
          <w:rFonts w:ascii="宋体" w:hAnsi="宋体"/>
          <w:b/>
          <w:bCs/>
          <w:sz w:val="24"/>
          <w:highlight w:val="yellow"/>
        </w:rPr>
      </w:pPr>
    </w:p>
    <w:p w14:paraId="3FC8F572">
      <w:pPr>
        <w:pStyle w:val="19"/>
      </w:pPr>
    </w:p>
    <w:p w14:paraId="5DF781EF">
      <w:pPr>
        <w:pStyle w:val="3"/>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5"/>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5"/>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hint="eastAsia" w:ascii="Times New Roman" w:hAnsi="Times New Roman" w:eastAsia="宋体" w:cs="Times New Roman"/>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7</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供应商</w:t>
      </w:r>
      <w:r>
        <w:rPr>
          <w:rStyle w:val="14"/>
          <w:rFonts w:hint="eastAsia" w:ascii="宋体" w:hAnsi="宋体" w:eastAsia="宋体" w:cs="宋体"/>
          <w:i w:val="0"/>
          <w:iCs w:val="0"/>
          <w:caps w:val="0"/>
          <w:color w:val="676A6C"/>
          <w:spacing w:val="0"/>
          <w:sz w:val="22"/>
          <w:szCs w:val="22"/>
          <w:highlight w:val="yellow"/>
        </w:rPr>
        <w:t>获得IBM公司许可发行或代理SPSS软件的授权。</w:t>
      </w: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9"/>
      </w:pPr>
    </w:p>
    <w:p w14:paraId="349F3784">
      <w:pPr>
        <w:pStyle w:val="19"/>
      </w:pPr>
    </w:p>
    <w:p w14:paraId="53C8B4DC">
      <w:pPr>
        <w:pStyle w:val="19"/>
      </w:pPr>
    </w:p>
    <w:p w14:paraId="1F8773F3">
      <w:pPr>
        <w:pStyle w:val="19"/>
      </w:pPr>
    </w:p>
    <w:p w14:paraId="1F2FC85E">
      <w:pPr>
        <w:pStyle w:val="19"/>
      </w:pPr>
    </w:p>
    <w:p w14:paraId="407AE32E">
      <w:pPr>
        <w:pStyle w:val="19"/>
      </w:pPr>
    </w:p>
    <w:p w14:paraId="474113AA">
      <w:pPr>
        <w:pStyle w:val="19"/>
      </w:pPr>
    </w:p>
    <w:p w14:paraId="0AE15E63">
      <w:pPr>
        <w:pStyle w:val="19"/>
      </w:pPr>
    </w:p>
    <w:p w14:paraId="5EFB3118">
      <w:pPr>
        <w:pStyle w:val="19"/>
      </w:pPr>
    </w:p>
    <w:p w14:paraId="77473FA5">
      <w:pPr>
        <w:pStyle w:val="19"/>
      </w:pPr>
    </w:p>
    <w:p w14:paraId="2E27D7ED">
      <w:pPr>
        <w:pStyle w:val="19"/>
      </w:pPr>
    </w:p>
    <w:p w14:paraId="3F31CE09">
      <w:pPr>
        <w:pStyle w:val="19"/>
      </w:pPr>
    </w:p>
    <w:p w14:paraId="789FB7D8">
      <w:pPr>
        <w:pStyle w:val="19"/>
      </w:pPr>
    </w:p>
    <w:p w14:paraId="51D0E49A">
      <w:pPr>
        <w:pStyle w:val="19"/>
      </w:pPr>
    </w:p>
    <w:p w14:paraId="0120F8A1">
      <w:pPr>
        <w:pStyle w:val="19"/>
      </w:pPr>
    </w:p>
    <w:p w14:paraId="579A4B74">
      <w:pPr>
        <w:pStyle w:val="19"/>
      </w:pPr>
    </w:p>
    <w:p w14:paraId="4AD3CA73">
      <w:pPr>
        <w:pStyle w:val="19"/>
      </w:pPr>
    </w:p>
    <w:p w14:paraId="698F3D62">
      <w:pPr>
        <w:widowControl/>
        <w:spacing w:line="360" w:lineRule="auto"/>
        <w:jc w:val="center"/>
        <w:outlineLvl w:val="0"/>
        <w:rPr>
          <w:rFonts w:ascii="宋体" w:hAnsi="宋体" w:cs="宋体"/>
          <w:b/>
          <w:kern w:val="0"/>
          <w:sz w:val="40"/>
          <w:szCs w:val="27"/>
        </w:rPr>
      </w:pPr>
      <w:bookmarkStart w:id="12" w:name="_Toc31740"/>
      <w:bookmarkStart w:id="13" w:name="_Toc6151"/>
      <w:bookmarkStart w:id="14" w:name="_Toc31053"/>
      <w:bookmarkStart w:id="15" w:name="_Toc14488"/>
      <w:bookmarkStart w:id="16" w:name="_Toc6408"/>
      <w:bookmarkStart w:id="17" w:name="_Toc24"/>
      <w:bookmarkStart w:id="18" w:name="_Toc25869"/>
      <w:bookmarkStart w:id="19" w:name="_Toc17375"/>
      <w:bookmarkStart w:id="20" w:name="_Toc28528"/>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7CB3513C">
      <w:pPr>
        <w:widowControl/>
        <w:spacing w:line="240" w:lineRule="auto"/>
        <w:jc w:val="center"/>
        <w:outlineLvl w:val="0"/>
        <w:rPr>
          <w:rFonts w:hint="eastAsia" w:ascii="仿宋" w:hAnsi="仿宋" w:eastAsia="仿宋" w:cs="仿宋"/>
          <w:b/>
          <w:bCs/>
          <w:sz w:val="56"/>
          <w:szCs w:val="56"/>
        </w:rPr>
      </w:pPr>
      <w:bookmarkStart w:id="21" w:name="_Toc26267"/>
      <w:bookmarkStart w:id="22" w:name="_Toc15870"/>
      <w:bookmarkStart w:id="23" w:name="_Toc12520"/>
      <w:bookmarkStart w:id="24" w:name="_Toc29113"/>
      <w:bookmarkStart w:id="25" w:name="_Toc11305"/>
      <w:bookmarkStart w:id="26" w:name="_Toc7291"/>
      <w:bookmarkStart w:id="27" w:name="_Toc435"/>
      <w:bookmarkStart w:id="28" w:name="_Toc3471"/>
      <w:bookmarkStart w:id="29" w:name="_Toc28703"/>
      <w:bookmarkStart w:id="30" w:name="_Toc40346375"/>
      <w:bookmarkStart w:id="31" w:name="_Toc6547"/>
      <w:bookmarkStart w:id="32" w:name="_Toc8364"/>
      <w:bookmarkStart w:id="33" w:name="_Toc11075"/>
      <w:bookmarkStart w:id="34" w:name="_Toc1994"/>
      <w:bookmarkStart w:id="35" w:name="_Toc40346216"/>
      <w:bookmarkStart w:id="36" w:name="_Toc21249"/>
      <w:bookmarkStart w:id="37" w:name="_Toc40776111"/>
      <w:r>
        <w:rPr>
          <w:rFonts w:hint="eastAsia" w:ascii="仿宋" w:hAnsi="仿宋" w:eastAsia="仿宋" w:cs="仿宋"/>
          <w:b/>
          <w:bCs/>
          <w:sz w:val="56"/>
          <w:szCs w:val="56"/>
        </w:rPr>
        <w:t>中山大学孙逸仙纪念医院</w:t>
      </w:r>
      <w:r>
        <w:rPr>
          <w:rFonts w:hint="eastAsia" w:ascii="仿宋" w:hAnsi="仿宋" w:eastAsia="仿宋" w:cs="仿宋"/>
          <w:b/>
          <w:bCs/>
          <w:sz w:val="56"/>
          <w:szCs w:val="56"/>
          <w:lang w:val="en-US" w:eastAsia="zh-CN"/>
        </w:rPr>
        <w:t>SPSS软件系统采购项目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776112"/>
      <w:bookmarkStart w:id="40" w:name="_Toc40346217"/>
      <w:bookmarkStart w:id="41" w:name="_Toc40346376"/>
      <w:bookmarkStart w:id="42" w:name="_Toc20884"/>
      <w:bookmarkStart w:id="43" w:name="_Toc1743"/>
      <w:bookmarkStart w:id="44" w:name="_Toc27997"/>
      <w:bookmarkStart w:id="45" w:name="_Toc17709"/>
    </w:p>
    <w:p w14:paraId="20346EB2">
      <w:pPr>
        <w:widowControl/>
        <w:spacing w:line="360" w:lineRule="auto"/>
        <w:ind w:firstLine="600"/>
        <w:outlineLvl w:val="0"/>
        <w:rPr>
          <w:rFonts w:ascii="仿宋" w:hAnsi="仿宋" w:eastAsia="仿宋" w:cs="仿宋"/>
          <w:kern w:val="0"/>
          <w:sz w:val="30"/>
          <w:szCs w:val="30"/>
        </w:rPr>
      </w:pPr>
      <w:bookmarkStart w:id="46" w:name="_Toc5238"/>
      <w:bookmarkStart w:id="47" w:name="_Toc2029"/>
      <w:bookmarkStart w:id="48" w:name="_Toc31538"/>
      <w:bookmarkStart w:id="49" w:name="_Toc2012"/>
      <w:bookmarkStart w:id="50" w:name="_Toc29102"/>
      <w:bookmarkStart w:id="51" w:name="_Toc19699"/>
      <w:bookmarkStart w:id="52" w:name="_Toc11485"/>
      <w:bookmarkStart w:id="53" w:name="_Toc30979"/>
      <w:bookmarkStart w:id="54" w:name="_Toc23097"/>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40776113"/>
      <w:bookmarkStart w:id="56" w:name="_Toc21483"/>
      <w:bookmarkStart w:id="57" w:name="_Toc40346218"/>
      <w:bookmarkStart w:id="58" w:name="_Toc4013"/>
      <w:bookmarkStart w:id="59" w:name="_Toc17930"/>
      <w:bookmarkStart w:id="60" w:name="_Toc28064"/>
      <w:bookmarkStart w:id="61" w:name="_Toc24763"/>
      <w:bookmarkStart w:id="62" w:name="_Toc16794"/>
      <w:bookmarkStart w:id="63" w:name="_Toc7052"/>
      <w:bookmarkStart w:id="64" w:name="_Toc12645"/>
      <w:bookmarkStart w:id="65" w:name="_Toc11141"/>
      <w:bookmarkStart w:id="66" w:name="_Toc29767"/>
      <w:bookmarkStart w:id="67" w:name="_Toc14824"/>
      <w:bookmarkStart w:id="68" w:name="_Toc27867"/>
      <w:bookmarkStart w:id="69" w:name="_Toc11558"/>
      <w:bookmarkStart w:id="70" w:name="_Toc40346377"/>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40346378"/>
      <w:bookmarkStart w:id="73" w:name="_Toc6438"/>
      <w:bookmarkStart w:id="74" w:name="_Toc26029"/>
      <w:bookmarkStart w:id="75" w:name="_Toc27771"/>
      <w:bookmarkStart w:id="76" w:name="_Toc1324"/>
      <w:bookmarkStart w:id="77" w:name="_Toc19831"/>
      <w:bookmarkStart w:id="78" w:name="_Toc40346219"/>
      <w:bookmarkStart w:id="79" w:name="_Toc17537"/>
      <w:bookmarkStart w:id="80" w:name="_Toc14287"/>
      <w:bookmarkStart w:id="81" w:name="_Toc31197"/>
      <w:bookmarkStart w:id="82" w:name="_Toc4563"/>
      <w:bookmarkStart w:id="83" w:name="_Toc24651"/>
      <w:bookmarkStart w:id="84" w:name="_Toc40776114"/>
      <w:bookmarkStart w:id="85" w:name="_Toc9883"/>
      <w:bookmarkStart w:id="86" w:name="_Toc16813"/>
      <w:bookmarkStart w:id="87" w:name="_Toc11334"/>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5189"/>
      <w:bookmarkStart w:id="90" w:name="_Toc30336"/>
      <w:bookmarkStart w:id="91" w:name="_Toc5634"/>
      <w:bookmarkStart w:id="92" w:name="_Toc27868"/>
      <w:bookmarkStart w:id="93" w:name="_Toc21940"/>
      <w:bookmarkStart w:id="94" w:name="_Toc40776115"/>
      <w:bookmarkStart w:id="95" w:name="_Toc40346379"/>
      <w:bookmarkStart w:id="96" w:name="_Toc18353"/>
      <w:bookmarkStart w:id="97" w:name="_Toc13222"/>
      <w:bookmarkStart w:id="98" w:name="_Toc27206"/>
      <w:bookmarkStart w:id="99" w:name="_Toc20994"/>
      <w:bookmarkStart w:id="100" w:name="_Toc17483"/>
      <w:bookmarkStart w:id="101" w:name="_Toc3895"/>
      <w:bookmarkStart w:id="102" w:name="_Toc40346220"/>
      <w:bookmarkStart w:id="103" w:name="_Toc12650"/>
      <w:bookmarkStart w:id="104" w:name="_Toc21686"/>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5220"/>
      <w:bookmarkStart w:id="107" w:name="_Toc9282"/>
      <w:bookmarkStart w:id="108" w:name="_Toc3498"/>
      <w:bookmarkStart w:id="109" w:name="_Toc32371"/>
      <w:bookmarkStart w:id="110" w:name="_Toc10454"/>
      <w:bookmarkStart w:id="111" w:name="_Toc30904"/>
      <w:bookmarkStart w:id="112" w:name="_Toc40346380"/>
      <w:bookmarkStart w:id="113" w:name="_Toc11547"/>
      <w:bookmarkStart w:id="114" w:name="_Toc40346221"/>
      <w:bookmarkStart w:id="115" w:name="_Toc27009"/>
      <w:bookmarkStart w:id="116" w:name="_Toc8526"/>
      <w:bookmarkStart w:id="117" w:name="_Toc27646"/>
      <w:bookmarkStart w:id="118" w:name="_Toc14462"/>
      <w:bookmarkStart w:id="119" w:name="_Toc12127"/>
      <w:bookmarkStart w:id="120" w:name="_Toc40776116"/>
      <w:bookmarkStart w:id="121" w:name="_Toc30856"/>
      <w:bookmarkStart w:id="122" w:name="_Toc21449"/>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9"/>
      </w:pPr>
    </w:p>
    <w:p w14:paraId="261EB34C">
      <w:pPr>
        <w:pStyle w:val="19"/>
      </w:pPr>
    </w:p>
    <w:p w14:paraId="3CADEF8F">
      <w:pPr>
        <w:pStyle w:val="25"/>
        <w:spacing w:line="360" w:lineRule="auto"/>
        <w:ind w:firstLine="0" w:firstLineChars="0"/>
        <w:rPr>
          <w:rFonts w:ascii="宋体" w:hAnsi="宋体"/>
          <w:bCs/>
          <w:color w:val="FF0000"/>
          <w:sz w:val="24"/>
          <w:szCs w:val="24"/>
        </w:rPr>
      </w:pPr>
      <w:bookmarkStart w:id="123" w:name="_Toc21213"/>
      <w:bookmarkStart w:id="124" w:name="_Toc13184"/>
      <w:bookmarkStart w:id="125" w:name="_Toc16608"/>
      <w:bookmarkStart w:id="126" w:name="_Toc16728"/>
      <w:bookmarkStart w:id="127" w:name="_Toc28747"/>
      <w:bookmarkStart w:id="128" w:name="_Toc10399"/>
      <w:bookmarkStart w:id="129" w:name="_Toc8637"/>
      <w:bookmarkStart w:id="130" w:name="_Toc31077"/>
      <w:bookmarkStart w:id="131" w:name="_Toc6691"/>
      <w:bookmarkStart w:id="132" w:name="_Toc9697"/>
      <w:bookmarkStart w:id="133" w:name="_Toc15539"/>
    </w:p>
    <w:p w14:paraId="79466F5E">
      <w:pPr>
        <w:pStyle w:val="25"/>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w:t>
      </w:r>
      <w:r>
        <w:rPr>
          <w:rFonts w:hint="eastAsia" w:ascii="仿宋" w:hAnsi="仿宋" w:eastAsia="仿宋" w:cs="仿宋"/>
          <w:sz w:val="24"/>
          <w:u w:val="single"/>
          <w:lang w:val="en-US" w:eastAsia="zh-CN"/>
        </w:rPr>
        <w:t>SPSS软件系统采购项目</w:t>
      </w:r>
      <w:r>
        <w:rPr>
          <w:rFonts w:hint="eastAsia" w:ascii="仿宋" w:hAnsi="仿宋" w:eastAsia="仿宋" w:cs="仿宋"/>
          <w:sz w:val="24"/>
        </w:rPr>
        <w:t>的</w:t>
      </w:r>
      <w:r>
        <w:rPr>
          <w:rFonts w:hint="eastAsia" w:ascii="仿宋" w:hAnsi="仿宋" w:eastAsia="仿宋" w:cs="仿宋"/>
          <w:sz w:val="24"/>
          <w:lang w:val="en-US" w:eastAsia="zh-CN"/>
        </w:rPr>
        <w:t>竞谈</w:t>
      </w:r>
      <w:r>
        <w:rPr>
          <w:rFonts w:hint="eastAsia" w:ascii="仿宋" w:hAnsi="仿宋" w:eastAsia="仿宋" w:cs="仿宋"/>
          <w:sz w:val="24"/>
        </w:rPr>
        <w:t>邀请，本单位（企业）自愿参加报名响应，现声明如下：</w:t>
      </w:r>
    </w:p>
    <w:p w14:paraId="1B79FF4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w:t>
      </w:r>
      <w:r>
        <w:rPr>
          <w:rFonts w:hint="eastAsia" w:ascii="仿宋" w:hAnsi="仿宋" w:eastAsia="仿宋" w:cs="仿宋"/>
          <w:sz w:val="24"/>
          <w:szCs w:val="24"/>
          <w:lang w:val="en-US" w:eastAsia="zh-CN"/>
        </w:rPr>
        <w:t>竞谈</w:t>
      </w:r>
      <w:r>
        <w:rPr>
          <w:rFonts w:hint="eastAsia" w:ascii="仿宋" w:hAnsi="仿宋" w:eastAsia="仿宋" w:cs="仿宋"/>
          <w:sz w:val="24"/>
          <w:szCs w:val="24"/>
        </w:rPr>
        <w:t>文件的内容和要求。</w:t>
      </w:r>
    </w:p>
    <w:p w14:paraId="7509B4B4">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9"/>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9"/>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30"/>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6"/>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6"/>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6"/>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p w14:paraId="6D5895FF">
      <w:pPr>
        <w:widowControl/>
        <w:spacing w:line="360" w:lineRule="auto"/>
        <w:jc w:val="left"/>
        <w:outlineLvl w:val="0"/>
        <w:rPr>
          <w:rFonts w:ascii="宋体" w:hAnsi="宋体"/>
          <w:sz w:val="24"/>
        </w:rPr>
      </w:pPr>
    </w:p>
    <w:p w14:paraId="2205451E">
      <w:pPr>
        <w:widowControl/>
        <w:spacing w:line="360" w:lineRule="auto"/>
        <w:jc w:val="left"/>
        <w:outlineLvl w:val="0"/>
        <w:rPr>
          <w:rFonts w:ascii="宋体" w:hAnsi="宋体"/>
          <w:sz w:val="24"/>
        </w:rPr>
      </w:pPr>
    </w:p>
    <w:p w14:paraId="6772DFCF">
      <w:pPr>
        <w:pStyle w:val="26"/>
        <w:tabs>
          <w:tab w:val="left" w:pos="1050"/>
          <w:tab w:val="center" w:pos="4535"/>
        </w:tabs>
        <w:spacing w:line="360" w:lineRule="auto"/>
        <w:jc w:val="center"/>
        <w:outlineLvl w:val="0"/>
        <w:rPr>
          <w:rFonts w:hint="eastAsia" w:ascii="仿宋" w:hAnsi="仿宋" w:eastAsia="仿宋" w:cs="仿宋"/>
          <w:b/>
          <w:bCs/>
          <w:color w:val="000000"/>
          <w:sz w:val="32"/>
          <w:szCs w:val="32"/>
          <w:lang w:val="en-US" w:eastAsia="zh-CN"/>
        </w:rPr>
      </w:pPr>
      <w:r>
        <w:rPr>
          <w:rFonts w:hint="eastAsia" w:ascii="仿宋" w:hAnsi="仿宋" w:eastAsia="仿宋" w:cs="仿宋"/>
          <w:b/>
          <w:bCs/>
          <w:color w:val="000000"/>
          <w:sz w:val="32"/>
          <w:szCs w:val="32"/>
          <w:lang w:val="en-US" w:eastAsia="zh-CN"/>
        </w:rPr>
        <w:t>三、供应商授权证明</w:t>
      </w:r>
    </w:p>
    <w:p w14:paraId="340B9305">
      <w:pPr>
        <w:widowControl/>
        <w:numPr>
          <w:ilvl w:val="0"/>
          <w:numId w:val="0"/>
        </w:numPr>
        <w:spacing w:line="360" w:lineRule="auto"/>
        <w:jc w:val="left"/>
        <w:outlineLvl w:val="0"/>
        <w:rPr>
          <w:rStyle w:val="14"/>
          <w:rFonts w:hint="eastAsia" w:ascii="宋体" w:hAnsi="宋体" w:eastAsia="宋体" w:cs="宋体"/>
          <w:i w:val="0"/>
          <w:iCs w:val="0"/>
          <w:caps w:val="0"/>
          <w:color w:val="676A6C"/>
          <w:spacing w:val="0"/>
          <w:sz w:val="22"/>
          <w:szCs w:val="22"/>
          <w:highlight w:val="yellow"/>
        </w:rPr>
      </w:pPr>
    </w:p>
    <w:p w14:paraId="219A2051">
      <w:pPr>
        <w:widowControl/>
        <w:numPr>
          <w:ilvl w:val="0"/>
          <w:numId w:val="0"/>
        </w:numPr>
        <w:spacing w:line="360" w:lineRule="auto"/>
        <w:jc w:val="left"/>
        <w:outlineLvl w:val="0"/>
        <w:rPr>
          <w:rFonts w:hint="default" w:ascii="宋体" w:hAnsi="宋体"/>
          <w:sz w:val="24"/>
          <w:lang w:val="en-US" w:eastAsia="zh-CN"/>
        </w:rPr>
      </w:pPr>
      <w:r>
        <w:rPr>
          <w:rStyle w:val="14"/>
          <w:rFonts w:hint="eastAsia" w:ascii="宋体" w:hAnsi="宋体" w:eastAsia="宋体" w:cs="宋体"/>
          <w:i w:val="0"/>
          <w:iCs w:val="0"/>
          <w:caps w:val="0"/>
          <w:color w:val="676A6C"/>
          <w:spacing w:val="0"/>
          <w:sz w:val="22"/>
          <w:szCs w:val="22"/>
          <w:highlight w:val="yellow"/>
        </w:rPr>
        <w:t>获得IBM公司许可发行或代理SPSS软件的授权</w:t>
      </w:r>
      <w:r>
        <w:rPr>
          <w:rStyle w:val="14"/>
          <w:rFonts w:hint="eastAsia" w:ascii="宋体" w:hAnsi="宋体" w:cs="宋体"/>
          <w:i w:val="0"/>
          <w:iCs w:val="0"/>
          <w:caps w:val="0"/>
          <w:color w:val="676A6C"/>
          <w:spacing w:val="0"/>
          <w:sz w:val="22"/>
          <w:szCs w:val="22"/>
          <w:highlight w:val="yellow"/>
          <w:lang w:val="en-US" w:eastAsia="zh-CN"/>
        </w:rPr>
        <w:t>的证明，</w:t>
      </w:r>
      <w:r>
        <w:rPr>
          <w:rFonts w:hint="eastAsia" w:ascii="宋体" w:hAnsi="宋体"/>
          <w:bCs/>
          <w:color w:val="0070C0"/>
          <w:sz w:val="24"/>
          <w:szCs w:val="24"/>
        </w:rPr>
        <w:t>提供复印件,并</w:t>
      </w:r>
      <w:r>
        <w:rPr>
          <w:rFonts w:hint="eastAsia" w:ascii="宋体" w:hAnsi="宋体"/>
          <w:b/>
          <w:bCs w:val="0"/>
          <w:color w:val="0070C0"/>
          <w:sz w:val="24"/>
          <w:szCs w:val="24"/>
          <w:u w:val="single"/>
        </w:rPr>
        <w:t>加盖供应商公司公章</w:t>
      </w: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5"/>
      </w:rPr>
    </w:pPr>
    <w:r>
      <w:fldChar w:fldCharType="begin"/>
    </w:r>
    <w:r>
      <w:rPr>
        <w:rStyle w:val="15"/>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5"/>
      </w:rPr>
    </w:pPr>
    <w:r>
      <w:fldChar w:fldCharType="begin"/>
    </w:r>
    <w:r>
      <w:rPr>
        <w:rStyle w:val="15"/>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531294A"/>
    <w:rsid w:val="063858F6"/>
    <w:rsid w:val="06CE0008"/>
    <w:rsid w:val="071D1A8B"/>
    <w:rsid w:val="07762B7A"/>
    <w:rsid w:val="07D87C6E"/>
    <w:rsid w:val="0A8F3F52"/>
    <w:rsid w:val="0B5F56D3"/>
    <w:rsid w:val="0BFA364D"/>
    <w:rsid w:val="0E8F62CF"/>
    <w:rsid w:val="0F024CF3"/>
    <w:rsid w:val="10172A20"/>
    <w:rsid w:val="1045758D"/>
    <w:rsid w:val="10B244F7"/>
    <w:rsid w:val="10CA6E17"/>
    <w:rsid w:val="10D95F27"/>
    <w:rsid w:val="12713E4C"/>
    <w:rsid w:val="127E60E3"/>
    <w:rsid w:val="12C16C73"/>
    <w:rsid w:val="1585042C"/>
    <w:rsid w:val="166F6D46"/>
    <w:rsid w:val="18F23D41"/>
    <w:rsid w:val="19F2453D"/>
    <w:rsid w:val="19F45BB5"/>
    <w:rsid w:val="19FA779B"/>
    <w:rsid w:val="1A0957E8"/>
    <w:rsid w:val="1B182259"/>
    <w:rsid w:val="1BD6553D"/>
    <w:rsid w:val="1BD9502D"/>
    <w:rsid w:val="1E44428E"/>
    <w:rsid w:val="1FCA53B9"/>
    <w:rsid w:val="22001566"/>
    <w:rsid w:val="237C1E1D"/>
    <w:rsid w:val="24187539"/>
    <w:rsid w:val="25072C0B"/>
    <w:rsid w:val="26FE003E"/>
    <w:rsid w:val="279B3ADF"/>
    <w:rsid w:val="281573ED"/>
    <w:rsid w:val="28CA6AB3"/>
    <w:rsid w:val="28E13773"/>
    <w:rsid w:val="29C028C2"/>
    <w:rsid w:val="2AAD7DB1"/>
    <w:rsid w:val="2C624BCB"/>
    <w:rsid w:val="2DBF3C9A"/>
    <w:rsid w:val="2E051CB2"/>
    <w:rsid w:val="2E456552"/>
    <w:rsid w:val="2F193C67"/>
    <w:rsid w:val="2F2B6C52"/>
    <w:rsid w:val="2F754C15"/>
    <w:rsid w:val="3075311F"/>
    <w:rsid w:val="323668DE"/>
    <w:rsid w:val="32496611"/>
    <w:rsid w:val="32803FFD"/>
    <w:rsid w:val="32E26831"/>
    <w:rsid w:val="332C14A7"/>
    <w:rsid w:val="337771AE"/>
    <w:rsid w:val="34FA46A1"/>
    <w:rsid w:val="35C42453"/>
    <w:rsid w:val="36CC7811"/>
    <w:rsid w:val="399D5494"/>
    <w:rsid w:val="3A013C75"/>
    <w:rsid w:val="3A856654"/>
    <w:rsid w:val="3ACC61BC"/>
    <w:rsid w:val="3B2C6AD0"/>
    <w:rsid w:val="3B562756"/>
    <w:rsid w:val="3E815385"/>
    <w:rsid w:val="40A610D2"/>
    <w:rsid w:val="42206C63"/>
    <w:rsid w:val="42F73E67"/>
    <w:rsid w:val="43782F65"/>
    <w:rsid w:val="449F0313"/>
    <w:rsid w:val="45464C32"/>
    <w:rsid w:val="470152B5"/>
    <w:rsid w:val="493D09BF"/>
    <w:rsid w:val="49F7474D"/>
    <w:rsid w:val="4ADF6E29"/>
    <w:rsid w:val="4B653848"/>
    <w:rsid w:val="4B944126"/>
    <w:rsid w:val="4BA009C3"/>
    <w:rsid w:val="4DC62DB4"/>
    <w:rsid w:val="4FEE03A0"/>
    <w:rsid w:val="50342257"/>
    <w:rsid w:val="503E1327"/>
    <w:rsid w:val="50A11C75"/>
    <w:rsid w:val="50FE4613"/>
    <w:rsid w:val="51475FBA"/>
    <w:rsid w:val="51BD627C"/>
    <w:rsid w:val="51CD2963"/>
    <w:rsid w:val="53690469"/>
    <w:rsid w:val="55517407"/>
    <w:rsid w:val="55E24503"/>
    <w:rsid w:val="56FF2E93"/>
    <w:rsid w:val="59883613"/>
    <w:rsid w:val="59E051FD"/>
    <w:rsid w:val="5B96494F"/>
    <w:rsid w:val="5C2A2760"/>
    <w:rsid w:val="5D92680F"/>
    <w:rsid w:val="5ED846F5"/>
    <w:rsid w:val="5F30008D"/>
    <w:rsid w:val="5F6E0BB6"/>
    <w:rsid w:val="60757F17"/>
    <w:rsid w:val="6151078F"/>
    <w:rsid w:val="63041F5D"/>
    <w:rsid w:val="63DE1842"/>
    <w:rsid w:val="63F91396"/>
    <w:rsid w:val="641C32D6"/>
    <w:rsid w:val="647B7FFD"/>
    <w:rsid w:val="64C01EB3"/>
    <w:rsid w:val="64F733FB"/>
    <w:rsid w:val="66884C53"/>
    <w:rsid w:val="678673E4"/>
    <w:rsid w:val="67EE31DB"/>
    <w:rsid w:val="68844983"/>
    <w:rsid w:val="699D27C3"/>
    <w:rsid w:val="6D4D2752"/>
    <w:rsid w:val="6E5A6ED5"/>
    <w:rsid w:val="6EF27195"/>
    <w:rsid w:val="6F765F90"/>
    <w:rsid w:val="70903082"/>
    <w:rsid w:val="72CB03A1"/>
    <w:rsid w:val="73223FAF"/>
    <w:rsid w:val="7477752E"/>
    <w:rsid w:val="752D7368"/>
    <w:rsid w:val="758E3908"/>
    <w:rsid w:val="75D237A5"/>
    <w:rsid w:val="75FE0A8D"/>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3"/>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4"/>
    <w:autoRedefine/>
    <w:qFormat/>
    <w:uiPriority w:val="0"/>
    <w:rPr>
      <w:rFonts w:ascii="宋体" w:hAnsi="Courier New" w:cs="Courier New"/>
      <w:szCs w:val="21"/>
    </w:rPr>
  </w:style>
  <w:style w:type="paragraph" w:styleId="8">
    <w:name w:val="Balloon Text"/>
    <w:basedOn w:val="1"/>
    <w:link w:val="28"/>
    <w:autoRedefine/>
    <w:qFormat/>
    <w:uiPriority w:val="99"/>
    <w:rPr>
      <w:sz w:val="18"/>
      <w:szCs w:val="18"/>
    </w:rPr>
  </w:style>
  <w:style w:type="paragraph" w:styleId="9">
    <w:name w:val="footer"/>
    <w:basedOn w:val="1"/>
    <w:link w:val="21"/>
    <w:autoRedefine/>
    <w:qFormat/>
    <w:uiPriority w:val="99"/>
    <w:pPr>
      <w:tabs>
        <w:tab w:val="center" w:pos="4153"/>
        <w:tab w:val="right" w:pos="8306"/>
      </w:tabs>
      <w:snapToGrid w:val="0"/>
      <w:jc w:val="left"/>
    </w:pPr>
    <w:rPr>
      <w:sz w:val="18"/>
      <w:szCs w:val="18"/>
    </w:rPr>
  </w:style>
  <w:style w:type="paragraph" w:styleId="10">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Strong"/>
    <w:basedOn w:val="13"/>
    <w:qFormat/>
    <w:uiPriority w:val="0"/>
    <w:rPr>
      <w:b/>
    </w:rPr>
  </w:style>
  <w:style w:type="character" w:styleId="15">
    <w:name w:val="page number"/>
    <w:basedOn w:val="13"/>
    <w:autoRedefine/>
    <w:qFormat/>
    <w:uiPriority w:val="0"/>
    <w:rPr>
      <w:rFonts w:eastAsia="宋体"/>
      <w:kern w:val="2"/>
      <w:sz w:val="24"/>
      <w:szCs w:val="24"/>
      <w:lang w:val="en-US" w:eastAsia="zh-CN" w:bidi="ar-SA"/>
    </w:rPr>
  </w:style>
  <w:style w:type="character" w:styleId="16">
    <w:name w:val="Hyperlink"/>
    <w:basedOn w:val="13"/>
    <w:autoRedefine/>
    <w:qFormat/>
    <w:uiPriority w:val="99"/>
    <w:rPr>
      <w:color w:val="0000FF"/>
      <w:u w:val="single"/>
    </w:rPr>
  </w:style>
  <w:style w:type="paragraph" w:customStyle="1" w:styleId="17">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0">
    <w:name w:val="页眉 字符"/>
    <w:basedOn w:val="13"/>
    <w:link w:val="10"/>
    <w:autoRedefine/>
    <w:qFormat/>
    <w:uiPriority w:val="99"/>
    <w:rPr>
      <w:sz w:val="18"/>
      <w:szCs w:val="18"/>
    </w:rPr>
  </w:style>
  <w:style w:type="character" w:customStyle="1" w:styleId="21">
    <w:name w:val="页脚 字符"/>
    <w:basedOn w:val="13"/>
    <w:link w:val="9"/>
    <w:autoRedefine/>
    <w:qFormat/>
    <w:uiPriority w:val="99"/>
    <w:rPr>
      <w:sz w:val="18"/>
      <w:szCs w:val="18"/>
    </w:rPr>
  </w:style>
  <w:style w:type="character" w:customStyle="1" w:styleId="22">
    <w:name w:val="标题 2 字符"/>
    <w:basedOn w:val="13"/>
    <w:link w:val="3"/>
    <w:autoRedefine/>
    <w:qFormat/>
    <w:uiPriority w:val="0"/>
    <w:rPr>
      <w:rFonts w:ascii="Arial" w:hAnsi="Arial" w:eastAsia="黑体" w:cs="Times New Roman"/>
      <w:b/>
      <w:bCs/>
      <w:sz w:val="32"/>
      <w:szCs w:val="32"/>
    </w:rPr>
  </w:style>
  <w:style w:type="character" w:customStyle="1" w:styleId="23">
    <w:name w:val="正文缩进 字符"/>
    <w:link w:val="4"/>
    <w:autoRedefine/>
    <w:qFormat/>
    <w:uiPriority w:val="0"/>
    <w:rPr>
      <w:rFonts w:ascii="Times New Roman" w:hAnsi="Times New Roman" w:eastAsia="宋体" w:cs="Times New Roman"/>
      <w:szCs w:val="24"/>
    </w:rPr>
  </w:style>
  <w:style w:type="character" w:customStyle="1" w:styleId="24">
    <w:name w:val="纯文本 字符"/>
    <w:basedOn w:val="13"/>
    <w:link w:val="7"/>
    <w:autoRedefine/>
    <w:qFormat/>
    <w:uiPriority w:val="0"/>
    <w:rPr>
      <w:rFonts w:ascii="宋体" w:hAnsi="Courier New" w:eastAsia="宋体" w:cs="Courier New"/>
      <w:szCs w:val="21"/>
    </w:rPr>
  </w:style>
  <w:style w:type="paragraph" w:styleId="25">
    <w:name w:val="List Paragraph"/>
    <w:basedOn w:val="1"/>
    <w:autoRedefine/>
    <w:qFormat/>
    <w:uiPriority w:val="34"/>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character" w:customStyle="1" w:styleId="28">
    <w:name w:val="批注框文本 字符"/>
    <w:basedOn w:val="13"/>
    <w:link w:val="8"/>
    <w:autoRedefine/>
    <w:qFormat/>
    <w:uiPriority w:val="99"/>
    <w:rPr>
      <w:rFonts w:ascii="Times New Roman" w:hAnsi="Times New Roman" w:eastAsia="宋体" w:cs="Times New Roman"/>
      <w:sz w:val="18"/>
      <w:szCs w:val="18"/>
    </w:rPr>
  </w:style>
  <w:style w:type="paragraph" w:customStyle="1" w:styleId="29">
    <w:name w:val="WPSOffice手动目录 1"/>
    <w:autoRedefine/>
    <w:qFormat/>
    <w:uiPriority w:val="0"/>
    <w:rPr>
      <w:rFonts w:ascii="Calibri" w:hAnsi="Calibri" w:eastAsia="宋体" w:cs="宋体"/>
      <w:lang w:val="en-US" w:eastAsia="zh-CN" w:bidi="ar-SA"/>
    </w:rPr>
  </w:style>
  <w:style w:type="paragraph" w:customStyle="1" w:styleId="30">
    <w:name w:val="正文缩进1"/>
    <w:basedOn w:val="1"/>
    <w:autoRedefine/>
    <w:qFormat/>
    <w:uiPriority w:val="0"/>
    <w:pPr>
      <w:widowControl/>
      <w:ind w:firstLine="420"/>
      <w:jc w:val="left"/>
    </w:pPr>
    <w:rPr>
      <w:rFonts w:ascii="Calibri" w:hAnsi="Calibri"/>
      <w:kern w:val="0"/>
    </w:rPr>
  </w:style>
  <w:style w:type="paragraph" w:customStyle="1" w:styleId="31">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2008</Words>
  <Characters>2139</Characters>
  <Lines>17</Lines>
  <Paragraphs>4</Paragraphs>
  <TotalTime>2</TotalTime>
  <ScaleCrop>false</ScaleCrop>
  <LinksUpToDate>false</LinksUpToDate>
  <CharactersWithSpaces>2262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仓恒娟</cp:lastModifiedBy>
  <cp:lastPrinted>2022-08-23T03:15:00Z</cp:lastPrinted>
  <dcterms:modified xsi:type="dcterms:W3CDTF">2026-01-20T03:40:17Z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C0D0AEA70984483CA8D7C2E2F8109BDA_13</vt:lpwstr>
  </property>
  <property fmtid="{D5CDD505-2E9C-101B-9397-08002B2CF9AE}" pid="4" name="KSOTemplateDocerSaveRecord">
    <vt:lpwstr>eyJoZGlkIjoiNDViNjU4YzZkNDVjYTFiNTNjNDhjZjY3ZmEyZDVhZjUiLCJ1c2VySWQiOiIxMzk2NjM5OTgxIn0=</vt:lpwstr>
  </property>
</Properties>
</file>