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60114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2FC6270A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</w:p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</w:t>
      </w:r>
      <w:r>
        <w:rPr>
          <w:rFonts w:hint="eastAsia"/>
          <w:sz w:val="18"/>
          <w:szCs w:val="18"/>
          <w:lang w:val="en-US" w:eastAsia="zh-CN"/>
        </w:rPr>
        <w:t>如有</w:t>
      </w:r>
      <w:r>
        <w:rPr>
          <w:rFonts w:hint="eastAsia"/>
          <w:sz w:val="18"/>
          <w:szCs w:val="18"/>
          <w:lang w:eastAsia="zh-CN"/>
        </w:rPr>
        <w:t>特殊情况</w:t>
      </w:r>
      <w:r>
        <w:rPr>
          <w:rFonts w:hint="eastAsia"/>
          <w:sz w:val="18"/>
          <w:szCs w:val="18"/>
          <w:lang w:val="en-US" w:eastAsia="zh-CN"/>
        </w:rPr>
        <w:t>或无法提供的须提供情况</w:t>
      </w:r>
      <w:r>
        <w:rPr>
          <w:rFonts w:hint="eastAsia"/>
          <w:sz w:val="18"/>
          <w:szCs w:val="18"/>
          <w:lang w:eastAsia="zh-CN"/>
        </w:rPr>
        <w:t>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65E31F76">
      <w:pPr>
        <w:ind w:left="220" w:hanging="219" w:hangingChars="122"/>
        <w:jc w:val="both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4. 试剂序号为招标公告附件1所列序号，表格内容不能留空，无内容填写请划“/”。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  <w:lang w:eastAsia="zh-CN"/>
        </w:rPr>
        <w:t>. 将填写</w:t>
      </w:r>
      <w:r>
        <w:rPr>
          <w:rFonts w:hint="eastAsia"/>
          <w:sz w:val="18"/>
          <w:szCs w:val="18"/>
          <w:lang w:val="en-US" w:eastAsia="zh-CN"/>
        </w:rPr>
        <w:t>完</w:t>
      </w:r>
      <w:r>
        <w:rPr>
          <w:rFonts w:hint="eastAsia"/>
          <w:sz w:val="18"/>
          <w:szCs w:val="18"/>
          <w:lang w:eastAsia="zh-CN"/>
        </w:rPr>
        <w:t>的《新试剂采购报名表》和《新试剂采购信息表》</w:t>
      </w:r>
      <w:r>
        <w:rPr>
          <w:rFonts w:hint="eastAsia"/>
          <w:sz w:val="18"/>
          <w:szCs w:val="18"/>
          <w:lang w:val="en-US" w:eastAsia="zh-CN"/>
        </w:rPr>
        <w:t>打包</w:t>
      </w:r>
      <w:r>
        <w:rPr>
          <w:rFonts w:hint="eastAsia"/>
          <w:sz w:val="18"/>
          <w:szCs w:val="18"/>
          <w:lang w:eastAsia="zh-CN"/>
        </w:rPr>
        <w:t>发</w:t>
      </w:r>
      <w:r>
        <w:rPr>
          <w:rFonts w:hint="eastAsia"/>
          <w:sz w:val="18"/>
          <w:szCs w:val="18"/>
          <w:lang w:val="en-US" w:eastAsia="zh-CN"/>
        </w:rPr>
        <w:t>送</w:t>
      </w:r>
      <w:r>
        <w:rPr>
          <w:rFonts w:hint="eastAsia"/>
          <w:sz w:val="18"/>
          <w:szCs w:val="18"/>
          <w:lang w:eastAsia="zh-CN"/>
        </w:rPr>
        <w:t>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0D303D91"/>
    <w:rsid w:val="13261687"/>
    <w:rsid w:val="149928E7"/>
    <w:rsid w:val="153016D7"/>
    <w:rsid w:val="15A465BF"/>
    <w:rsid w:val="15AC10AB"/>
    <w:rsid w:val="17B33E13"/>
    <w:rsid w:val="18100FAB"/>
    <w:rsid w:val="1D12197F"/>
    <w:rsid w:val="1E5913D9"/>
    <w:rsid w:val="1F8628AC"/>
    <w:rsid w:val="208C6179"/>
    <w:rsid w:val="225C540C"/>
    <w:rsid w:val="242E54C3"/>
    <w:rsid w:val="269903E3"/>
    <w:rsid w:val="27900B12"/>
    <w:rsid w:val="282720C1"/>
    <w:rsid w:val="289C1E19"/>
    <w:rsid w:val="28CA27E4"/>
    <w:rsid w:val="2ABE0295"/>
    <w:rsid w:val="2C6634F9"/>
    <w:rsid w:val="2E5C5760"/>
    <w:rsid w:val="2FEC729E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3DB4115D"/>
    <w:rsid w:val="499B552B"/>
    <w:rsid w:val="4AF75A81"/>
    <w:rsid w:val="4B4C3F23"/>
    <w:rsid w:val="4CD2036C"/>
    <w:rsid w:val="4D4241EB"/>
    <w:rsid w:val="518B579B"/>
    <w:rsid w:val="529B611D"/>
    <w:rsid w:val="532341FA"/>
    <w:rsid w:val="58A154A3"/>
    <w:rsid w:val="5AB12A17"/>
    <w:rsid w:val="5ACC2D96"/>
    <w:rsid w:val="5F931EAD"/>
    <w:rsid w:val="615D4A9B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584</Words>
  <Characters>616</Characters>
  <Lines>9</Lines>
  <Paragraphs>2</Paragraphs>
  <TotalTime>5</TotalTime>
  <ScaleCrop>false</ScaleCrop>
  <LinksUpToDate>false</LinksUpToDate>
  <CharactersWithSpaces>796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画个逗号给明天</cp:lastModifiedBy>
  <cp:lastPrinted>2018-08-21T00:29:00Z</cp:lastPrinted>
  <dcterms:modified xsi:type="dcterms:W3CDTF">2026-01-13T08:37:18Z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20398AE0668F437C939773FE898CC380_13</vt:lpwstr>
  </property>
  <property fmtid="{D5CDD505-2E9C-101B-9397-08002B2CF9AE}" pid="4" name="KSOTemplateDocerSaveRecord">
    <vt:lpwstr>eyJoZGlkIjoiMzhhZDE2ZTMxZjdkMDA3NmVkZDhhMzczNDZjNDQwNzQiLCJ1c2VySWQiOiIyNTI4MjI5MTQifQ==</vt:lpwstr>
  </property>
</Properties>
</file>