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82730">
      <w:pPr>
        <w:widowControl/>
        <w:adjustRightInd w:val="0"/>
        <w:snapToGrid w:val="0"/>
        <w:spacing w:line="360" w:lineRule="auto"/>
        <w:ind w:firstLine="562" w:firstLineChars="200"/>
        <w:jc w:val="center"/>
        <w:rPr>
          <w:rFonts w:hint="eastAsia" w:ascii="宋体" w:hAnsi="宋体" w:eastAsia="宋体"/>
          <w:b/>
          <w:sz w:val="28"/>
          <w:szCs w:val="28"/>
          <w:lang w:eastAsia="zh-CN"/>
        </w:rPr>
      </w:pPr>
      <w:r>
        <w:rPr>
          <w:rFonts w:hint="eastAsia" w:ascii="宋体" w:hAnsi="宋体"/>
          <w:b/>
          <w:sz w:val="28"/>
          <w:szCs w:val="28"/>
        </w:rPr>
        <w:t>评分</w:t>
      </w:r>
      <w:r>
        <w:rPr>
          <w:rFonts w:hint="eastAsia" w:ascii="宋体" w:hAnsi="宋体"/>
          <w:b/>
          <w:sz w:val="28"/>
          <w:szCs w:val="28"/>
          <w:lang w:val="en-US" w:eastAsia="zh-CN"/>
        </w:rPr>
        <w:t>表</w:t>
      </w:r>
    </w:p>
    <w:tbl>
      <w:tblPr>
        <w:tblStyle w:val="2"/>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60"/>
        <w:gridCol w:w="850"/>
        <w:gridCol w:w="6662"/>
      </w:tblGrid>
      <w:tr w14:paraId="17AF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BF52EF4">
            <w:pPr>
              <w:jc w:val="center"/>
              <w:rPr>
                <w:rFonts w:hint="eastAsia" w:ascii="宋体" w:hAnsi="宋体"/>
                <w:szCs w:val="21"/>
              </w:rPr>
            </w:pPr>
            <w:r>
              <w:rPr>
                <w:rFonts w:hint="eastAsia" w:ascii="宋体" w:hAnsi="宋体"/>
                <w:szCs w:val="21"/>
              </w:rPr>
              <w:t>分项</w:t>
            </w:r>
          </w:p>
        </w:tc>
        <w:tc>
          <w:tcPr>
            <w:tcW w:w="1560" w:type="dxa"/>
            <w:tcBorders>
              <w:top w:val="single" w:color="auto" w:sz="4" w:space="0"/>
              <w:left w:val="single" w:color="auto" w:sz="4" w:space="0"/>
              <w:bottom w:val="single" w:color="auto" w:sz="4" w:space="0"/>
              <w:right w:val="single" w:color="auto" w:sz="4" w:space="0"/>
            </w:tcBorders>
            <w:noWrap/>
            <w:vAlign w:val="center"/>
          </w:tcPr>
          <w:p w14:paraId="30A63B5A">
            <w:pPr>
              <w:jc w:val="center"/>
              <w:rPr>
                <w:rFonts w:hint="eastAsia" w:ascii="宋体" w:hAnsi="宋体"/>
                <w:szCs w:val="21"/>
              </w:rPr>
            </w:pPr>
            <w:r>
              <w:rPr>
                <w:rFonts w:hint="eastAsia" w:ascii="宋体" w:hAnsi="宋体"/>
                <w:szCs w:val="21"/>
              </w:rPr>
              <w:t>评分因素</w:t>
            </w:r>
          </w:p>
        </w:tc>
        <w:tc>
          <w:tcPr>
            <w:tcW w:w="850" w:type="dxa"/>
            <w:tcBorders>
              <w:top w:val="single" w:color="auto" w:sz="4" w:space="0"/>
              <w:left w:val="single" w:color="auto" w:sz="4" w:space="0"/>
              <w:bottom w:val="single" w:color="auto" w:sz="4" w:space="0"/>
              <w:right w:val="single" w:color="auto" w:sz="4" w:space="0"/>
            </w:tcBorders>
            <w:noWrap/>
            <w:vAlign w:val="center"/>
          </w:tcPr>
          <w:p w14:paraId="6D1A4714">
            <w:pPr>
              <w:jc w:val="center"/>
              <w:rPr>
                <w:rFonts w:hint="eastAsia" w:ascii="宋体" w:hAnsi="宋体"/>
                <w:szCs w:val="21"/>
              </w:rPr>
            </w:pPr>
            <w:r>
              <w:rPr>
                <w:rFonts w:hint="eastAsia" w:ascii="宋体" w:hAnsi="宋体"/>
                <w:szCs w:val="21"/>
              </w:rPr>
              <w:t>满分分值</w:t>
            </w:r>
          </w:p>
        </w:tc>
        <w:tc>
          <w:tcPr>
            <w:tcW w:w="6662" w:type="dxa"/>
            <w:tcBorders>
              <w:top w:val="single" w:color="auto" w:sz="4" w:space="0"/>
              <w:left w:val="single" w:color="auto" w:sz="4" w:space="0"/>
              <w:bottom w:val="single" w:color="auto" w:sz="4" w:space="0"/>
              <w:right w:val="single" w:color="auto" w:sz="4" w:space="0"/>
            </w:tcBorders>
            <w:noWrap/>
            <w:vAlign w:val="center"/>
          </w:tcPr>
          <w:p w14:paraId="019B098A">
            <w:pPr>
              <w:jc w:val="center"/>
              <w:rPr>
                <w:rFonts w:hint="eastAsia" w:ascii="宋体" w:hAnsi="宋体"/>
                <w:szCs w:val="21"/>
              </w:rPr>
            </w:pPr>
            <w:r>
              <w:rPr>
                <w:rFonts w:hint="eastAsia" w:ascii="宋体" w:hAnsi="宋体"/>
                <w:szCs w:val="21"/>
              </w:rPr>
              <w:t>说明</w:t>
            </w:r>
          </w:p>
        </w:tc>
      </w:tr>
      <w:tr w14:paraId="240B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25B5172">
            <w:pPr>
              <w:jc w:val="center"/>
              <w:rPr>
                <w:rFonts w:hint="eastAsia" w:ascii="宋体" w:hAnsi="宋体"/>
                <w:szCs w:val="21"/>
              </w:rPr>
            </w:pPr>
            <w:r>
              <w:rPr>
                <w:rFonts w:hint="eastAsia" w:ascii="宋体" w:hAnsi="宋体"/>
                <w:szCs w:val="21"/>
              </w:rPr>
              <w:t>价格</w:t>
            </w:r>
          </w:p>
        </w:tc>
        <w:tc>
          <w:tcPr>
            <w:tcW w:w="1560" w:type="dxa"/>
            <w:tcBorders>
              <w:top w:val="single" w:color="auto" w:sz="4" w:space="0"/>
              <w:left w:val="single" w:color="auto" w:sz="4" w:space="0"/>
              <w:right w:val="single" w:color="auto" w:sz="4" w:space="0"/>
            </w:tcBorders>
            <w:noWrap/>
            <w:vAlign w:val="center"/>
          </w:tcPr>
          <w:p w14:paraId="518C9EC4">
            <w:pPr>
              <w:jc w:val="center"/>
              <w:rPr>
                <w:rFonts w:hint="eastAsia" w:ascii="宋体" w:hAnsi="宋体"/>
                <w:szCs w:val="21"/>
              </w:rPr>
            </w:pPr>
            <w:r>
              <w:rPr>
                <w:rFonts w:hint="eastAsia" w:ascii="宋体" w:hAnsi="宋体"/>
                <w:szCs w:val="21"/>
              </w:rPr>
              <w:t>投标报价</w:t>
            </w:r>
          </w:p>
        </w:tc>
        <w:tc>
          <w:tcPr>
            <w:tcW w:w="850" w:type="dxa"/>
            <w:tcBorders>
              <w:top w:val="single" w:color="auto" w:sz="4" w:space="0"/>
              <w:left w:val="single" w:color="auto" w:sz="4" w:space="0"/>
              <w:right w:val="single" w:color="auto" w:sz="4" w:space="0"/>
            </w:tcBorders>
            <w:noWrap/>
            <w:vAlign w:val="center"/>
          </w:tcPr>
          <w:p w14:paraId="650A3B41">
            <w:pPr>
              <w:jc w:val="center"/>
              <w:rPr>
                <w:rFonts w:hint="eastAsia" w:ascii="宋体" w:hAnsi="宋体"/>
                <w:szCs w:val="21"/>
              </w:rPr>
            </w:pPr>
            <w:r>
              <w:rPr>
                <w:rFonts w:hint="eastAsia" w:ascii="宋体" w:hAnsi="宋体"/>
                <w:szCs w:val="21"/>
              </w:rPr>
              <w:t>20</w:t>
            </w:r>
          </w:p>
        </w:tc>
        <w:tc>
          <w:tcPr>
            <w:tcW w:w="6662" w:type="dxa"/>
            <w:tcBorders>
              <w:top w:val="single" w:color="auto" w:sz="4" w:space="0"/>
              <w:left w:val="single" w:color="auto" w:sz="4" w:space="0"/>
              <w:bottom w:val="single" w:color="auto" w:sz="4" w:space="0"/>
              <w:right w:val="single" w:color="auto" w:sz="4" w:space="0"/>
            </w:tcBorders>
            <w:noWrap/>
            <w:vAlign w:val="center"/>
          </w:tcPr>
          <w:p w14:paraId="010A8B8F">
            <w:pPr>
              <w:jc w:val="left"/>
              <w:rPr>
                <w:rFonts w:hint="eastAsia" w:ascii="宋体" w:hAnsi="宋体"/>
                <w:szCs w:val="21"/>
              </w:rPr>
            </w:pPr>
            <w:r>
              <w:rPr>
                <w:rFonts w:hint="eastAsia" w:ascii="宋体" w:hAnsi="宋体"/>
                <w:szCs w:val="21"/>
              </w:rPr>
              <w:t>磋商报价得分=（磋商基准价/最后磋商报价）×20</w:t>
            </w:r>
          </w:p>
          <w:p w14:paraId="48713686">
            <w:pPr>
              <w:jc w:val="left"/>
              <w:rPr>
                <w:rFonts w:hint="eastAsia" w:ascii="宋体" w:hAnsi="宋体"/>
                <w:szCs w:val="21"/>
              </w:rPr>
            </w:pPr>
            <w:r>
              <w:rPr>
                <w:rFonts w:hint="eastAsia" w:ascii="宋体" w:hAnsi="宋体"/>
                <w:szCs w:val="21"/>
              </w:rPr>
              <w:t>1、磋商基准价为满足采购文件要求且最后磋商报价最低的报价。</w:t>
            </w:r>
          </w:p>
          <w:p w14:paraId="19664A76">
            <w:pPr>
              <w:jc w:val="left"/>
              <w:rPr>
                <w:rFonts w:hint="eastAsia" w:ascii="宋体" w:hAnsi="宋体"/>
                <w:szCs w:val="21"/>
              </w:rPr>
            </w:pPr>
            <w:r>
              <w:rPr>
                <w:rFonts w:hint="eastAsia" w:ascii="宋体" w:hAnsi="宋体"/>
                <w:szCs w:val="21"/>
              </w:rPr>
              <w:t>2、最后磋商报价为最终报价表中的合计报价。</w:t>
            </w:r>
          </w:p>
        </w:tc>
      </w:tr>
      <w:tr w14:paraId="631C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restart"/>
            <w:tcBorders>
              <w:top w:val="single" w:color="auto" w:sz="4" w:space="0"/>
              <w:left w:val="single" w:color="auto" w:sz="4" w:space="0"/>
              <w:right w:val="single" w:color="auto" w:sz="4" w:space="0"/>
            </w:tcBorders>
            <w:noWrap/>
            <w:vAlign w:val="center"/>
          </w:tcPr>
          <w:p w14:paraId="49E3B79A">
            <w:pPr>
              <w:spacing w:line="360" w:lineRule="auto"/>
              <w:jc w:val="center"/>
              <w:rPr>
                <w:rFonts w:ascii="宋体" w:hAnsi="宋体"/>
                <w:szCs w:val="21"/>
              </w:rPr>
            </w:pPr>
            <w:r>
              <w:rPr>
                <w:rFonts w:hint="eastAsia" w:ascii="宋体" w:hAnsi="宋体"/>
                <w:szCs w:val="21"/>
              </w:rPr>
              <w:t>技术</w:t>
            </w:r>
          </w:p>
        </w:tc>
        <w:tc>
          <w:tcPr>
            <w:tcW w:w="1560" w:type="dxa"/>
            <w:tcBorders>
              <w:top w:val="single" w:color="auto" w:sz="4" w:space="0"/>
              <w:left w:val="single" w:color="auto" w:sz="4" w:space="0"/>
              <w:right w:val="single" w:color="auto" w:sz="4" w:space="0"/>
            </w:tcBorders>
            <w:noWrap/>
            <w:vAlign w:val="center"/>
          </w:tcPr>
          <w:p w14:paraId="464EC1A7">
            <w:pPr>
              <w:spacing w:line="360" w:lineRule="auto"/>
              <w:jc w:val="center"/>
              <w:rPr>
                <w:rFonts w:hint="eastAsia" w:ascii="宋体" w:hAnsi="宋体"/>
                <w:szCs w:val="21"/>
              </w:rPr>
            </w:pPr>
            <w:r>
              <w:rPr>
                <w:rFonts w:hint="eastAsia" w:ascii="宋体" w:hAnsi="宋体"/>
                <w:szCs w:val="21"/>
              </w:rPr>
              <w:t>服务方案</w:t>
            </w:r>
          </w:p>
        </w:tc>
        <w:tc>
          <w:tcPr>
            <w:tcW w:w="850" w:type="dxa"/>
            <w:tcBorders>
              <w:top w:val="single" w:color="auto" w:sz="4" w:space="0"/>
              <w:left w:val="single" w:color="auto" w:sz="4" w:space="0"/>
              <w:right w:val="single" w:color="auto" w:sz="4" w:space="0"/>
            </w:tcBorders>
            <w:noWrap/>
            <w:vAlign w:val="center"/>
          </w:tcPr>
          <w:p w14:paraId="5B46AE59">
            <w:pPr>
              <w:spacing w:line="360" w:lineRule="auto"/>
              <w:jc w:val="center"/>
              <w:rPr>
                <w:rFonts w:ascii="宋体" w:hAnsi="宋体"/>
                <w:szCs w:val="21"/>
              </w:rPr>
            </w:pPr>
            <w:r>
              <w:rPr>
                <w:rFonts w:hint="eastAsia" w:ascii="宋体" w:hAnsi="宋体"/>
                <w:szCs w:val="21"/>
              </w:rPr>
              <w:t>30</w:t>
            </w:r>
          </w:p>
        </w:tc>
        <w:tc>
          <w:tcPr>
            <w:tcW w:w="6662" w:type="dxa"/>
            <w:tcBorders>
              <w:top w:val="single" w:color="auto" w:sz="4" w:space="0"/>
              <w:left w:val="single" w:color="auto" w:sz="4" w:space="0"/>
              <w:bottom w:val="single" w:color="auto" w:sz="4" w:space="0"/>
              <w:right w:val="single" w:color="auto" w:sz="4" w:space="0"/>
            </w:tcBorders>
            <w:noWrap/>
            <w:vAlign w:val="center"/>
          </w:tcPr>
          <w:p w14:paraId="1AB846FF">
            <w:pPr>
              <w:widowControl/>
              <w:snapToGrid w:val="0"/>
              <w:rPr>
                <w:rFonts w:hint="eastAsia" w:ascii="宋体" w:hAnsi="宋体" w:cs="宋体"/>
                <w:kern w:val="0"/>
              </w:rPr>
            </w:pPr>
            <w:r>
              <w:rPr>
                <w:rFonts w:hint="eastAsia" w:ascii="宋体" w:hAnsi="宋体" w:cs="宋体"/>
                <w:kern w:val="0"/>
              </w:rPr>
              <w:t>1、项目整体服务方案内容科学全面、部署明确合理，可行性强，针对性强，工作方法得当，对项目需求响应全面，完全能够保障项目实施（得30分）；</w:t>
            </w:r>
          </w:p>
          <w:p w14:paraId="286E9D5B">
            <w:pPr>
              <w:widowControl/>
              <w:snapToGrid w:val="0"/>
              <w:rPr>
                <w:rFonts w:hint="eastAsia" w:ascii="宋体" w:hAnsi="宋体" w:cs="宋体"/>
                <w:kern w:val="0"/>
              </w:rPr>
            </w:pPr>
            <w:r>
              <w:rPr>
                <w:rFonts w:hint="eastAsia" w:ascii="宋体" w:hAnsi="宋体" w:cs="宋体"/>
                <w:kern w:val="0"/>
              </w:rPr>
              <w:t>2、项目整体服务方案内容具体、部署得当，对项目需求响应较全面，能够保障项目实施（得</w:t>
            </w:r>
            <w:r>
              <w:rPr>
                <w:rFonts w:hint="eastAsia" w:ascii="宋体" w:hAnsi="宋体" w:cs="宋体"/>
                <w:kern w:val="0"/>
                <w:lang w:val="en-US" w:eastAsia="zh-CN"/>
              </w:rPr>
              <w:t>20</w:t>
            </w:r>
            <w:r>
              <w:rPr>
                <w:rFonts w:hint="eastAsia" w:ascii="宋体" w:hAnsi="宋体" w:cs="宋体"/>
                <w:kern w:val="0"/>
              </w:rPr>
              <w:t>分）；</w:t>
            </w:r>
          </w:p>
          <w:p w14:paraId="47CAB5F2">
            <w:pPr>
              <w:widowControl/>
              <w:snapToGrid w:val="0"/>
              <w:rPr>
                <w:rFonts w:hint="eastAsia" w:ascii="宋体" w:hAnsi="宋体" w:cs="宋体"/>
                <w:kern w:val="0"/>
              </w:rPr>
            </w:pPr>
            <w:r>
              <w:rPr>
                <w:rFonts w:hint="eastAsia" w:ascii="宋体" w:hAnsi="宋体" w:cs="宋体"/>
                <w:kern w:val="0"/>
              </w:rPr>
              <w:t>3、项目整体服务方案内容较合理、部署较详细，有可行性，对项目需求响应不全面，基本能够保障项目实施（得</w:t>
            </w:r>
            <w:r>
              <w:rPr>
                <w:rFonts w:hint="eastAsia" w:ascii="宋体" w:hAnsi="宋体" w:cs="宋体"/>
                <w:kern w:val="0"/>
                <w:lang w:val="en-US" w:eastAsia="zh-CN"/>
              </w:rPr>
              <w:t>10</w:t>
            </w:r>
            <w:r>
              <w:rPr>
                <w:rFonts w:hint="eastAsia" w:ascii="宋体" w:hAnsi="宋体" w:cs="宋体"/>
                <w:kern w:val="0"/>
              </w:rPr>
              <w:t>分）；</w:t>
            </w:r>
          </w:p>
          <w:p w14:paraId="1D061A28">
            <w:pPr>
              <w:widowControl/>
              <w:snapToGrid w:val="0"/>
              <w:rPr>
                <w:rFonts w:hint="eastAsia" w:ascii="宋体" w:hAnsi="宋体" w:cs="宋体"/>
                <w:kern w:val="0"/>
              </w:rPr>
            </w:pPr>
            <w:r>
              <w:rPr>
                <w:rFonts w:hint="eastAsia" w:ascii="宋体" w:hAnsi="宋体" w:cs="宋体"/>
                <w:kern w:val="0"/>
              </w:rPr>
              <w:t>4、项目整体服务方案内容合理</w:t>
            </w:r>
            <w:r>
              <w:rPr>
                <w:rFonts w:hint="eastAsia" w:ascii="宋体" w:hAnsi="宋体" w:cs="宋体"/>
                <w:kern w:val="0"/>
                <w:lang w:val="en-US" w:eastAsia="zh-CN"/>
              </w:rPr>
              <w:t>欠</w:t>
            </w:r>
            <w:r>
              <w:rPr>
                <w:rFonts w:hint="eastAsia" w:ascii="宋体" w:hAnsi="宋体" w:cs="宋体"/>
                <w:kern w:val="0"/>
              </w:rPr>
              <w:t>合理、欠完善，对项目需求响应不全面，无针对性，部分能够保障项目实施（得</w:t>
            </w:r>
            <w:r>
              <w:rPr>
                <w:rFonts w:hint="eastAsia" w:ascii="宋体" w:hAnsi="宋体" w:cs="宋体"/>
                <w:kern w:val="0"/>
                <w:lang w:val="en-US" w:eastAsia="zh-CN"/>
              </w:rPr>
              <w:t>1</w:t>
            </w:r>
            <w:r>
              <w:rPr>
                <w:rFonts w:hint="eastAsia" w:ascii="宋体" w:hAnsi="宋体" w:cs="宋体"/>
                <w:kern w:val="0"/>
              </w:rPr>
              <w:t>分）；</w:t>
            </w:r>
          </w:p>
          <w:p w14:paraId="496354D0">
            <w:pPr>
              <w:widowControl/>
              <w:snapToGrid w:val="0"/>
              <w:rPr>
                <w:rFonts w:hint="default" w:ascii="宋体" w:hAnsi="宋体" w:eastAsia="宋体" w:cs="宋体"/>
                <w:kern w:val="0"/>
                <w:lang w:val="en-US" w:eastAsia="zh-CN"/>
              </w:rPr>
            </w:pPr>
            <w:r>
              <w:rPr>
                <w:rFonts w:hint="eastAsia" w:ascii="宋体" w:hAnsi="宋体" w:cs="宋体"/>
                <w:kern w:val="0"/>
              </w:rPr>
              <w:t>5、</w:t>
            </w:r>
            <w:r>
              <w:rPr>
                <w:rFonts w:hint="eastAsia" w:ascii="宋体" w:hAnsi="宋体" w:cs="宋体"/>
                <w:kern w:val="0"/>
                <w:lang w:val="en-US" w:eastAsia="zh-CN"/>
              </w:rPr>
              <w:t>未提供服务方案。（得0分）</w:t>
            </w:r>
          </w:p>
        </w:tc>
      </w:tr>
      <w:tr w14:paraId="2619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709" w:type="dxa"/>
            <w:vMerge w:val="continue"/>
            <w:tcBorders>
              <w:left w:val="single" w:color="auto" w:sz="4" w:space="0"/>
              <w:right w:val="single" w:color="auto" w:sz="4" w:space="0"/>
            </w:tcBorders>
            <w:noWrap/>
            <w:vAlign w:val="center"/>
          </w:tcPr>
          <w:p w14:paraId="10BDA333">
            <w:pPr>
              <w:spacing w:line="360" w:lineRule="auto"/>
              <w:jc w:val="center"/>
              <w:rPr>
                <w:rFonts w:ascii="宋体" w:hAnsi="宋体"/>
                <w:szCs w:val="21"/>
              </w:rPr>
            </w:pPr>
          </w:p>
        </w:tc>
        <w:tc>
          <w:tcPr>
            <w:tcW w:w="1560" w:type="dxa"/>
            <w:tcBorders>
              <w:top w:val="single" w:color="auto" w:sz="4" w:space="0"/>
              <w:left w:val="single" w:color="auto" w:sz="4" w:space="0"/>
              <w:right w:val="single" w:color="auto" w:sz="4" w:space="0"/>
            </w:tcBorders>
            <w:noWrap/>
            <w:vAlign w:val="center"/>
          </w:tcPr>
          <w:p w14:paraId="3A9A44F8">
            <w:pPr>
              <w:jc w:val="center"/>
              <w:rPr>
                <w:rFonts w:hint="eastAsia" w:ascii="宋体" w:hAnsi="宋体"/>
                <w:szCs w:val="21"/>
              </w:rPr>
            </w:pPr>
            <w:r>
              <w:rPr>
                <w:rFonts w:hint="eastAsia" w:ascii="宋体" w:hAnsi="宋体"/>
                <w:szCs w:val="21"/>
              </w:rPr>
              <w:t>实施方案</w:t>
            </w:r>
          </w:p>
        </w:tc>
        <w:tc>
          <w:tcPr>
            <w:tcW w:w="850" w:type="dxa"/>
            <w:tcBorders>
              <w:top w:val="single" w:color="auto" w:sz="4" w:space="0"/>
              <w:left w:val="single" w:color="auto" w:sz="4" w:space="0"/>
              <w:right w:val="single" w:color="auto" w:sz="4" w:space="0"/>
            </w:tcBorders>
            <w:noWrap/>
            <w:vAlign w:val="center"/>
          </w:tcPr>
          <w:p w14:paraId="34B6BCC6">
            <w:pPr>
              <w:jc w:val="center"/>
              <w:rPr>
                <w:rFonts w:ascii="宋体" w:hAnsi="宋体"/>
                <w:szCs w:val="21"/>
              </w:rPr>
            </w:pPr>
            <w:r>
              <w:rPr>
                <w:rFonts w:hint="eastAsia" w:ascii="宋体" w:hAnsi="宋体"/>
                <w:szCs w:val="21"/>
              </w:rPr>
              <w:t>15</w:t>
            </w:r>
          </w:p>
        </w:tc>
        <w:tc>
          <w:tcPr>
            <w:tcW w:w="6662" w:type="dxa"/>
            <w:tcBorders>
              <w:top w:val="single" w:color="auto" w:sz="4" w:space="0"/>
              <w:left w:val="single" w:color="auto" w:sz="4" w:space="0"/>
              <w:bottom w:val="single" w:color="auto" w:sz="4" w:space="0"/>
              <w:right w:val="single" w:color="auto" w:sz="4" w:space="0"/>
            </w:tcBorders>
            <w:noWrap/>
            <w:vAlign w:val="center"/>
          </w:tcPr>
          <w:p w14:paraId="1CDE2B92">
            <w:pPr>
              <w:rPr>
                <w:rFonts w:hint="eastAsia" w:ascii="宋体" w:hAnsi="宋体" w:cs="宋体"/>
              </w:rPr>
            </w:pPr>
            <w:r>
              <w:rPr>
                <w:rFonts w:hint="eastAsia" w:ascii="宋体" w:hAnsi="宋体" w:cs="宋体"/>
              </w:rPr>
              <w:t>1、供应商实施服务方案十分详尽、准确，对于本</w:t>
            </w:r>
            <w:bookmarkStart w:id="0" w:name="_GoBack"/>
            <w:bookmarkEnd w:id="0"/>
            <w:r>
              <w:rPr>
                <w:rFonts w:hint="eastAsia" w:ascii="宋体" w:hAnsi="宋体" w:cs="宋体"/>
              </w:rPr>
              <w:t>项目需求具有针对性，方案内容十分完整并且清晰无遗漏，能够充分满足采购人的采购需求，（得15分）；</w:t>
            </w:r>
          </w:p>
          <w:p w14:paraId="3C30DDED">
            <w:pPr>
              <w:rPr>
                <w:rFonts w:hint="eastAsia" w:ascii="宋体" w:hAnsi="宋体" w:cs="宋体"/>
              </w:rPr>
            </w:pPr>
            <w:r>
              <w:rPr>
                <w:rFonts w:hint="eastAsia" w:ascii="宋体" w:hAnsi="宋体" w:cs="宋体"/>
              </w:rPr>
              <w:t>2、供应商实施服务方案基本详细、实施服务系统完整，实施服务团队人员完善，基本满足采购人的采购需求（得10分）；</w:t>
            </w:r>
          </w:p>
          <w:p w14:paraId="1F867F49">
            <w:pPr>
              <w:rPr>
                <w:rFonts w:hint="eastAsia" w:ascii="宋体" w:hAnsi="宋体" w:cs="宋体"/>
              </w:rPr>
            </w:pPr>
            <w:r>
              <w:rPr>
                <w:rFonts w:hint="eastAsia" w:ascii="宋体" w:hAnsi="宋体" w:cs="宋体"/>
              </w:rPr>
              <w:t>3、供应商实施服务方案比较详细、实施服务系统较完善，实施服务团队人员较完善，勉强满足采购人的采购需求（得5分）；</w:t>
            </w:r>
          </w:p>
          <w:p w14:paraId="4AD77507">
            <w:pPr>
              <w:rPr>
                <w:rFonts w:hint="eastAsia" w:ascii="宋体" w:hAnsi="宋体" w:cs="宋体"/>
              </w:rPr>
            </w:pPr>
            <w:r>
              <w:rPr>
                <w:rFonts w:hint="eastAsia" w:ascii="宋体" w:hAnsi="宋体" w:cs="宋体"/>
              </w:rPr>
              <w:t>4、供应商实施服务方案内容较差，缺少实施服务团队人员，不能满足采购人的采购需求（得1分）；</w:t>
            </w:r>
          </w:p>
          <w:p w14:paraId="3E2E684E">
            <w:pPr>
              <w:rPr>
                <w:rFonts w:hint="eastAsia" w:ascii="宋体" w:hAnsi="宋体"/>
                <w:szCs w:val="21"/>
              </w:rPr>
            </w:pPr>
            <w:r>
              <w:rPr>
                <w:rFonts w:hint="eastAsia" w:ascii="宋体" w:hAnsi="宋体" w:cs="宋体"/>
              </w:rPr>
              <w:t>5、未提供实施方案（得0分）。</w:t>
            </w:r>
          </w:p>
        </w:tc>
      </w:tr>
      <w:tr w14:paraId="670B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709" w:type="dxa"/>
            <w:vMerge w:val="continue"/>
            <w:tcBorders>
              <w:left w:val="single" w:color="auto" w:sz="4" w:space="0"/>
              <w:right w:val="single" w:color="auto" w:sz="4" w:space="0"/>
            </w:tcBorders>
            <w:noWrap/>
            <w:vAlign w:val="center"/>
          </w:tcPr>
          <w:p w14:paraId="462ED77E">
            <w:pPr>
              <w:spacing w:line="360" w:lineRule="auto"/>
              <w:jc w:val="center"/>
              <w:rPr>
                <w:rFonts w:ascii="宋体" w:hAnsi="宋体"/>
                <w:szCs w:val="21"/>
              </w:rPr>
            </w:pPr>
          </w:p>
        </w:tc>
        <w:tc>
          <w:tcPr>
            <w:tcW w:w="1560" w:type="dxa"/>
            <w:tcBorders>
              <w:top w:val="single" w:color="auto" w:sz="4" w:space="0"/>
              <w:left w:val="single" w:color="auto" w:sz="4" w:space="0"/>
              <w:right w:val="single" w:color="auto" w:sz="4" w:space="0"/>
            </w:tcBorders>
            <w:noWrap/>
            <w:vAlign w:val="center"/>
          </w:tcPr>
          <w:p w14:paraId="0C6306C9">
            <w:pPr>
              <w:spacing w:line="360" w:lineRule="auto"/>
              <w:jc w:val="center"/>
              <w:rPr>
                <w:rFonts w:ascii="宋体" w:hAnsi="宋体"/>
                <w:szCs w:val="21"/>
              </w:rPr>
            </w:pPr>
            <w:r>
              <w:rPr>
                <w:rFonts w:hint="eastAsia" w:ascii="宋体" w:hAnsi="宋体" w:cs="宋体"/>
                <w:kern w:val="0"/>
              </w:rPr>
              <w:t>应急保障及安全保障措施</w:t>
            </w:r>
          </w:p>
        </w:tc>
        <w:tc>
          <w:tcPr>
            <w:tcW w:w="850" w:type="dxa"/>
            <w:tcBorders>
              <w:top w:val="single" w:color="auto" w:sz="4" w:space="0"/>
              <w:left w:val="single" w:color="auto" w:sz="4" w:space="0"/>
              <w:right w:val="single" w:color="auto" w:sz="4" w:space="0"/>
            </w:tcBorders>
            <w:noWrap/>
            <w:vAlign w:val="center"/>
          </w:tcPr>
          <w:p w14:paraId="215E301C">
            <w:pPr>
              <w:spacing w:line="360" w:lineRule="auto"/>
              <w:jc w:val="center"/>
              <w:rPr>
                <w:rFonts w:ascii="宋体" w:hAnsi="宋体"/>
                <w:szCs w:val="21"/>
              </w:rPr>
            </w:pPr>
            <w:r>
              <w:rPr>
                <w:rFonts w:hint="eastAsia" w:ascii="宋体" w:hAnsi="宋体"/>
                <w:szCs w:val="21"/>
              </w:rPr>
              <w:t>15</w:t>
            </w:r>
          </w:p>
        </w:tc>
        <w:tc>
          <w:tcPr>
            <w:tcW w:w="6662" w:type="dxa"/>
            <w:tcBorders>
              <w:top w:val="single" w:color="auto" w:sz="4" w:space="0"/>
              <w:left w:val="single" w:color="auto" w:sz="4" w:space="0"/>
              <w:bottom w:val="single" w:color="auto" w:sz="4" w:space="0"/>
              <w:right w:val="single" w:color="auto" w:sz="4" w:space="0"/>
            </w:tcBorders>
            <w:noWrap/>
            <w:vAlign w:val="center"/>
          </w:tcPr>
          <w:p w14:paraId="7FFD4481">
            <w:pPr>
              <w:widowControl/>
              <w:numPr>
                <w:ilvl w:val="0"/>
                <w:numId w:val="1"/>
              </w:numPr>
              <w:snapToGrid w:val="0"/>
              <w:rPr>
                <w:rFonts w:hint="eastAsia" w:ascii="宋体" w:hAnsi="宋体" w:cs="宋体"/>
                <w:kern w:val="0"/>
              </w:rPr>
            </w:pPr>
            <w:r>
              <w:rPr>
                <w:rFonts w:hint="eastAsia" w:ascii="宋体" w:hAnsi="宋体" w:cs="宋体"/>
                <w:kern w:val="0"/>
              </w:rPr>
              <w:t>各种突发事件应急流程及措施合理规范，应急管理制度科学完善，针对性强（得15分）；</w:t>
            </w:r>
          </w:p>
          <w:p w14:paraId="5C39D3E4">
            <w:pPr>
              <w:widowControl/>
              <w:numPr>
                <w:ilvl w:val="0"/>
                <w:numId w:val="1"/>
              </w:numPr>
              <w:snapToGrid w:val="0"/>
              <w:rPr>
                <w:rFonts w:hint="eastAsia" w:ascii="宋体" w:hAnsi="宋体" w:cs="宋体"/>
                <w:kern w:val="0"/>
              </w:rPr>
            </w:pPr>
            <w:r>
              <w:rPr>
                <w:rFonts w:hint="eastAsia" w:ascii="宋体" w:hAnsi="宋体" w:cs="宋体"/>
                <w:kern w:val="0"/>
              </w:rPr>
              <w:t>各种突发事件应急流程、措施、管理制度内容基本完善，无针对性（得10分）；</w:t>
            </w:r>
          </w:p>
          <w:p w14:paraId="45F5C56E">
            <w:pPr>
              <w:widowControl/>
              <w:snapToGrid w:val="0"/>
              <w:rPr>
                <w:rFonts w:hint="eastAsia" w:ascii="宋体" w:hAnsi="宋体" w:cs="宋体"/>
                <w:kern w:val="0"/>
              </w:rPr>
            </w:pPr>
            <w:r>
              <w:rPr>
                <w:rFonts w:hint="eastAsia" w:ascii="宋体" w:hAnsi="宋体" w:cs="宋体"/>
                <w:kern w:val="0"/>
              </w:rPr>
              <w:t>3、各种突发事件应急流程、措施、管理制度内容较完善，无针对性（得5分）；</w:t>
            </w:r>
          </w:p>
          <w:p w14:paraId="7894EBA0">
            <w:pPr>
              <w:widowControl/>
              <w:snapToGrid w:val="0"/>
              <w:rPr>
                <w:rFonts w:hint="eastAsia" w:ascii="宋体" w:hAnsi="宋体" w:cs="宋体"/>
                <w:kern w:val="0"/>
              </w:rPr>
            </w:pPr>
            <w:r>
              <w:rPr>
                <w:rFonts w:hint="eastAsia" w:ascii="宋体" w:hAnsi="宋体" w:cs="宋体"/>
                <w:kern w:val="0"/>
              </w:rPr>
              <w:t>4、各种突发事件应急流程、措施、管理制度内容不完善，有欠缺（得1分）；</w:t>
            </w:r>
          </w:p>
          <w:p w14:paraId="2D747035">
            <w:pPr>
              <w:widowControl/>
              <w:snapToGrid w:val="0"/>
              <w:rPr>
                <w:rFonts w:hint="eastAsia" w:ascii="宋体" w:hAnsi="宋体" w:cs="宋体"/>
                <w:kern w:val="0"/>
              </w:rPr>
            </w:pPr>
            <w:r>
              <w:rPr>
                <w:rFonts w:hint="eastAsia" w:ascii="宋体" w:hAnsi="宋体" w:cs="宋体"/>
                <w:kern w:val="0"/>
              </w:rPr>
              <w:t>5、未提供应急保障及安全保障措施（得0分）。</w:t>
            </w:r>
          </w:p>
        </w:tc>
      </w:tr>
      <w:tr w14:paraId="230D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continue"/>
            <w:tcBorders>
              <w:left w:val="single" w:color="auto" w:sz="4" w:space="0"/>
              <w:bottom w:val="single" w:color="auto" w:sz="4" w:space="0"/>
              <w:right w:val="single" w:color="auto" w:sz="4" w:space="0"/>
            </w:tcBorders>
            <w:noWrap w:val="0"/>
            <w:vAlign w:val="center"/>
          </w:tcPr>
          <w:p w14:paraId="6C984CCB">
            <w:pPr>
              <w:widowControl/>
              <w:spacing w:line="360" w:lineRule="auto"/>
              <w:jc w:val="left"/>
              <w:rPr>
                <w:rFonts w:ascii="宋体" w:hAnsi="宋体"/>
                <w:szCs w:val="21"/>
              </w:rPr>
            </w:pPr>
          </w:p>
        </w:tc>
        <w:tc>
          <w:tcPr>
            <w:tcW w:w="1560" w:type="dxa"/>
            <w:tcBorders>
              <w:top w:val="single" w:color="auto" w:sz="4" w:space="0"/>
              <w:left w:val="single" w:color="auto" w:sz="4" w:space="0"/>
              <w:right w:val="single" w:color="auto" w:sz="4" w:space="0"/>
            </w:tcBorders>
            <w:noWrap/>
            <w:vAlign w:val="center"/>
          </w:tcPr>
          <w:p w14:paraId="6C6FE578">
            <w:pPr>
              <w:jc w:val="center"/>
              <w:rPr>
                <w:rFonts w:hint="eastAsia" w:ascii="宋体" w:hAnsi="宋体"/>
                <w:szCs w:val="21"/>
              </w:rPr>
            </w:pPr>
            <w:r>
              <w:rPr>
                <w:rFonts w:hint="eastAsia"/>
                <w:szCs w:val="21"/>
              </w:rPr>
              <w:t>售后服务保障</w:t>
            </w:r>
          </w:p>
        </w:tc>
        <w:tc>
          <w:tcPr>
            <w:tcW w:w="850" w:type="dxa"/>
            <w:tcBorders>
              <w:top w:val="single" w:color="auto" w:sz="4" w:space="0"/>
              <w:left w:val="single" w:color="auto" w:sz="4" w:space="0"/>
              <w:right w:val="single" w:color="auto" w:sz="4" w:space="0"/>
            </w:tcBorders>
            <w:noWrap/>
            <w:vAlign w:val="center"/>
          </w:tcPr>
          <w:p w14:paraId="10AF557D">
            <w:pPr>
              <w:jc w:val="center"/>
              <w:rPr>
                <w:rFonts w:ascii="宋体" w:hAnsi="宋体"/>
                <w:szCs w:val="21"/>
              </w:rPr>
            </w:pPr>
            <w:r>
              <w:rPr>
                <w:rFonts w:hint="eastAsia" w:ascii="宋体" w:hAnsi="宋体"/>
                <w:szCs w:val="21"/>
              </w:rPr>
              <w:t>15</w:t>
            </w:r>
          </w:p>
        </w:tc>
        <w:tc>
          <w:tcPr>
            <w:tcW w:w="6662" w:type="dxa"/>
            <w:tcBorders>
              <w:top w:val="single" w:color="auto" w:sz="4" w:space="0"/>
              <w:left w:val="single" w:color="auto" w:sz="4" w:space="0"/>
              <w:bottom w:val="single" w:color="auto" w:sz="4" w:space="0"/>
              <w:right w:val="single" w:color="auto" w:sz="4" w:space="0"/>
            </w:tcBorders>
            <w:noWrap/>
            <w:vAlign w:val="center"/>
          </w:tcPr>
          <w:p w14:paraId="4829A9A2">
            <w:pPr>
              <w:numPr>
                <w:ilvl w:val="0"/>
                <w:numId w:val="2"/>
              </w:numPr>
              <w:adjustRightInd w:val="0"/>
              <w:snapToGrid w:val="0"/>
              <w:rPr>
                <w:rFonts w:hint="eastAsia" w:ascii="宋体" w:hAnsi="宋体"/>
                <w:szCs w:val="21"/>
              </w:rPr>
            </w:pPr>
            <w:r>
              <w:rPr>
                <w:rFonts w:hint="eastAsia" w:ascii="宋体" w:hAnsi="宋体"/>
                <w:szCs w:val="21"/>
              </w:rPr>
              <w:t>供应商售后服务保障内容科学、合理、售后服务系统完善、针对性强，综合实力强大，能够充分满足采购人的需求(得15分)；</w:t>
            </w:r>
          </w:p>
          <w:p w14:paraId="2B785BFB">
            <w:pPr>
              <w:numPr>
                <w:ilvl w:val="0"/>
                <w:numId w:val="2"/>
              </w:numPr>
              <w:adjustRightInd w:val="0"/>
              <w:snapToGrid w:val="0"/>
              <w:rPr>
                <w:rFonts w:hint="eastAsia" w:ascii="宋体" w:hAnsi="宋体"/>
                <w:szCs w:val="21"/>
              </w:rPr>
            </w:pPr>
            <w:r>
              <w:rPr>
                <w:rFonts w:hint="eastAsia" w:ascii="宋体" w:hAnsi="宋体"/>
                <w:szCs w:val="21"/>
              </w:rPr>
              <w:t>供应商售后服务保障内容比较科学、合理、售后服务系统基本完善、针对性强，综合实力较为强大，能够满足采购人的需求(</w:t>
            </w:r>
            <w:r>
              <w:rPr>
                <w:rFonts w:hint="eastAsia" w:ascii="宋体" w:hAnsi="宋体" w:cs="宋体"/>
                <w:szCs w:val="21"/>
              </w:rPr>
              <w:t>得</w:t>
            </w:r>
            <w:r>
              <w:rPr>
                <w:rFonts w:hint="eastAsia" w:ascii="宋体" w:hAnsi="宋体"/>
                <w:szCs w:val="21"/>
              </w:rPr>
              <w:t>10</w:t>
            </w:r>
            <w:r>
              <w:rPr>
                <w:rFonts w:hint="eastAsia" w:ascii="宋体" w:hAnsi="宋体" w:cs="宋体"/>
                <w:szCs w:val="21"/>
              </w:rPr>
              <w:t>分</w:t>
            </w:r>
            <w:r>
              <w:rPr>
                <w:rFonts w:hint="eastAsia" w:ascii="宋体" w:hAnsi="宋体"/>
                <w:szCs w:val="21"/>
              </w:rPr>
              <w:t>)；</w:t>
            </w:r>
          </w:p>
          <w:p w14:paraId="5004818E">
            <w:pPr>
              <w:adjustRightInd w:val="0"/>
              <w:snapToGrid w:val="0"/>
              <w:rPr>
                <w:rFonts w:hint="eastAsia" w:ascii="宋体" w:hAnsi="宋体"/>
                <w:szCs w:val="21"/>
              </w:rPr>
            </w:pPr>
            <w:r>
              <w:rPr>
                <w:rFonts w:hint="eastAsia" w:ascii="宋体" w:hAnsi="宋体"/>
                <w:szCs w:val="21"/>
              </w:rPr>
              <w:t>3、供应商售后服务保障内容比较科学、合理、售后服务系统完善、针对性较强，综合实力较为强大，能够满足采购人的需求(</w:t>
            </w:r>
            <w:r>
              <w:rPr>
                <w:rFonts w:hint="eastAsia" w:ascii="宋体" w:hAnsi="宋体" w:cs="宋体"/>
                <w:szCs w:val="21"/>
              </w:rPr>
              <w:t>得</w:t>
            </w:r>
            <w:r>
              <w:rPr>
                <w:rFonts w:hint="eastAsia" w:ascii="宋体" w:hAnsi="宋体"/>
                <w:szCs w:val="21"/>
              </w:rPr>
              <w:t>5</w:t>
            </w:r>
            <w:r>
              <w:rPr>
                <w:rFonts w:hint="eastAsia" w:ascii="宋体" w:hAnsi="宋体" w:cs="宋体"/>
                <w:szCs w:val="21"/>
              </w:rPr>
              <w:t>分</w:t>
            </w:r>
            <w:r>
              <w:rPr>
                <w:rFonts w:hint="eastAsia" w:ascii="宋体" w:hAnsi="宋体"/>
                <w:szCs w:val="21"/>
              </w:rPr>
              <w:t>)；</w:t>
            </w:r>
          </w:p>
          <w:p w14:paraId="1F46A264">
            <w:pPr>
              <w:rPr>
                <w:rFonts w:hint="eastAsia" w:ascii="宋体" w:hAnsi="宋体"/>
                <w:szCs w:val="21"/>
              </w:rPr>
            </w:pPr>
            <w:r>
              <w:rPr>
                <w:rFonts w:hint="eastAsia" w:ascii="宋体" w:hAnsi="宋体"/>
                <w:szCs w:val="21"/>
              </w:rPr>
              <w:t>4、供应商售后服务保障内容一般(</w:t>
            </w:r>
            <w:r>
              <w:rPr>
                <w:rFonts w:hint="eastAsia" w:ascii="宋体" w:hAnsi="宋体" w:cs="宋体"/>
                <w:szCs w:val="21"/>
              </w:rPr>
              <w:t>得</w:t>
            </w:r>
            <w:r>
              <w:rPr>
                <w:rFonts w:hint="eastAsia" w:ascii="宋体" w:hAnsi="宋体"/>
                <w:szCs w:val="21"/>
              </w:rPr>
              <w:t>1</w:t>
            </w:r>
            <w:r>
              <w:rPr>
                <w:rFonts w:hint="eastAsia" w:ascii="宋体" w:hAnsi="宋体" w:cs="宋体"/>
                <w:szCs w:val="21"/>
              </w:rPr>
              <w:t>分</w:t>
            </w:r>
            <w:r>
              <w:rPr>
                <w:rFonts w:hint="eastAsia" w:ascii="宋体" w:hAnsi="宋体"/>
                <w:szCs w:val="21"/>
              </w:rPr>
              <w:t>)；</w:t>
            </w:r>
          </w:p>
          <w:p w14:paraId="5FC342F4">
            <w:pPr>
              <w:rPr>
                <w:rFonts w:hint="eastAsia" w:ascii="宋体" w:hAnsi="宋体"/>
                <w:szCs w:val="21"/>
              </w:rPr>
            </w:pPr>
            <w:r>
              <w:rPr>
                <w:rFonts w:hint="eastAsia" w:ascii="宋体" w:hAnsi="宋体"/>
                <w:szCs w:val="21"/>
              </w:rPr>
              <w:t>5、未提供</w:t>
            </w:r>
            <w:r>
              <w:rPr>
                <w:rFonts w:hint="eastAsia"/>
                <w:szCs w:val="21"/>
              </w:rPr>
              <w:t>售后服务保障（得0分）。</w:t>
            </w:r>
          </w:p>
        </w:tc>
      </w:tr>
      <w:tr w14:paraId="3C06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trPr>
        <w:tc>
          <w:tcPr>
            <w:tcW w:w="709" w:type="dxa"/>
            <w:tcBorders>
              <w:top w:val="single" w:color="auto" w:sz="4" w:space="0"/>
              <w:left w:val="single" w:color="auto" w:sz="4" w:space="0"/>
              <w:right w:val="single" w:color="auto" w:sz="4" w:space="0"/>
            </w:tcBorders>
            <w:noWrap/>
            <w:vAlign w:val="center"/>
          </w:tcPr>
          <w:p w14:paraId="6083DAA3">
            <w:pPr>
              <w:spacing w:line="360" w:lineRule="auto"/>
              <w:jc w:val="center"/>
              <w:rPr>
                <w:szCs w:val="21"/>
              </w:rPr>
            </w:pPr>
            <w:r>
              <w:rPr>
                <w:rFonts w:hint="eastAsia"/>
                <w:szCs w:val="21"/>
              </w:rPr>
              <w:t>商务</w:t>
            </w:r>
          </w:p>
        </w:tc>
        <w:tc>
          <w:tcPr>
            <w:tcW w:w="1560" w:type="dxa"/>
            <w:tcBorders>
              <w:top w:val="single" w:color="auto" w:sz="4" w:space="0"/>
              <w:left w:val="single" w:color="auto" w:sz="4" w:space="0"/>
              <w:right w:val="single" w:color="auto" w:sz="4" w:space="0"/>
            </w:tcBorders>
            <w:noWrap/>
            <w:vAlign w:val="center"/>
          </w:tcPr>
          <w:p w14:paraId="216476A9">
            <w:pPr>
              <w:spacing w:line="360" w:lineRule="auto"/>
              <w:jc w:val="center"/>
              <w:rPr>
                <w:rFonts w:hint="eastAsia"/>
                <w:szCs w:val="21"/>
              </w:rPr>
            </w:pPr>
            <w:r>
              <w:rPr>
                <w:rFonts w:hint="eastAsia"/>
                <w:szCs w:val="21"/>
              </w:rPr>
              <w:t>业绩</w:t>
            </w:r>
          </w:p>
        </w:tc>
        <w:tc>
          <w:tcPr>
            <w:tcW w:w="850" w:type="dxa"/>
            <w:tcBorders>
              <w:top w:val="single" w:color="auto" w:sz="4" w:space="0"/>
              <w:left w:val="single" w:color="auto" w:sz="4" w:space="0"/>
              <w:right w:val="single" w:color="auto" w:sz="4" w:space="0"/>
            </w:tcBorders>
            <w:noWrap/>
            <w:vAlign w:val="center"/>
          </w:tcPr>
          <w:p w14:paraId="1CC61392">
            <w:pPr>
              <w:spacing w:line="360" w:lineRule="auto"/>
              <w:jc w:val="center"/>
              <w:rPr>
                <w:rFonts w:ascii="宋体" w:hAnsi="宋体"/>
                <w:szCs w:val="21"/>
              </w:rPr>
            </w:pPr>
            <w:r>
              <w:rPr>
                <w:rFonts w:hint="eastAsia" w:ascii="宋体" w:hAnsi="宋体"/>
                <w:szCs w:val="21"/>
              </w:rPr>
              <w:t>5</w:t>
            </w:r>
          </w:p>
        </w:tc>
        <w:tc>
          <w:tcPr>
            <w:tcW w:w="6662" w:type="dxa"/>
            <w:tcBorders>
              <w:top w:val="single" w:color="auto" w:sz="4" w:space="0"/>
              <w:left w:val="single" w:color="auto" w:sz="4" w:space="0"/>
              <w:bottom w:val="single" w:color="auto" w:sz="4" w:space="0"/>
              <w:right w:val="single" w:color="auto" w:sz="4" w:space="0"/>
            </w:tcBorders>
            <w:noWrap/>
            <w:vAlign w:val="center"/>
          </w:tcPr>
          <w:p w14:paraId="09299F20">
            <w:pPr>
              <w:rPr>
                <w:rFonts w:hint="eastAsia" w:ascii="宋体" w:hAnsi="宋体" w:cs="宋体"/>
                <w:szCs w:val="21"/>
              </w:rPr>
            </w:pPr>
            <w:r>
              <w:rPr>
                <w:rFonts w:hint="eastAsia" w:ascii="宋体" w:hAnsi="宋体" w:cs="宋体"/>
                <w:szCs w:val="21"/>
              </w:rPr>
              <w:t>评审小组综合评定供应商近3年内的项目相关的业绩（2022年3月份至今，以合同签订时间为准），每提供一个得1分，满分5分。</w:t>
            </w:r>
          </w:p>
          <w:p w14:paraId="0411E30B">
            <w:pPr>
              <w:rPr>
                <w:rFonts w:hint="eastAsia" w:ascii="宋体" w:hAnsi="宋体" w:cs="宋体"/>
                <w:szCs w:val="21"/>
              </w:rPr>
            </w:pPr>
            <w:r>
              <w:rPr>
                <w:rFonts w:hint="eastAsia" w:ascii="宋体" w:hAnsi="宋体" w:cs="宋体"/>
                <w:szCs w:val="21"/>
              </w:rPr>
              <w:t>1、业绩证明材料须同时提供合同及验收证明的复印件，加盖供应商公章后附在响应文件中。</w:t>
            </w:r>
          </w:p>
          <w:p w14:paraId="6FE41B0F">
            <w:pPr>
              <w:rPr>
                <w:rFonts w:hint="eastAsia" w:ascii="宋体" w:hAnsi="宋体" w:cs="宋体"/>
                <w:szCs w:val="21"/>
              </w:rPr>
            </w:pPr>
            <w:r>
              <w:rPr>
                <w:rFonts w:hint="eastAsia" w:ascii="宋体" w:hAnsi="宋体" w:cs="宋体"/>
                <w:szCs w:val="21"/>
              </w:rPr>
              <w:t>注：①合同须至少包含签订合同双方的单位名称、合同项目名称、合同金额、签订双方的落款盖章、签订日期、合同清单。</w:t>
            </w:r>
          </w:p>
          <w:p w14:paraId="7A977651">
            <w:pPr>
              <w:rPr>
                <w:rFonts w:hint="eastAsia" w:ascii="宋体" w:hAnsi="宋体" w:cs="宋体"/>
                <w:szCs w:val="21"/>
              </w:rPr>
            </w:pPr>
            <w:r>
              <w:rPr>
                <w:rFonts w:hint="eastAsia" w:ascii="宋体" w:hAnsi="宋体" w:cs="宋体"/>
                <w:szCs w:val="21"/>
              </w:rPr>
              <w:t>②验收证明为验收报告或用户报告、或开具的项目全部完成验收合格后应付款项的全额发票。验收报告或用户报告须至少包含合同名称或合同编号、验收时间及用户盖章。</w:t>
            </w:r>
          </w:p>
          <w:p w14:paraId="43211B21">
            <w:pPr>
              <w:rPr>
                <w:rFonts w:hint="eastAsia" w:ascii="宋体" w:hAnsi="宋体" w:cs="宋体"/>
                <w:szCs w:val="21"/>
              </w:rPr>
            </w:pPr>
            <w:r>
              <w:rPr>
                <w:rFonts w:hint="eastAsia" w:ascii="宋体" w:hAnsi="宋体" w:cs="宋体"/>
                <w:szCs w:val="21"/>
              </w:rPr>
              <w:t>2、证明材料须清晰可辨，不得遮挡涂黑，否则不予认定加分。</w:t>
            </w:r>
          </w:p>
          <w:p w14:paraId="26FEF174">
            <w:pPr>
              <w:rPr>
                <w:rFonts w:hint="eastAsia" w:ascii="宋体" w:hAnsi="宋体" w:cs="宋体"/>
                <w:kern w:val="0"/>
              </w:rPr>
            </w:pPr>
            <w:r>
              <w:rPr>
                <w:rFonts w:hint="eastAsia" w:ascii="宋体" w:hAnsi="宋体" w:cs="宋体"/>
                <w:szCs w:val="21"/>
                <w:lang w:val="zh-CN"/>
              </w:rPr>
              <w:t>3、类似项目业绩指与本项目</w:t>
            </w:r>
            <w:r>
              <w:rPr>
                <w:rFonts w:hint="eastAsia" w:ascii="宋体" w:hAnsi="宋体" w:cs="宋体"/>
                <w:szCs w:val="21"/>
              </w:rPr>
              <w:t>采购</w:t>
            </w:r>
            <w:r>
              <w:rPr>
                <w:rFonts w:hint="eastAsia" w:ascii="宋体" w:hAnsi="宋体" w:cs="宋体"/>
                <w:szCs w:val="21"/>
                <w:lang w:val="zh-CN"/>
              </w:rPr>
              <w:t>内容相关的业绩，</w:t>
            </w:r>
            <w:r>
              <w:rPr>
                <w:rFonts w:hint="eastAsia" w:ascii="宋体" w:hAnsi="宋体" w:cs="宋体"/>
                <w:szCs w:val="21"/>
              </w:rPr>
              <w:t>否则不予认定加分</w:t>
            </w:r>
            <w:r>
              <w:rPr>
                <w:rFonts w:hint="eastAsia" w:ascii="宋体" w:hAnsi="宋体" w:cs="宋体"/>
                <w:szCs w:val="21"/>
                <w:lang w:val="zh-CN"/>
              </w:rPr>
              <w:t>。</w:t>
            </w:r>
          </w:p>
        </w:tc>
      </w:tr>
    </w:tbl>
    <w:p w14:paraId="3BEB2580">
      <w:pPr>
        <w:spacing w:line="360" w:lineRule="auto"/>
        <w:rPr>
          <w:rFonts w:hint="eastAsia" w:ascii="宋体" w:hAnsi="宋体"/>
          <w:szCs w:val="21"/>
        </w:rPr>
      </w:pPr>
      <w:r>
        <w:rPr>
          <w:rFonts w:hint="eastAsia" w:ascii="宋体" w:hAnsi="宋体"/>
          <w:szCs w:val="21"/>
        </w:rPr>
        <w:t>注：1、保留小数点后两位（按四舍五入原则）</w:t>
      </w:r>
    </w:p>
    <w:p w14:paraId="311008AF">
      <w:pPr>
        <w:spacing w:line="360" w:lineRule="auto"/>
        <w:ind w:firstLine="420" w:firstLineChars="200"/>
        <w:rPr>
          <w:rFonts w:hint="eastAsia" w:ascii="宋体" w:hAnsi="宋体"/>
          <w:szCs w:val="21"/>
        </w:rPr>
      </w:pPr>
      <w:r>
        <w:rPr>
          <w:rFonts w:hint="eastAsia" w:ascii="宋体" w:hAnsi="宋体"/>
          <w:szCs w:val="21"/>
        </w:rPr>
        <w:t>2、</w:t>
      </w:r>
      <w:r>
        <w:rPr>
          <w:rFonts w:hint="eastAsia"/>
          <w:szCs w:val="21"/>
        </w:rPr>
        <w:t>磋商小组应当根据综合评分情况，按照评审得分由高到低的顺</w:t>
      </w:r>
      <w:r>
        <w:rPr>
          <w:rFonts w:hint="eastAsia" w:ascii="宋体" w:hAnsi="宋体"/>
          <w:szCs w:val="21"/>
        </w:rPr>
        <w:t>序推荐</w:t>
      </w:r>
      <w:r>
        <w:rPr>
          <w:rFonts w:hint="eastAsia" w:ascii="宋体" w:hAnsi="宋体"/>
          <w:szCs w:val="21"/>
          <w:lang w:val="en-US" w:eastAsia="zh-CN"/>
        </w:rPr>
        <w:t>1</w:t>
      </w:r>
      <w:r>
        <w:rPr>
          <w:rFonts w:hint="eastAsia" w:ascii="宋体" w:hAnsi="宋体"/>
          <w:szCs w:val="21"/>
        </w:rPr>
        <w:t>名</w:t>
      </w:r>
      <w:r>
        <w:rPr>
          <w:rFonts w:hint="eastAsia"/>
          <w:szCs w:val="21"/>
        </w:rPr>
        <w:t>成交供应商。评审得分相同的，按照最后报价由低到高的顺序推荐。评审得分且最后报价相同的，按照技术指标优劣顺序推荐。</w:t>
      </w:r>
    </w:p>
    <w:p w14:paraId="0D4CE057">
      <w:pPr>
        <w:spacing w:line="360" w:lineRule="auto"/>
        <w:ind w:firstLine="420" w:firstLineChars="200"/>
        <w:rPr>
          <w:rFonts w:hint="eastAsia" w:ascii="宋体" w:hAnsi="宋体"/>
          <w:szCs w:val="21"/>
        </w:rPr>
      </w:pPr>
      <w:r>
        <w:rPr>
          <w:rFonts w:hint="eastAsia" w:ascii="宋体" w:hAnsi="宋体"/>
          <w:szCs w:val="21"/>
        </w:rPr>
        <w:t>3、供应商加分项相应产品响应报价之和以磋商小组复核结果为准。</w:t>
      </w:r>
    </w:p>
    <w:p w14:paraId="694B21AB">
      <w:pPr>
        <w:spacing w:line="360" w:lineRule="auto"/>
        <w:ind w:firstLine="420" w:firstLineChars="200"/>
        <w:rPr>
          <w:rFonts w:hint="eastAsia" w:ascii="宋体" w:hAnsi="宋体"/>
          <w:szCs w:val="21"/>
        </w:rPr>
      </w:pPr>
      <w:r>
        <w:rPr>
          <w:rFonts w:hint="eastAsia" w:ascii="宋体" w:hAnsi="宋体"/>
          <w:szCs w:val="21"/>
        </w:rPr>
        <w:t>4、供应商在报价时须提供与以上评分因素相关的材料。如果发现有弄虚作假的，将取消其资格。</w:t>
      </w:r>
    </w:p>
    <w:p w14:paraId="5FEAA86C">
      <w:pPr>
        <w:spacing w:line="360" w:lineRule="auto"/>
        <w:ind w:firstLine="420" w:firstLineChars="200"/>
        <w:rPr>
          <w:rFonts w:hint="eastAsia" w:ascii="宋体" w:hAnsi="宋体"/>
          <w:szCs w:val="21"/>
        </w:rPr>
      </w:pPr>
      <w:r>
        <w:rPr>
          <w:rFonts w:hint="eastAsia" w:ascii="宋体" w:hAnsi="宋体"/>
          <w:szCs w:val="21"/>
        </w:rPr>
        <w:t>5、保密要求</w:t>
      </w:r>
    </w:p>
    <w:p w14:paraId="49C89587">
      <w:pPr>
        <w:spacing w:line="360" w:lineRule="auto"/>
        <w:ind w:firstLine="420" w:firstLineChars="200"/>
        <w:rPr>
          <w:rFonts w:hint="eastAsia" w:ascii="宋体" w:hAnsi="宋体"/>
          <w:szCs w:val="21"/>
        </w:rPr>
      </w:pPr>
      <w:r>
        <w:rPr>
          <w:rFonts w:hint="eastAsia" w:ascii="宋体" w:hAnsi="宋体"/>
          <w:szCs w:val="21"/>
        </w:rPr>
        <w:t>从磋商时起到成交公告发布时止，有关采购文件的审查、澄清、评估和比较以及有关授予合同的意向的一切情况都不得透露给供应商或与上述评审工作无关的人员。</w:t>
      </w:r>
    </w:p>
    <w:p w14:paraId="2EEADFAA">
      <w:pPr>
        <w:spacing w:line="360" w:lineRule="auto"/>
        <w:rPr>
          <w:rFonts w:hint="eastAsia" w:ascii="宋体" w:hAnsi="宋体"/>
          <w:szCs w:val="21"/>
        </w:rPr>
      </w:pPr>
    </w:p>
    <w:p w14:paraId="665F4479">
      <w:pPr>
        <w:spacing w:line="360" w:lineRule="auto"/>
        <w:rPr>
          <w:rFonts w:hint="eastAsia" w:ascii="宋体" w:hAnsi="宋体"/>
          <w:szCs w:val="21"/>
        </w:rPr>
      </w:pPr>
    </w:p>
    <w:p w14:paraId="4914F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516B26"/>
    <w:multiLevelType w:val="singleLevel"/>
    <w:tmpl w:val="6F516B26"/>
    <w:lvl w:ilvl="0" w:tentative="0">
      <w:start w:val="1"/>
      <w:numFmt w:val="decimal"/>
      <w:suff w:val="nothing"/>
      <w:lvlText w:val="%1、"/>
      <w:lvlJc w:val="left"/>
    </w:lvl>
  </w:abstractNum>
  <w:abstractNum w:abstractNumId="1">
    <w:nsid w:val="7FFFC8FC"/>
    <w:multiLevelType w:val="singleLevel"/>
    <w:tmpl w:val="7FFFC8F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10247"/>
    <w:rsid w:val="23CB4823"/>
    <w:rsid w:val="48137F3D"/>
    <w:rsid w:val="4C3B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1577</Words>
  <Characters>1595</Characters>
  <Lines>0</Lines>
  <Paragraphs>0</Paragraphs>
  <TotalTime>28</TotalTime>
  <ScaleCrop>false</ScaleCrop>
  <LinksUpToDate>false</LinksUpToDate>
  <CharactersWithSpaces>1595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2026-01-20T00:45:00Z</dcterms:created>
  <dc:creator>Administrator</dc:creator>
  <cp:lastModifiedBy>Mira</cp:lastModifiedBy>
  <dcterms:modified xsi:type="dcterms:W3CDTF">2026-01-20T07:11:16Z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eyJoZGlkIjoiMGVjYWNkNDliMjIyNmQyMTVlOTc2YTE5OGRiODI4OGEiLCJ1c2VySWQiOiI0MzM5NTAwODQifQ==</vt:lpwstr>
  </property>
  <property fmtid="{D5CDD505-2E9C-101B-9397-08002B2CF9AE}" pid="4" name="ICV">
    <vt:lpwstr>BD2545FFB8974EC69CF53D87F0BDFA44_13</vt:lpwstr>
  </property>
</Properties>
</file>