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731739">
      <w:pPr>
        <w:spacing w:line="360" w:lineRule="auto"/>
        <w:ind w:right="-42"/>
        <w:jc w:val="center"/>
        <w:rPr>
          <w:rFonts w:hint="eastAsia" w:ascii="方正仿宋_GB2312" w:hAnsi="方正仿宋_GB2312" w:eastAsia="方正仿宋_GB2312" w:cs="方正仿宋_GB2312"/>
          <w:b/>
          <w:bCs/>
          <w:color w:val="auto"/>
          <w:sz w:val="48"/>
          <w:szCs w:val="48"/>
          <w:lang w:eastAsia="zh-CN"/>
        </w:rPr>
      </w:pPr>
    </w:p>
    <w:p w14:paraId="6C25B6EC">
      <w:pPr>
        <w:spacing w:line="360" w:lineRule="auto"/>
        <w:ind w:right="-42"/>
        <w:jc w:val="center"/>
        <w:rPr>
          <w:rFonts w:hint="eastAsia" w:ascii="方正仿宋_GB2312" w:hAnsi="方正仿宋_GB2312" w:eastAsia="方正仿宋_GB2312" w:cs="方正仿宋_GB2312"/>
          <w:b/>
          <w:bCs/>
          <w:color w:val="auto"/>
          <w:sz w:val="48"/>
          <w:szCs w:val="48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48"/>
          <w:szCs w:val="48"/>
          <w:lang w:eastAsia="zh-CN"/>
        </w:rPr>
        <w:t>中山大学孙逸仙纪念医院（花都院区）捐赠芳名墙建设工程</w:t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48"/>
          <w:szCs w:val="48"/>
        </w:rPr>
        <w:t>需求书</w:t>
      </w:r>
    </w:p>
    <w:p w14:paraId="154A74C6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color w:val="auto"/>
        </w:rPr>
      </w:pPr>
    </w:p>
    <w:p w14:paraId="63ABC642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color w:val="auto"/>
        </w:rPr>
      </w:pPr>
    </w:p>
    <w:p w14:paraId="691A36CE">
      <w:pPr>
        <w:spacing w:line="360" w:lineRule="auto"/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</w:rPr>
      </w:pPr>
    </w:p>
    <w:p w14:paraId="7ED4316E">
      <w:pPr>
        <w:spacing w:line="360" w:lineRule="auto"/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</w:rPr>
      </w:pPr>
    </w:p>
    <w:p w14:paraId="61B3B1D0">
      <w:pPr>
        <w:spacing w:line="360" w:lineRule="auto"/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</w:rPr>
      </w:pPr>
    </w:p>
    <w:p w14:paraId="424F0D48">
      <w:pPr>
        <w:spacing w:line="360" w:lineRule="auto"/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</w:rPr>
      </w:pPr>
    </w:p>
    <w:p w14:paraId="63E92EB0">
      <w:pPr>
        <w:spacing w:line="360" w:lineRule="auto"/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</w:rPr>
      </w:pPr>
    </w:p>
    <w:p w14:paraId="6EB3EC58">
      <w:pPr>
        <w:spacing w:line="360" w:lineRule="auto"/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</w:rPr>
      </w:pPr>
    </w:p>
    <w:p w14:paraId="63867E5C">
      <w:pPr>
        <w:spacing w:line="360" w:lineRule="auto"/>
        <w:ind w:right="-42"/>
        <w:rPr>
          <w:rFonts w:hint="eastAsia" w:ascii="方正仿宋_GB2312" w:hAnsi="方正仿宋_GB2312" w:eastAsia="方正仿宋_GB2312" w:cs="方正仿宋_GB2312"/>
          <w:b/>
          <w:bCs/>
          <w:color w:val="auto"/>
          <w:sz w:val="72"/>
          <w:szCs w:val="72"/>
        </w:rPr>
      </w:pPr>
    </w:p>
    <w:p w14:paraId="61D58A8B">
      <w:pPr>
        <w:spacing w:line="360" w:lineRule="auto"/>
        <w:ind w:right="-42"/>
        <w:rPr>
          <w:rFonts w:hint="eastAsia" w:ascii="方正仿宋_GB2312" w:hAnsi="方正仿宋_GB2312" w:eastAsia="方正仿宋_GB2312" w:cs="方正仿宋_GB2312"/>
          <w:b/>
          <w:bCs/>
          <w:color w:val="auto"/>
          <w:sz w:val="72"/>
          <w:szCs w:val="72"/>
        </w:rPr>
      </w:pPr>
    </w:p>
    <w:p w14:paraId="4054FC58">
      <w:pPr>
        <w:spacing w:line="360" w:lineRule="auto"/>
        <w:ind w:right="-42"/>
        <w:rPr>
          <w:rFonts w:hint="eastAsia" w:ascii="方正仿宋_GB2312" w:hAnsi="方正仿宋_GB2312" w:eastAsia="方正仿宋_GB2312" w:cs="方正仿宋_GB2312"/>
          <w:b/>
          <w:bCs/>
          <w:color w:val="auto"/>
          <w:sz w:val="72"/>
          <w:szCs w:val="72"/>
        </w:rPr>
      </w:pPr>
    </w:p>
    <w:p w14:paraId="254DB6EA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color w:val="auto"/>
        </w:rPr>
      </w:pPr>
    </w:p>
    <w:p w14:paraId="2FEDAFF6">
      <w:pPr>
        <w:spacing w:line="360" w:lineRule="auto"/>
        <w:ind w:right="-42"/>
        <w:jc w:val="center"/>
        <w:rPr>
          <w:rFonts w:hint="eastAsia" w:ascii="方正仿宋_GB2312" w:hAnsi="方正仿宋_GB2312" w:eastAsia="方正仿宋_GB2312" w:cs="方正仿宋_GB2312"/>
          <w:b/>
          <w:bCs/>
          <w:color w:val="auto"/>
          <w:sz w:val="36"/>
          <w:szCs w:val="36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6"/>
          <w:szCs w:val="36"/>
        </w:rPr>
        <w:t>中山大学孙逸仙纪念医院</w:t>
      </w:r>
    </w:p>
    <w:p w14:paraId="5D460F9D">
      <w:pPr>
        <w:spacing w:line="360" w:lineRule="auto"/>
        <w:ind w:right="-42"/>
        <w:jc w:val="center"/>
        <w:rPr>
          <w:rFonts w:hint="eastAsia" w:ascii="方正仿宋_GB2312" w:hAnsi="方正仿宋_GB2312" w:eastAsia="方正仿宋_GB2312" w:cs="方正仿宋_GB2312"/>
          <w:b/>
          <w:bCs/>
          <w:color w:val="auto"/>
          <w:sz w:val="36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6"/>
          <w:szCs w:val="36"/>
          <w:lang w:val="en-US" w:eastAsia="zh-CN"/>
        </w:rPr>
        <w:t>花都院区</w:t>
      </w:r>
    </w:p>
    <w:p w14:paraId="3E924EE8">
      <w:pPr>
        <w:spacing w:line="360" w:lineRule="auto"/>
        <w:ind w:right="-42"/>
        <w:jc w:val="center"/>
        <w:rPr>
          <w:rFonts w:hint="eastAsia" w:ascii="方正仿宋_GB2312" w:hAnsi="方正仿宋_GB2312" w:eastAsia="方正仿宋_GB2312" w:cs="方正仿宋_GB2312"/>
          <w:b/>
          <w:color w:val="auto"/>
          <w:sz w:val="32"/>
        </w:rPr>
      </w:pPr>
      <w:r>
        <w:rPr>
          <w:rFonts w:hint="eastAsia" w:ascii="方正仿宋_GB2312" w:hAnsi="方正仿宋_GB2312" w:eastAsia="方正仿宋_GB2312" w:cs="方正仿宋_GB2312"/>
          <w:b/>
          <w:color w:val="auto"/>
          <w:sz w:val="32"/>
        </w:rPr>
        <w:t>202</w:t>
      </w:r>
      <w:r>
        <w:rPr>
          <w:rFonts w:hint="eastAsia" w:ascii="方正仿宋_GB2312" w:hAnsi="方正仿宋_GB2312" w:eastAsia="方正仿宋_GB2312" w:cs="方正仿宋_GB2312"/>
          <w:b/>
          <w:color w:val="auto"/>
          <w:sz w:val="32"/>
          <w:lang w:val="en-US" w:eastAsia="zh-CN"/>
        </w:rPr>
        <w:t>6</w:t>
      </w:r>
      <w:r>
        <w:rPr>
          <w:rFonts w:hint="eastAsia" w:ascii="方正仿宋_GB2312" w:hAnsi="方正仿宋_GB2312" w:eastAsia="方正仿宋_GB2312" w:cs="方正仿宋_GB2312"/>
          <w:b/>
          <w:color w:val="auto"/>
          <w:sz w:val="32"/>
        </w:rPr>
        <w:t>年</w:t>
      </w:r>
      <w:r>
        <w:rPr>
          <w:rFonts w:hint="eastAsia" w:ascii="方正仿宋_GB2312" w:hAnsi="方正仿宋_GB2312" w:eastAsia="方正仿宋_GB2312" w:cs="方正仿宋_GB2312"/>
          <w:b/>
          <w:color w:val="auto"/>
          <w:sz w:val="32"/>
          <w:lang w:val="en-US" w:eastAsia="zh-CN"/>
        </w:rPr>
        <w:t>3</w:t>
      </w:r>
      <w:r>
        <w:rPr>
          <w:rFonts w:hint="eastAsia" w:ascii="方正仿宋_GB2312" w:hAnsi="方正仿宋_GB2312" w:eastAsia="方正仿宋_GB2312" w:cs="方正仿宋_GB2312"/>
          <w:b/>
          <w:color w:val="auto"/>
          <w:sz w:val="32"/>
        </w:rPr>
        <w:t>月</w:t>
      </w:r>
    </w:p>
    <w:p w14:paraId="7CBC44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b/>
          <w:color w:val="auto"/>
          <w:sz w:val="32"/>
        </w:rPr>
      </w:pPr>
      <w:r>
        <w:rPr>
          <w:rFonts w:hint="eastAsia" w:ascii="方正仿宋_GB2312" w:hAnsi="方正仿宋_GB2312" w:eastAsia="方正仿宋_GB2312" w:cs="方正仿宋_GB2312"/>
          <w:b/>
          <w:color w:val="auto"/>
          <w:sz w:val="32"/>
        </w:rPr>
        <w:br w:type="page"/>
      </w:r>
    </w:p>
    <w:p w14:paraId="11C49AB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</w:rPr>
        <w:t>项目概况：</w:t>
      </w:r>
    </w:p>
    <w:p w14:paraId="0A983DA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28"/>
          <w:lang w:val="en-US" w:eastAsia="zh-CN"/>
        </w:rPr>
        <w:t>项目名称：中山大学孙逸仙纪念医院（花都院区）捐赠芳名墙建设工程</w:t>
      </w:r>
    </w:p>
    <w:p w14:paraId="3474F06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28"/>
          <w:lang w:val="en-US" w:eastAsia="zh-CN"/>
        </w:rPr>
        <w:t>项目地点：广州市花都区镜湖大道11号中庭处</w:t>
      </w:r>
    </w:p>
    <w:p w14:paraId="41BBEF49">
      <w:pPr>
        <w:pStyle w:val="2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28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highlight w:val="none"/>
          <w:lang w:val="en-US" w:eastAsia="zh-CN" w:bidi="ar-SA"/>
        </w:rPr>
        <w:t>项目背景：为铭记和鸣谢社会贤达和爱心单位的慷慨捐赠，进一步弘扬慈善文化，拟在花都院区设立捐赠芳名墙。</w:t>
      </w:r>
    </w:p>
    <w:p w14:paraId="5905A362">
      <w:pPr>
        <w:pStyle w:val="2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28"/>
          <w:lang w:val="en-US" w:eastAsia="zh-CN"/>
        </w:rPr>
        <w:t>最高限价：人民币1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szCs w:val="28"/>
          <w:u w:val="single"/>
          <w:lang w:val="en-US" w:eastAsia="zh-CN"/>
        </w:rPr>
        <w:t>90000.00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szCs w:val="28"/>
          <w:lang w:val="en-US" w:eastAsia="zh-CN"/>
        </w:rPr>
        <w:t>元（含税）</w:t>
      </w:r>
    </w:p>
    <w:p w14:paraId="2D20A688">
      <w:pPr>
        <w:pStyle w:val="2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28"/>
          <w:lang w:val="en-US" w:eastAsia="zh-CN"/>
        </w:rPr>
        <w:t>工期：30日历天（自合同签订之日起至工程竣工验收合格之日止，包含所有节假日、验收及整改时间）。</w:t>
      </w:r>
    </w:p>
    <w:p w14:paraId="4813A65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</w:rPr>
        <w:t>项目</w:t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  <w:lang w:val="en-US" w:eastAsia="zh-CN"/>
        </w:rPr>
        <w:t>内容：</w:t>
      </w:r>
    </w:p>
    <w:p w14:paraId="235B232A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24"/>
          <w:szCs w:val="24"/>
          <w:lang w:val="en-US" w:eastAsia="zh-CN"/>
        </w:rPr>
        <w:t>清理选址上的绿植，根据预埋基础钢筋地笼尺寸开挖基础、设计独立固定架，防止混凝土浇筑时移位；</w:t>
      </w:r>
    </w:p>
    <w:p w14:paraId="653269FC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24"/>
          <w:szCs w:val="24"/>
          <w:lang w:val="en-US" w:eastAsia="zh-CN"/>
        </w:rPr>
        <w:t>需要提供具体建造施工图纸及水晶墙、牌匾制作明细制作图纸。如混凝土基础以上使用4*2方管焊接骨架，表面使用2.5铝单板造型喷涂，增加金属构件内镶嵌水晶砖，牌匾内容不锈钢定制内发光立体文字内容；</w:t>
      </w:r>
    </w:p>
    <w:p w14:paraId="18430753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0"/>
        <w:textAlignment w:val="auto"/>
        <w:rPr>
          <w:rFonts w:hint="eastAsia" w:ascii="方正仿宋_GB2312" w:hAnsi="方正仿宋_GB2312" w:eastAsia="方正仿宋_GB2312" w:cs="方正仿宋_GB2312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24"/>
          <w:lang w:val="en-US" w:eastAsia="zh-CN"/>
        </w:rPr>
        <w:t>需满足以下效果图要求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szCs w:val="24"/>
        </w:rPr>
        <w:t>；</w:t>
      </w:r>
    </w:p>
    <w:p w14:paraId="547D9F33">
      <w:pPr>
        <w:pStyle w:val="3"/>
        <w:ind w:left="0" w:leftChars="0" w:firstLine="0" w:firstLineChars="0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正视图：</w:t>
      </w:r>
    </w:p>
    <w:p w14:paraId="628F6A53">
      <w:pPr>
        <w:pStyle w:val="2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drawing>
          <wp:inline distT="0" distB="0" distL="114300" distR="114300">
            <wp:extent cx="5266690" cy="3530600"/>
            <wp:effectExtent l="0" t="0" r="10160" b="12700"/>
            <wp:docPr id="10" name="图片 10" descr="效果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效果图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5402D">
      <w:pPr>
        <w:pStyle w:val="3"/>
        <w:rPr>
          <w:rFonts w:hint="eastAsia" w:ascii="方正仿宋_GB2312" w:hAnsi="方正仿宋_GB2312" w:eastAsia="方正仿宋_GB2312" w:cs="方正仿宋_GB2312"/>
          <w:lang w:val="en-US" w:eastAsia="zh-CN"/>
        </w:rPr>
      </w:pPr>
    </w:p>
    <w:p w14:paraId="5AD06F28">
      <w:pPr>
        <w:pStyle w:val="3"/>
        <w:ind w:left="0" w:leftChars="0" w:firstLine="0" w:firstLineChars="0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俯视图：</w:t>
      </w:r>
    </w:p>
    <w:p w14:paraId="018203EA">
      <w:pPr>
        <w:pStyle w:val="3"/>
        <w:ind w:left="0" w:leftChars="0" w:firstLine="0" w:firstLineChars="0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165735</wp:posOffset>
            </wp:positionV>
            <wp:extent cx="5664835" cy="2338070"/>
            <wp:effectExtent l="0" t="0" r="12065" b="5080"/>
            <wp:wrapThrough wrapText="bothSides">
              <wp:wrapPolygon>
                <wp:start x="0" y="0"/>
                <wp:lineTo x="0" y="21471"/>
                <wp:lineTo x="21501" y="21471"/>
                <wp:lineTo x="21501" y="0"/>
                <wp:lineTo x="0" y="0"/>
              </wp:wrapPolygon>
            </wp:wrapThrough>
            <wp:docPr id="12" name="图片 12" descr="c5b7cd44-ee41-40ab-a75d-a3c9e32c3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5b7cd44-ee41-40ab-a75d-a3c9e32c3af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后视图：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3107690</wp:posOffset>
            </wp:positionV>
            <wp:extent cx="5763895" cy="2715260"/>
            <wp:effectExtent l="0" t="0" r="8255" b="8890"/>
            <wp:wrapTight wrapText="bothSides">
              <wp:wrapPolygon>
                <wp:start x="0" y="0"/>
                <wp:lineTo x="0" y="21519"/>
                <wp:lineTo x="21560" y="21519"/>
                <wp:lineTo x="21560" y="0"/>
                <wp:lineTo x="0" y="0"/>
              </wp:wrapPolygon>
            </wp:wrapTight>
            <wp:docPr id="14" name="图片 14" descr="219e630d-d4b4-41cd-b832-36ac3af84b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19e630d-d4b4-41cd-b832-36ac3af84b9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1A940E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0"/>
        <w:textAlignment w:val="auto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24"/>
        </w:rPr>
        <w:t>投入使用后需符合医院使用科室需求。</w:t>
      </w:r>
    </w:p>
    <w:p w14:paraId="4BF35EF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  <w:lang w:val="en-US" w:eastAsia="zh-CN"/>
        </w:rPr>
        <w:t>承包方式</w:t>
      </w:r>
    </w:p>
    <w:p w14:paraId="0FD7FA74">
      <w:pPr>
        <w:pStyle w:val="2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lang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u w:val="none"/>
        </w:rPr>
        <w:t>包工、包料、包工期、包质量、包安全、包文明施工、包验收合格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u w:val="none"/>
          <w:lang w:eastAsia="zh-CN"/>
        </w:rPr>
        <w:t>。</w:t>
      </w:r>
    </w:p>
    <w:p w14:paraId="5F9E76FA">
      <w:pPr>
        <w:pStyle w:val="2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lang w:eastAsia="zh-CN"/>
        </w:rPr>
      </w:pPr>
      <w:r>
        <w:rPr>
          <w:rFonts w:hint="eastAsia" w:ascii="方正仿宋_GB2312" w:hAnsi="方正仿宋_GB2312" w:eastAsia="方正仿宋_GB2312" w:cs="方正仿宋_GB2312"/>
          <w:bCs/>
          <w:color w:val="auto"/>
          <w:sz w:val="24"/>
        </w:rPr>
        <w:t>不得以任何方式转包或分包本项目。</w:t>
      </w:r>
    </w:p>
    <w:p w14:paraId="7713ED8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  <w:lang w:val="en-US" w:eastAsia="zh-CN"/>
        </w:rPr>
        <w:t>报价要求：</w:t>
      </w:r>
    </w:p>
    <w:p w14:paraId="1020CB81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80" w:firstLineChars="200"/>
        <w:textAlignment w:val="auto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24"/>
          <w:szCs w:val="24"/>
          <w:lang w:val="en-US" w:eastAsia="zh-CN"/>
        </w:rPr>
        <w:t>按以下格式进行报价：</w:t>
      </w:r>
    </w:p>
    <w:tbl>
      <w:tblPr>
        <w:tblStyle w:val="11"/>
        <w:tblW w:w="942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1"/>
        <w:gridCol w:w="1327"/>
        <w:gridCol w:w="3633"/>
        <w:gridCol w:w="723"/>
        <w:gridCol w:w="668"/>
        <w:gridCol w:w="1145"/>
        <w:gridCol w:w="1302"/>
      </w:tblGrid>
      <w:tr w14:paraId="117304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942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18666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72"/>
                <w:szCs w:val="72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分部分项工程和单价措施项目清单与计价表</w:t>
            </w:r>
          </w:p>
        </w:tc>
      </w:tr>
      <w:tr w14:paraId="3BC54E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9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14:paraId="3556651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内容</w:t>
            </w:r>
          </w:p>
        </w:tc>
        <w:tc>
          <w:tcPr>
            <w:tcW w:w="3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14:paraId="6659783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工艺以及材质说明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14:paraId="125D450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14:paraId="16ECA4C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</w:t>
            </w:r>
          </w:p>
        </w:tc>
        <w:tc>
          <w:tcPr>
            <w:tcW w:w="11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14:paraId="7A0F08A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单价</w:t>
            </w:r>
          </w:p>
        </w:tc>
        <w:tc>
          <w:tcPr>
            <w:tcW w:w="1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14:paraId="6E58F11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单项小计</w:t>
            </w:r>
          </w:p>
        </w:tc>
      </w:tr>
      <w:tr w14:paraId="6DFA22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7454FEB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D9A3C7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铝单板</w:t>
            </w:r>
          </w:p>
        </w:tc>
        <w:tc>
          <w:tcPr>
            <w:tcW w:w="3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2550FE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2.5铝单板造型喷涂（底漆 + 面漆 + 清漆）+水晶墙部分凹陷下去。8000MM*3000MM*500MM（氟碳漆品牌：韶关盛达）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00047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4589C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平方</w:t>
            </w:r>
          </w:p>
        </w:tc>
        <w:tc>
          <w:tcPr>
            <w:tcW w:w="11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6CAEB3DE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65ADA039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BC72F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52DA5FA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BE08B7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前言</w:t>
            </w:r>
          </w:p>
        </w:tc>
        <w:tc>
          <w:tcPr>
            <w:tcW w:w="3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A15736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前言部分文字制作1.0mm304不锈钢立体金属1700MM*2470MM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A34E3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49DF4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平方</w:t>
            </w:r>
          </w:p>
        </w:tc>
        <w:tc>
          <w:tcPr>
            <w:tcW w:w="11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29E732DD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522BD32C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D09C5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6E10B8D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ACE0A0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发光字</w:t>
            </w:r>
          </w:p>
        </w:tc>
        <w:tc>
          <w:tcPr>
            <w:tcW w:w="3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0E47C9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户外发光字（防水亚克力发光字）3500MM*318MM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A5A65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B0ACF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1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2A5EE1B1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2695A0F1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7F1C3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55080D7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7E01E1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捐赠墙水晶砖</w:t>
            </w:r>
          </w:p>
        </w:tc>
        <w:tc>
          <w:tcPr>
            <w:tcW w:w="3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167979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壁厚1.5mm304不锈钢制作底托镶嵌单个水晶砖，四边不锈钢收边条，4380mm*2260mm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12DF8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380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113C8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1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2778E592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54C4F54D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73E3D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71A7CCB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E9C0B5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牌匾</w:t>
            </w:r>
          </w:p>
        </w:tc>
        <w:tc>
          <w:tcPr>
            <w:tcW w:w="3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ECD1F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壁厚1.5mm304不锈钢折边藏灯，文字内容制作立体金属字。尺寸按效果图制作，一共22个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61D2B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CB9FB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1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8181CE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38ACD2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D9F50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41C6FEA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4F2393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捐赠墙钢结构</w:t>
            </w:r>
          </w:p>
        </w:tc>
        <w:tc>
          <w:tcPr>
            <w:tcW w:w="3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0F34ED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8000MM*3000MM*500MM，2.0方管焊接结构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032FF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F5E45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1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0A32B47C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770BA12C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EE80A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1FD3743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66E15D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底座</w:t>
            </w:r>
          </w:p>
        </w:tc>
        <w:tc>
          <w:tcPr>
            <w:tcW w:w="3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345827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底部与上方采用镀锌方通骨架连接。安装方式：底部导入C25混凝土“猪笼架”固定+10mm厚度大理石贴表面，（最大8000MM*1200MM*1000MM/最小8000MM*600MM*600MM）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A1EBD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21304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1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0833A205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3BEE6DDF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B7E9D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415E5F0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C0D0A2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排水更改</w:t>
            </w:r>
          </w:p>
        </w:tc>
        <w:tc>
          <w:tcPr>
            <w:tcW w:w="3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5E47EA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更改排水口，按实际需求整改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4B34A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E8F61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1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5E01CB19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25FCC5C6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C3B85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0B4DBB2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F34F18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基础余泥清理</w:t>
            </w:r>
          </w:p>
        </w:tc>
        <w:tc>
          <w:tcPr>
            <w:tcW w:w="3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B2DEF4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钩机挖出余泥运走清理，按实际需求清理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ADD3A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7D2A5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1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5958A4E4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042FABD2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44AB5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225E9EF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ACCBEB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回填种植绿植</w:t>
            </w:r>
          </w:p>
        </w:tc>
        <w:tc>
          <w:tcPr>
            <w:tcW w:w="3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A13988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绿植种植及余泥回填，按实际需求回填种植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4992B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69123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1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4DE16ABE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19F78109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17856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BEF15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DCD37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纪念品</w:t>
            </w:r>
          </w:p>
        </w:tc>
        <w:tc>
          <w:tcPr>
            <w:tcW w:w="3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25902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330*170*45mm黑胡桃木木质底座加铜板雕刻文字+200*100*50mm水晶砖一块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1377A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D3784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1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335981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09290C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AEAD6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65C49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52949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文明施工</w:t>
            </w:r>
          </w:p>
        </w:tc>
        <w:tc>
          <w:tcPr>
            <w:tcW w:w="3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C4B64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文明施工围挡，地面保护，需要根据现场决定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070DC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98661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1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5A5DA3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C9D388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BD788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54EB1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275FA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总电源</w:t>
            </w:r>
          </w:p>
        </w:tc>
        <w:tc>
          <w:tcPr>
            <w:tcW w:w="3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5A426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拉电缆从总电源接电至捐赠墙位置，设立独立电箱控制，捐赠墙整体发光电源线路、变压器等及漏保时控开关控制器（电线品牌：珠江电缆，国标护套线3*4m²，国标2*2.5m²，开关品牌：施耐德，变压器品牌：台湾明纬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26090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BE81F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1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383BE5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357AFB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5071F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445B87E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C25178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运费及安装</w:t>
            </w:r>
          </w:p>
        </w:tc>
        <w:tc>
          <w:tcPr>
            <w:tcW w:w="3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65FBD4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包装运输费用及安装、搬运费用（货车运输+普工）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99E18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C5BDA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1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5B43C67E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7284D6D1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EC815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2B6168A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46043FF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暂列金</w:t>
            </w:r>
          </w:p>
        </w:tc>
        <w:tc>
          <w:tcPr>
            <w:tcW w:w="3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604C9953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7F1680CC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245D169F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34BD5C9B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321423B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4,000.00 </w:t>
            </w:r>
          </w:p>
        </w:tc>
      </w:tr>
      <w:tr w14:paraId="7FFBAF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5F1F10B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7BE2B0A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税费9%</w:t>
            </w:r>
          </w:p>
        </w:tc>
        <w:tc>
          <w:tcPr>
            <w:tcW w:w="3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69659EC6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1563D05C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28E5E2FE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43EAA60F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5B7BCD60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AE474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74E6319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合计价格（含税）：</w:t>
            </w:r>
          </w:p>
        </w:tc>
        <w:tc>
          <w:tcPr>
            <w:tcW w:w="1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7A85F78F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0F390DE9">
      <w:pPr>
        <w:pStyle w:val="2"/>
        <w:rPr>
          <w:rFonts w:hint="eastAsia" w:ascii="方正仿宋_GB2312" w:hAnsi="方正仿宋_GB2312" w:eastAsia="方正仿宋_GB2312" w:cs="方正仿宋_GB2312"/>
          <w:lang w:val="en-US" w:eastAsia="zh-CN"/>
        </w:rPr>
      </w:pPr>
    </w:p>
    <w:p w14:paraId="27021FB5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0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24"/>
          <w:szCs w:val="24"/>
          <w:lang w:val="en-US" w:eastAsia="zh-CN"/>
        </w:rPr>
        <w:t>以上报价需包含报价应包含为完成本项目所需的一切设备材料费、设计费、施工费、安装调试费、管理费、利润、规费、安全文明施工费、成品保护费、垃圾清运处理费、税费等所有费用及风险。采购人不再支付任何其他费用。</w:t>
      </w:r>
    </w:p>
    <w:p w14:paraId="12CE4153">
      <w:pPr>
        <w:pStyle w:val="2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0"/>
        <w:textAlignment w:val="auto"/>
        <w:rPr>
          <w:rFonts w:hint="eastAsia" w:ascii="方正仿宋_GB2312" w:hAnsi="方正仿宋_GB2312" w:eastAsia="方正仿宋_GB2312" w:cs="方正仿宋_GB2312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投标人应依据招标人提供的工程量清单进行报价，不得修改清单项目和数量。综合单价应视为已完全理解项目特征描述及潜在风险。对清单内容的疑问，应在投标截止前书面提出。</w:t>
      </w:r>
    </w:p>
    <w:p w14:paraId="424DDE34">
      <w:pPr>
        <w:pStyle w:val="2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0"/>
        <w:textAlignment w:val="auto"/>
        <w:rPr>
          <w:rFonts w:hint="eastAsia" w:ascii="方正仿宋_GB2312" w:hAnsi="方正仿宋_GB2312" w:eastAsia="方正仿宋_GB2312" w:cs="方正仿宋_GB2312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Cs/>
          <w:color w:val="auto"/>
          <w:kern w:val="2"/>
          <w:sz w:val="24"/>
          <w:szCs w:val="24"/>
          <w:lang w:val="en-US" w:eastAsia="zh-CN" w:bidi="ar-SA"/>
        </w:rPr>
        <w:t>本项目设置采购最高限价超过最高限价的投标将被视为无效。</w:t>
      </w:r>
    </w:p>
    <w:p w14:paraId="1AE4BDE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  <w:lang w:val="en-US" w:eastAsia="zh-CN"/>
        </w:rPr>
        <w:t>投标人资格要求</w:t>
      </w:r>
    </w:p>
    <w:p w14:paraId="4C7BBBFE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lang w:val="en-US" w:eastAsia="zh-CN" w:bidi="ar-SA"/>
        </w:rPr>
        <w:t>供应商应具有独立法人资格，持有工商行政管理部门核发的有效营业执照（或事业法人登记证或身份证等相关证明），依法经营。如非“三证合一”证照，同时提供税务登记证副本复印件,加盖公章；如为分公司报名，必须同时提供总公司的营业执照副本复印件及总公司授权书。</w:t>
      </w:r>
    </w:p>
    <w:p w14:paraId="66B7D645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lang w:val="en-US" w:eastAsia="zh-CN" w:bidi="ar-SA"/>
        </w:rPr>
        <w:t>具有履行合同所必需的设备和专业技术能力（提供承诺书）。</w:t>
      </w:r>
    </w:p>
    <w:p w14:paraId="375AB668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lang w:val="en-US" w:eastAsia="zh-CN" w:bidi="ar-SA"/>
        </w:rPr>
        <w:t>应具备以下资质之一，并提供有效的《安全生产许可证》。</w:t>
      </w:r>
    </w:p>
    <w:p w14:paraId="7DFBA11F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00" w:firstLineChars="0"/>
        <w:jc w:val="both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lang w:val="en-US" w:eastAsia="zh-CN" w:bidi="ar-SA"/>
        </w:rPr>
        <w:t>建设行政主管部门颁发的有效的建筑工程施工总承包三级（或以上）资质；</w:t>
      </w:r>
    </w:p>
    <w:p w14:paraId="0AFC3D02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00" w:firstLineChars="0"/>
        <w:jc w:val="both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lang w:val="en-US" w:eastAsia="zh-CN" w:bidi="ar-SA"/>
        </w:rPr>
        <w:t>建设行政主管部门颁发的有效的建筑装修装饰工程专业承包二级（或以上）资质和建筑机电安装工程专业承包资质三级（或以上）资质。</w:t>
      </w:r>
    </w:p>
    <w:p w14:paraId="60DCD712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lang w:val="en-US" w:eastAsia="zh-CN" w:bidi="ar-SA"/>
        </w:rPr>
        <w:t>具备应急管理部颁发特种作业操作证，如：电工证、高空作业证、焊接与热切割证等有效操作证。</w:t>
      </w:r>
    </w:p>
    <w:p w14:paraId="31F3776F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lang w:val="en-US" w:eastAsia="zh-CN" w:bidi="ar-SA"/>
        </w:rPr>
        <w:t>被“信用中国”网站列入失信被执行人和重大税收违法失信主体的、被“中国政府采购网”网站列入政府采购严重违法失信行为记录名单（处罚期限尚未届满的）的供应商，不得参与本项目的采购活动。</w:t>
      </w:r>
    </w:p>
    <w:p w14:paraId="60C3827D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lang w:val="en-US" w:eastAsia="zh-CN" w:bidi="ar-SA"/>
        </w:rPr>
        <w:t>法定代表人或单位负责人为同一人或者存在直接控股、管理关系的不同响应单位，不得参加同一合同项下的采购活动。</w:t>
      </w:r>
    </w:p>
    <w:p w14:paraId="59DA014C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lang w:val="en-US" w:eastAsia="zh-CN" w:bidi="ar-SA"/>
        </w:rPr>
        <w:t xml:space="preserve">为保证项目顺利推进，切实保障项目进展的可行性，投标人在递交投标文件之前，需前往项目现场进行实地勘察，并完成签到手续，符合上述要求方可参与投标。 </w:t>
      </w:r>
    </w:p>
    <w:p w14:paraId="74E5FC77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lang w:val="en-US" w:eastAsia="zh-CN" w:bidi="ar-SA"/>
        </w:rPr>
        <w:t>本项目不接受联合体响应，成交供应商不得以任何方式转包或分包本项目。</w:t>
      </w:r>
    </w:p>
    <w:p w14:paraId="2841BDA9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lang w:val="en-US" w:eastAsia="zh-CN" w:bidi="ar-SA"/>
        </w:rPr>
        <w:t>供应商在参加本次采购活动前3年内没有发生严重违约行为以及发生重大质量安全事故。</w:t>
      </w:r>
    </w:p>
    <w:p w14:paraId="3934445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  <w:lang w:val="en-US" w:eastAsia="zh-CN"/>
        </w:rPr>
        <w:t>服务要求：</w:t>
      </w:r>
    </w:p>
    <w:p w14:paraId="4468909C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color w:val="auto"/>
          <w:kern w:val="2"/>
          <w:sz w:val="24"/>
          <w:szCs w:val="24"/>
          <w:lang w:val="en-US" w:eastAsia="zh-CN" w:bidi="ar-SA"/>
        </w:rPr>
        <w:t>1.项目施工过程中需做好施工围蔽及安全文明施工措施；</w:t>
      </w:r>
    </w:p>
    <w:p w14:paraId="6B6B7518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color w:val="auto"/>
          <w:kern w:val="2"/>
          <w:sz w:val="24"/>
          <w:szCs w:val="24"/>
          <w:lang w:val="en-US" w:eastAsia="zh-CN" w:bidi="ar-SA"/>
        </w:rPr>
        <w:t>2.捐赠芳名墙投入使用后需符合医院使用科室的需求。</w:t>
      </w:r>
    </w:p>
    <w:p w14:paraId="235D633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color w:val="auto"/>
          <w:kern w:val="2"/>
          <w:sz w:val="24"/>
          <w:szCs w:val="24"/>
          <w:lang w:val="en-US" w:eastAsia="zh-CN" w:bidi="ar-SA"/>
        </w:rPr>
        <w:t>3.项目实施前需按甲方相关要求做好施工计划，给相关科室进行确认方可实施。</w:t>
      </w:r>
      <w:bookmarkStart w:id="0" w:name="_GoBack"/>
      <w:bookmarkEnd w:id="0"/>
    </w:p>
    <w:p w14:paraId="4FD83DB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  <w:lang w:val="en-US" w:eastAsia="zh-CN"/>
        </w:rPr>
        <w:t>其他要求</w:t>
      </w:r>
    </w:p>
    <w:p w14:paraId="53B8497F">
      <w:pPr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  <w:t>投标人应严格遵守政府、采购单位的规章制度及相关规定，做到安全施工、文明施工。在合同期内如果发生维修保养的质量安全、人员安全、设备安全问题及其它相关问题，成交人承担全部责任。</w:t>
      </w:r>
    </w:p>
    <w:p w14:paraId="0DE34437">
      <w:pPr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  <w:t>投标人应在维修保养服务过程中必须严格执行采购人基建、保卫、院感等部门以及当地主管部门等的相关制度。</w:t>
      </w:r>
    </w:p>
    <w:p w14:paraId="09EAE921">
      <w:pPr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  <w:t>施工过程中若需使用电、水源甚至需要动火，应事先与甲方报备，不得私拉乱接、私自动火。</w:t>
      </w:r>
    </w:p>
    <w:p w14:paraId="0FF95802">
      <w:pPr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</w:rPr>
        <w:t>按文明施工规范做好安全、文明施工，包括但不限于：</w:t>
      </w:r>
    </w:p>
    <w:p w14:paraId="1345C1F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  <w:t>1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）</w:t>
      </w:r>
      <w:r>
        <w:rPr>
          <w:rFonts w:hint="eastAsia" w:ascii="方正仿宋_GB2312" w:hAnsi="方正仿宋_GB2312" w:eastAsia="方正仿宋_GB2312" w:cs="方正仿宋_GB2312"/>
          <w:color w:val="auto"/>
          <w:sz w:val="24"/>
        </w:rPr>
        <w:t>按工程和安全需要做好人身安全、施工围蔽、危险提示等防护措施；</w:t>
      </w:r>
    </w:p>
    <w:p w14:paraId="2DBE7E0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  <w:t>2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）</w:t>
      </w:r>
      <w:r>
        <w:rPr>
          <w:rFonts w:hint="eastAsia" w:ascii="方正仿宋_GB2312" w:hAnsi="方正仿宋_GB2312" w:eastAsia="方正仿宋_GB2312" w:cs="方正仿宋_GB2312"/>
          <w:color w:val="auto"/>
          <w:sz w:val="24"/>
        </w:rPr>
        <w:t>接受甲方管理部门或监理单位的监管，杜绝野蛮施工。乙方做好安全围蔽工作，确保服务现场的清洁卫生，产生的垃圾当日清理干净，不得留在现场过夜。施工结束后，乙方应根据甲方要求对施工现场彻底清理，做到工完、料尽、场地清。</w:t>
      </w:r>
    </w:p>
    <w:p w14:paraId="50E5F1F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  <w:t>3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）强化防火、防盗意识及安全意识，加强对施工队伍的管理与教育，明确安全、防火责任人；</w:t>
      </w:r>
    </w:p>
    <w:p w14:paraId="4109721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  <w:t>4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）</w:t>
      </w:r>
      <w:r>
        <w:rPr>
          <w:rFonts w:hint="eastAsia" w:ascii="方正仿宋_GB2312" w:hAnsi="方正仿宋_GB2312" w:eastAsia="方正仿宋_GB2312" w:cs="方正仿宋_GB2312"/>
          <w:color w:val="auto"/>
          <w:sz w:val="24"/>
        </w:rPr>
        <w:t>遵守政府有关部门和甲方对施工场地交通和施工噪音等管理规定，施工设施、机具、材料等堆放整齐，及时做好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  <w:t>余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泥</w:t>
      </w:r>
      <w:r>
        <w:rPr>
          <w:rFonts w:hint="eastAsia" w:ascii="方正仿宋_GB2312" w:hAnsi="方正仿宋_GB2312" w:eastAsia="方正仿宋_GB2312" w:cs="方正仿宋_GB2312"/>
          <w:color w:val="auto"/>
          <w:sz w:val="24"/>
        </w:rPr>
        <w:t>清运等工作，施工结束后及时清场；</w:t>
      </w:r>
    </w:p>
    <w:p w14:paraId="1F94C0B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  <w:t>5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）</w:t>
      </w:r>
      <w:r>
        <w:rPr>
          <w:rFonts w:hint="eastAsia" w:ascii="方正仿宋_GB2312" w:hAnsi="方正仿宋_GB2312" w:eastAsia="方正仿宋_GB2312" w:cs="方正仿宋_GB2312"/>
          <w:color w:val="auto"/>
          <w:sz w:val="24"/>
        </w:rPr>
        <w:t>进行焊接与切割作业及在易燃易爆场所使用喷灯、电钻、砂轮等可能产生火焰、火花和炽热表面的临时性作业时，须在施工前向甲方保卫部门申请办理动火证，否则不得动工；</w:t>
      </w:r>
    </w:p>
    <w:p w14:paraId="38B14DD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  <w:t>6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）</w:t>
      </w:r>
      <w:r>
        <w:rPr>
          <w:rFonts w:hint="eastAsia" w:ascii="方正仿宋_GB2312" w:hAnsi="方正仿宋_GB2312" w:eastAsia="方正仿宋_GB2312" w:cs="方正仿宋_GB2312"/>
          <w:color w:val="auto"/>
          <w:sz w:val="24"/>
        </w:rPr>
        <w:t>乙方负责施工现场垃圾的外运。做好施工现场保卫和垃圾消纳等工作，施工材料、余泥、垃圾堆放必须整齐，处理好由于施工带来的扰民问题及与周围单位（住户）的关系；</w:t>
      </w:r>
    </w:p>
    <w:p w14:paraId="3F112D5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  <w:t>7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）</w:t>
      </w:r>
      <w:r>
        <w:rPr>
          <w:rFonts w:hint="eastAsia" w:ascii="方正仿宋_GB2312" w:hAnsi="方正仿宋_GB2312" w:eastAsia="方正仿宋_GB2312" w:cs="方正仿宋_GB2312"/>
          <w:color w:val="auto"/>
          <w:sz w:val="24"/>
        </w:rPr>
        <w:t>施工期间若遇甲方临时要求暂停施工，必须服从甲方指令；</w:t>
      </w:r>
    </w:p>
    <w:p w14:paraId="21354BD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  <w:t>8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）</w:t>
      </w:r>
      <w:r>
        <w:rPr>
          <w:rFonts w:hint="eastAsia" w:ascii="方正仿宋_GB2312" w:hAnsi="方正仿宋_GB2312" w:eastAsia="方正仿宋_GB2312" w:cs="方正仿宋_GB2312"/>
          <w:color w:val="auto"/>
          <w:sz w:val="24"/>
        </w:rPr>
        <w:t>遵守和执行甲方有关安全、文明和施工作业时间等有关规定，一切以不影响临床业务开展为主，保障医患人员的人身安全；</w:t>
      </w:r>
    </w:p>
    <w:p w14:paraId="60E8801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  <w:t>9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）在发生工程质量或安全事故时，应立即向甲方及政府相关部门报告，并按照应急预案采取措施。事故现场应立即进行勘察、拍照取证，并保护现场。事故单位需在规定时间内提交事故报告，并责成事故调查小组开展调查。同时，应采取紧急抢救措施，减少人员伤亡和财产损失，防止事故扩大。事故处理完毕后，应进行鉴定验收，确认是否达到预期目的，并无遗留隐患。最后，需提交完整的事故处理报告。</w:t>
      </w:r>
    </w:p>
    <w:p w14:paraId="396C9FF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  <w:t>10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）</w:t>
      </w:r>
      <w:r>
        <w:rPr>
          <w:rFonts w:hint="eastAsia" w:ascii="方正仿宋_GB2312" w:hAnsi="方正仿宋_GB2312" w:eastAsia="方正仿宋_GB2312" w:cs="方正仿宋_GB2312"/>
          <w:color w:val="auto"/>
          <w:sz w:val="24"/>
        </w:rPr>
        <w:t>施工中未经甲方同意或有关部门批准，不得随意拆改原建筑物结构和开挖道路。涉及开挖墙面、地面的，乙方有责任在开挖前与甲方有关部门联系，获得甲方许可后方可施工；</w:t>
      </w:r>
    </w:p>
    <w:p w14:paraId="0CFD789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  <w:t>11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）</w:t>
      </w:r>
      <w:r>
        <w:rPr>
          <w:rFonts w:hint="eastAsia" w:ascii="方正仿宋_GB2312" w:hAnsi="方正仿宋_GB2312" w:eastAsia="方正仿宋_GB2312" w:cs="方正仿宋_GB2312"/>
          <w:color w:val="auto"/>
          <w:sz w:val="24"/>
        </w:rPr>
        <w:t>未经甲方同意，不得自行搭建临时设施。</w:t>
      </w:r>
    </w:p>
    <w:p w14:paraId="664D0A92">
      <w:pPr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kern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  <w:t>若乙方发生违反甲方相关管理规定，乙方须无条件进行整改。造成不良影响的，甲方有权按500元/次标准对乙方进行扣罚，在结算金额中给予扣除。造成甲方损失的，乙方承担赔偿责任。</w:t>
      </w:r>
    </w:p>
    <w:p w14:paraId="0F91CC8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  <w:lang w:val="en-US" w:eastAsia="zh-CN"/>
        </w:rPr>
        <w:t>验收与移交</w:t>
      </w:r>
    </w:p>
    <w:p w14:paraId="11F4685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lang w:eastAsia="zh-CN"/>
        </w:rPr>
        <w:t>工程质量标准：合格。符合国家及行业现行的建筑工程施工及验收标准，如建筑工程质量验收统一标准GB50300-2001、筏板基础验收规程04G101-3、建筑地基基础工程施工质量验收标准GB50202-2022等。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24"/>
          <w:szCs w:val="24"/>
          <w:lang w:val="en-US" w:eastAsia="zh-CN"/>
        </w:rPr>
        <w:t>承包商完成施工并自检合格后，向甲方提交验收申请，甲方管理部门组织相关科室进行验收。</w:t>
      </w:r>
    </w:p>
    <w:p w14:paraId="39BEECF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  <w:lang w:val="en-US" w:eastAsia="zh-CN"/>
        </w:rPr>
        <w:t>质量保证</w:t>
      </w:r>
    </w:p>
    <w:p w14:paraId="4F545B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80" w:firstLineChars="200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24"/>
          <w:szCs w:val="24"/>
          <w:lang w:val="en-US" w:eastAsia="zh-CN"/>
        </w:rPr>
        <w:t>根据《建设工程质量管理条例》第四十条，在正常使用条件下，电气管线、给排水管道、设备安装和装修工程的质保期为2年，自工程竣工验收合格并移交之日起计算。质保期内，乙方负责免费维修所有因材料、施工质量引起的问题。发生故障时自接报故障通知起保证1个小时内修复。</w:t>
      </w:r>
    </w:p>
    <w:p w14:paraId="529A2F2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  <w:lang w:val="en-US" w:eastAsia="zh-CN"/>
        </w:rPr>
        <w:t>付款</w:t>
      </w:r>
    </w:p>
    <w:p w14:paraId="720A17D0">
      <w:pPr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  <w:t>付款方式：竣工验收合格的，乙方需在竣工验收之日起30天内向甲方提交完整、真实、合格的竣工资料及结算资料。结算资料包含但不限于：结算书、主要材料品牌型号确认表、工程量计算书（如有）、竣工图纸（如有）、项目立项表、竣工验收单等。乙方完成上述工作，工程已经按甲方要求移交甲方，但因乙方结算资料不真实、不完整等原因导致不能按时完成结算审核，则时间顺延。</w:t>
      </w:r>
    </w:p>
    <w:p w14:paraId="736EC5CC">
      <w:pPr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  <w:t>甲方自接到乙方递交的完整且合格的结算资料之日起60天内审核完毕，若到期未提出异议，则视为同意。乙方在接到甲方提出的书面核对意见后，若未在15个日历天内确认且未提出异议，则视为对甲方提出的核对意见予以认可，甲方可直接自行办理结算，乙方需认可甲方依约自行结算的结果。</w:t>
      </w:r>
    </w:p>
    <w:p w14:paraId="0FB392D8">
      <w:pPr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lang w:val="en-US" w:eastAsia="zh-CN"/>
        </w:rPr>
        <w:t>工程结算价经甲方审核确认后30个日历天内，乙方应一并提交相关发票、付款申请等报账资料，甲方在收到资料后10个工作日内向乙方支付至结算价的97%。</w:t>
      </w:r>
    </w:p>
    <w:p w14:paraId="4A18E10B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24"/>
          <w:szCs w:val="24"/>
          <w:lang w:val="en-US" w:eastAsia="zh-CN"/>
        </w:rPr>
        <w:t>质保期满，甲方支付结算价剩余的3%。</w:t>
      </w:r>
    </w:p>
    <w:p w14:paraId="07B79EA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  <w:lang w:val="en-US" w:eastAsia="zh-CN"/>
        </w:rPr>
        <w:t>评标办法</w:t>
      </w:r>
    </w:p>
    <w:p w14:paraId="069A3E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24"/>
          <w:szCs w:val="24"/>
          <w:lang w:val="en-US" w:eastAsia="zh-CN"/>
        </w:rPr>
        <w:t>采用二次报价方式，具体详见挂网公告。</w:t>
      </w:r>
    </w:p>
    <w:p w14:paraId="38A4DA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righ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24"/>
          <w:szCs w:val="24"/>
          <w:lang w:val="en-US" w:eastAsia="zh-CN"/>
        </w:rPr>
      </w:pPr>
    </w:p>
    <w:p w14:paraId="384C85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righ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24"/>
          <w:szCs w:val="24"/>
          <w:lang w:val="en-US" w:eastAsia="zh-CN"/>
        </w:rPr>
        <w:t>花都院区后勤办公室</w:t>
      </w:r>
    </w:p>
    <w:p w14:paraId="131139B2">
      <w:pPr>
        <w:pStyle w:val="2"/>
        <w:jc w:val="right"/>
        <w:rPr>
          <w:rFonts w:hint="eastAsia" w:ascii="方正仿宋_GB2312" w:hAnsi="方正仿宋_GB2312" w:eastAsia="方正仿宋_GB2312" w:cs="方正仿宋_GB2312"/>
          <w:color w:val="auto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24"/>
          <w:szCs w:val="24"/>
          <w:lang w:val="en-US" w:eastAsia="zh-CN"/>
        </w:rPr>
        <w:t>2026年3月13日</w:t>
      </w:r>
    </w:p>
    <w:p w14:paraId="7CD3EF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color w:val="auto"/>
          <w:kern w:val="2"/>
          <w:sz w:val="24"/>
          <w:szCs w:val="28"/>
          <w:lang w:val="en-US" w:eastAsia="zh-CN" w:bidi="ar-SA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30507F5D-D94C-42AF-9DA3-EF7E29E82839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21545804-5471-4496-B14B-2013F83209A3}"/>
  </w:font>
  <w:font w:name="WPSEMBED4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10188E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E8B706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DE8B706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7F5B55"/>
    <w:multiLevelType w:val="singleLevel"/>
    <w:tmpl w:val="847F5B55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859AF77C"/>
    <w:multiLevelType w:val="singleLevel"/>
    <w:tmpl w:val="859AF77C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>
    <w:nsid w:val="85EA98FE"/>
    <w:multiLevelType w:val="singleLevel"/>
    <w:tmpl w:val="85EA98F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A0B9200C"/>
    <w:multiLevelType w:val="singleLevel"/>
    <w:tmpl w:val="A0B9200C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>
    <w:nsid w:val="D2F83899"/>
    <w:multiLevelType w:val="singleLevel"/>
    <w:tmpl w:val="D2F83899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5">
    <w:nsid w:val="EA6B7685"/>
    <w:multiLevelType w:val="singleLevel"/>
    <w:tmpl w:val="EA6B768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206CF238"/>
    <w:multiLevelType w:val="singleLevel"/>
    <w:tmpl w:val="206CF23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2BDF7112"/>
    <w:multiLevelType w:val="singleLevel"/>
    <w:tmpl w:val="2BDF711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6CE432D0"/>
    <w:multiLevelType w:val="singleLevel"/>
    <w:tmpl w:val="6CE432D0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9">
    <w:nsid w:val="711DCB36"/>
    <w:multiLevelType w:val="singleLevel"/>
    <w:tmpl w:val="711DCB3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2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B2196F"/>
    <w:rsid w:val="02CF7A3A"/>
    <w:rsid w:val="057448C8"/>
    <w:rsid w:val="07C44979"/>
    <w:rsid w:val="084C201B"/>
    <w:rsid w:val="08BC3764"/>
    <w:rsid w:val="0A00729B"/>
    <w:rsid w:val="0AD557FB"/>
    <w:rsid w:val="0E5C239D"/>
    <w:rsid w:val="0E681DD1"/>
    <w:rsid w:val="0E9B7C85"/>
    <w:rsid w:val="0F6C4862"/>
    <w:rsid w:val="101A6404"/>
    <w:rsid w:val="10682540"/>
    <w:rsid w:val="10F44B0F"/>
    <w:rsid w:val="11277FB0"/>
    <w:rsid w:val="1158509E"/>
    <w:rsid w:val="12C00F62"/>
    <w:rsid w:val="13983E78"/>
    <w:rsid w:val="13A26AA4"/>
    <w:rsid w:val="14542808"/>
    <w:rsid w:val="14551D69"/>
    <w:rsid w:val="14926B19"/>
    <w:rsid w:val="19F21C33"/>
    <w:rsid w:val="1AD5150D"/>
    <w:rsid w:val="1BD42C3A"/>
    <w:rsid w:val="1CB3762C"/>
    <w:rsid w:val="1CB97CD7"/>
    <w:rsid w:val="1DCD0774"/>
    <w:rsid w:val="1ECC70CB"/>
    <w:rsid w:val="1F2B6EE2"/>
    <w:rsid w:val="212136FE"/>
    <w:rsid w:val="22D014D8"/>
    <w:rsid w:val="230777EE"/>
    <w:rsid w:val="23703365"/>
    <w:rsid w:val="244D480A"/>
    <w:rsid w:val="25F56F08"/>
    <w:rsid w:val="26B41D72"/>
    <w:rsid w:val="26D205AD"/>
    <w:rsid w:val="274C2D23"/>
    <w:rsid w:val="29D25B2C"/>
    <w:rsid w:val="2A1F2A5F"/>
    <w:rsid w:val="2BC56EA5"/>
    <w:rsid w:val="2BFB6A62"/>
    <w:rsid w:val="2C9C00DD"/>
    <w:rsid w:val="2CFE2B46"/>
    <w:rsid w:val="2F945B6D"/>
    <w:rsid w:val="321150C9"/>
    <w:rsid w:val="32B2173B"/>
    <w:rsid w:val="343D3142"/>
    <w:rsid w:val="34A614EC"/>
    <w:rsid w:val="34B055B7"/>
    <w:rsid w:val="34EA4EFB"/>
    <w:rsid w:val="35C506A4"/>
    <w:rsid w:val="36525CB0"/>
    <w:rsid w:val="38284F1B"/>
    <w:rsid w:val="38806B05"/>
    <w:rsid w:val="3AE86368"/>
    <w:rsid w:val="3E2326FD"/>
    <w:rsid w:val="40505291"/>
    <w:rsid w:val="459A09C7"/>
    <w:rsid w:val="47356D0C"/>
    <w:rsid w:val="47DD7AD0"/>
    <w:rsid w:val="4A630034"/>
    <w:rsid w:val="4C2B0E2E"/>
    <w:rsid w:val="4CEF46B1"/>
    <w:rsid w:val="4D4B72A8"/>
    <w:rsid w:val="4EAA6232"/>
    <w:rsid w:val="50E0418D"/>
    <w:rsid w:val="52934BCD"/>
    <w:rsid w:val="54AA0D3A"/>
    <w:rsid w:val="54C76D1A"/>
    <w:rsid w:val="58C44394"/>
    <w:rsid w:val="5D8E4ADB"/>
    <w:rsid w:val="5E3922A0"/>
    <w:rsid w:val="612A78BE"/>
    <w:rsid w:val="668621FD"/>
    <w:rsid w:val="66A17AC3"/>
    <w:rsid w:val="670A38BA"/>
    <w:rsid w:val="695253F8"/>
    <w:rsid w:val="69D45479"/>
    <w:rsid w:val="6CB2196F"/>
    <w:rsid w:val="6D7702EC"/>
    <w:rsid w:val="6FEF3587"/>
    <w:rsid w:val="70B15AF2"/>
    <w:rsid w:val="717604C9"/>
    <w:rsid w:val="734C3DD6"/>
    <w:rsid w:val="77B80A55"/>
    <w:rsid w:val="78DD2AC6"/>
    <w:rsid w:val="7ABF7D5F"/>
    <w:rsid w:val="7D56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5">
    <w:name w:val="heading 4"/>
    <w:basedOn w:val="1"/>
    <w:next w:val="1"/>
    <w:qFormat/>
    <w:uiPriority w:val="0"/>
    <w:pPr>
      <w:keepNext/>
      <w:keepLines/>
      <w:tabs>
        <w:tab w:val="left" w:pos="864"/>
      </w:tabs>
      <w:snapToGrid w:val="0"/>
      <w:ind w:left="680" w:leftChars="100" w:right="100" w:rightChars="100" w:hanging="144"/>
      <w:outlineLvl w:val="3"/>
    </w:pPr>
    <w:rPr>
      <w:rFonts w:ascii="Cambria" w:hAnsi="Cambria" w:eastAsia="宋体"/>
      <w:b/>
      <w:bCs/>
      <w:sz w:val="28"/>
      <w:szCs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line="360" w:lineRule="auto"/>
    </w:pPr>
    <w:rPr>
      <w:szCs w:val="20"/>
    </w:rPr>
  </w:style>
  <w:style w:type="paragraph" w:styleId="3">
    <w:name w:val="Body Text Indent"/>
    <w:basedOn w:val="1"/>
    <w:qFormat/>
    <w:uiPriority w:val="0"/>
    <w:pPr>
      <w:ind w:firstLine="830" w:firstLineChars="352"/>
    </w:pPr>
    <w:rPr>
      <w:rFonts w:ascii="仿宋_GB2312" w:eastAsia="仿宋_GB2312"/>
      <w:sz w:val="32"/>
      <w:szCs w:val="20"/>
    </w:r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Block Text"/>
    <w:basedOn w:val="1"/>
    <w:unhideWhenUsed/>
    <w:qFormat/>
    <w:uiPriority w:val="0"/>
    <w:pPr>
      <w:spacing w:line="360" w:lineRule="auto"/>
      <w:ind w:left="0" w:right="0" w:firstLine="562" w:firstLineChars="200"/>
      <w:jc w:val="left"/>
    </w:pPr>
    <w:rPr>
      <w:rFonts w:ascii="仿宋" w:hAnsi="仿宋" w:cs="宋体"/>
      <w:bCs/>
      <w:sz w:val="24"/>
      <w:szCs w:val="24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3">
    <w:name w:val="Strong"/>
    <w:basedOn w:val="12"/>
    <w:qFormat/>
    <w:uiPriority w:val="0"/>
    <w:rPr>
      <w:b/>
    </w:rPr>
  </w:style>
  <w:style w:type="paragraph" w:customStyle="1" w:styleId="14">
    <w:name w:val="_Style 2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5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3665</Words>
  <Characters>3925</Characters>
  <Lines>0</Lines>
  <Paragraphs>0</Paragraphs>
  <TotalTime>2</TotalTime>
  <ScaleCrop>false</ScaleCrop>
  <LinksUpToDate>false</LinksUpToDate>
  <CharactersWithSpaces>3931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2025-08-28T08:31:00Z</dcterms:created>
  <dc:creator>蓦然回首</dc:creator>
  <cp:lastModifiedBy>liuziliang</cp:lastModifiedBy>
  <dcterms:modified xsi:type="dcterms:W3CDTF">2026-03-13T08:45:24Z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975F619A9614495293332A630CC6CCF6_13</vt:lpwstr>
  </property>
  <property fmtid="{D5CDD505-2E9C-101B-9397-08002B2CF9AE}" pid="4" name="KSOTemplateDocerSaveRecord">
    <vt:lpwstr>eyJoZGlkIjoiOWUzODJmY2MyZGI3ZTUwOTUyYzQwYWE0YjQyMTk0N2MiLCJ1c2VySWQiOiIyNjE4ODQ0NjAifQ==</vt:lpwstr>
  </property>
</Properties>
</file>