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1"/>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公开竞谈</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00E198EF">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2"/>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6048</w:t>
      </w:r>
    </w:p>
    <w:p w14:paraId="321085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single"/>
          <w:lang w:val="en-US" w:eastAsia="zh-CN"/>
        </w:rPr>
        <w:t>南北院区病房电视服务套餐采购</w:t>
      </w:r>
      <w:r>
        <w:rPr>
          <w:rFonts w:hint="eastAsia" w:ascii="方正仿宋简体" w:hAnsi="方正仿宋简体" w:eastAsia="方正仿宋简体" w:cs="方正仿宋简体"/>
          <w:b/>
          <w:bCs/>
          <w:sz w:val="28"/>
          <w:szCs w:val="28"/>
          <w:highlight w:val="none"/>
          <w:u w:val="single"/>
        </w:rPr>
        <w:t>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2"/>
        <w:rPr>
          <w:rFonts w:hint="eastAsia"/>
          <w:highlight w:val="none"/>
        </w:rPr>
      </w:pPr>
    </w:p>
    <w:p w14:paraId="2B5FD362">
      <w:pPr>
        <w:pStyle w:val="21"/>
        <w:rPr>
          <w:rFonts w:hint="eastAsia"/>
          <w:highlight w:val="none"/>
        </w:rPr>
      </w:pPr>
    </w:p>
    <w:p w14:paraId="63B49C8E">
      <w:pPr>
        <w:pStyle w:val="21"/>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2"/>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6</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24日</w:t>
      </w:r>
    </w:p>
    <w:p w14:paraId="5301B718">
      <w:pPr>
        <w:pStyle w:val="23"/>
        <w:rPr>
          <w:rFonts w:hint="eastAsia" w:ascii="宋体" w:hAnsi="宋体" w:cs="宋体"/>
          <w:b/>
          <w:bCs/>
          <w:color w:val="000000"/>
          <w:sz w:val="28"/>
          <w:szCs w:val="28"/>
          <w:highlight w:val="none"/>
        </w:rPr>
      </w:pPr>
    </w:p>
    <w:p w14:paraId="409BA9EA">
      <w:pPr>
        <w:pStyle w:val="23"/>
        <w:rPr>
          <w:rFonts w:hint="eastAsia" w:ascii="宋体" w:hAnsi="宋体" w:cs="宋体"/>
          <w:b/>
          <w:bCs/>
          <w:color w:val="000000"/>
          <w:sz w:val="28"/>
          <w:szCs w:val="28"/>
          <w:highlight w:val="none"/>
        </w:rPr>
      </w:pPr>
    </w:p>
    <w:p w14:paraId="04E8F0C8">
      <w:pPr>
        <w:pStyle w:val="23"/>
        <w:rPr>
          <w:rFonts w:hint="eastAsia" w:ascii="宋体" w:hAnsi="宋体" w:cs="宋体"/>
          <w:b/>
          <w:bCs/>
          <w:color w:val="000000"/>
          <w:sz w:val="28"/>
          <w:szCs w:val="28"/>
          <w:highlight w:val="none"/>
        </w:rPr>
      </w:pPr>
    </w:p>
    <w:p w14:paraId="1B88A998">
      <w:pPr>
        <w:pStyle w:val="23"/>
        <w:rPr>
          <w:rFonts w:hint="eastAsia" w:ascii="宋体" w:hAnsi="宋体" w:cs="宋体"/>
          <w:b/>
          <w:bCs/>
          <w:color w:val="000000"/>
          <w:sz w:val="28"/>
          <w:szCs w:val="28"/>
          <w:highlight w:val="none"/>
        </w:rPr>
      </w:pPr>
    </w:p>
    <w:p w14:paraId="41A415CB">
      <w:pPr>
        <w:pStyle w:val="23"/>
        <w:rPr>
          <w:rFonts w:hint="eastAsia" w:ascii="宋体" w:hAnsi="宋体" w:cs="宋体"/>
          <w:b/>
          <w:bCs/>
          <w:color w:val="000000"/>
          <w:sz w:val="28"/>
          <w:szCs w:val="28"/>
          <w:highlight w:val="none"/>
        </w:rPr>
      </w:pPr>
    </w:p>
    <w:p w14:paraId="113C161D">
      <w:pPr>
        <w:pStyle w:val="23"/>
        <w:rPr>
          <w:rFonts w:hint="eastAsia" w:ascii="宋体" w:hAnsi="宋体" w:cs="宋体"/>
          <w:b/>
          <w:bCs/>
          <w:color w:val="000000"/>
          <w:sz w:val="28"/>
          <w:szCs w:val="28"/>
          <w:highlight w:val="none"/>
        </w:rPr>
      </w:pPr>
    </w:p>
    <w:p w14:paraId="0B7E2E4B">
      <w:pPr>
        <w:pStyle w:val="23"/>
        <w:rPr>
          <w:rFonts w:hint="eastAsia" w:ascii="宋体" w:hAnsi="宋体" w:cs="宋体"/>
          <w:b/>
          <w:bCs/>
          <w:color w:val="000000"/>
          <w:sz w:val="28"/>
          <w:szCs w:val="28"/>
          <w:highlight w:val="none"/>
        </w:rPr>
      </w:pPr>
    </w:p>
    <w:p w14:paraId="5421F945">
      <w:pPr>
        <w:pStyle w:val="23"/>
        <w:rPr>
          <w:rFonts w:hint="eastAsia" w:ascii="宋体" w:hAnsi="宋体" w:cs="宋体"/>
          <w:b/>
          <w:bCs/>
          <w:color w:val="000000"/>
          <w:sz w:val="28"/>
          <w:szCs w:val="28"/>
          <w:highlight w:val="none"/>
        </w:rPr>
      </w:pPr>
    </w:p>
    <w:p w14:paraId="56C65A7C">
      <w:pPr>
        <w:pStyle w:val="23"/>
        <w:rPr>
          <w:rFonts w:hint="eastAsia" w:ascii="宋体" w:hAnsi="宋体" w:cs="宋体"/>
          <w:b/>
          <w:bCs/>
          <w:color w:val="000000"/>
          <w:sz w:val="28"/>
          <w:szCs w:val="28"/>
          <w:highlight w:val="none"/>
        </w:rPr>
      </w:pPr>
    </w:p>
    <w:p w14:paraId="5CA44C55">
      <w:pPr>
        <w:pStyle w:val="23"/>
        <w:rPr>
          <w:rFonts w:hint="eastAsia" w:ascii="宋体" w:hAnsi="宋体" w:cs="宋体"/>
          <w:b/>
          <w:bCs/>
          <w:color w:val="000000"/>
          <w:sz w:val="28"/>
          <w:szCs w:val="28"/>
          <w:highlight w:val="none"/>
        </w:rPr>
      </w:pPr>
    </w:p>
    <w:p w14:paraId="6E2A97E8">
      <w:pPr>
        <w:pStyle w:val="23"/>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1"/>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1"/>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第一章</w:t>
      </w:r>
      <w:r>
        <w:rPr>
          <w:rStyle w:val="20"/>
          <w:rFonts w:hint="eastAsia" w:ascii="仿宋" w:hAnsi="仿宋" w:eastAsia="仿宋" w:cs="仿宋"/>
          <w:b/>
          <w:color w:val="000000"/>
          <w:sz w:val="32"/>
          <w:szCs w:val="32"/>
          <w:highlight w:val="none"/>
          <w:lang w:val="en-US" w:eastAsia="zh-CN"/>
        </w:rPr>
        <w:t xml:space="preserve"> 竞谈邀请</w:t>
      </w:r>
      <w:r>
        <w:rPr>
          <w:rStyle w:val="20"/>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1"/>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第二章</w:t>
      </w:r>
      <w:r>
        <w:rPr>
          <w:rStyle w:val="20"/>
          <w:rFonts w:hint="eastAsia" w:ascii="仿宋" w:hAnsi="仿宋" w:eastAsia="仿宋" w:cs="仿宋"/>
          <w:b/>
          <w:color w:val="000000"/>
          <w:sz w:val="32"/>
          <w:szCs w:val="32"/>
          <w:highlight w:val="none"/>
          <w:lang w:val="en-US" w:eastAsia="zh-CN"/>
        </w:rPr>
        <w:t xml:space="preserve"> </w:t>
      </w:r>
      <w:r>
        <w:rPr>
          <w:rStyle w:val="20"/>
          <w:rFonts w:hint="eastAsia" w:ascii="仿宋" w:hAnsi="仿宋" w:eastAsia="仿宋" w:cs="仿宋"/>
          <w:b/>
          <w:color w:val="000000"/>
          <w:sz w:val="32"/>
          <w:szCs w:val="32"/>
          <w:highlight w:val="none"/>
          <w:lang w:eastAsia="zh-CN"/>
        </w:rPr>
        <w:t>用户</w:t>
      </w:r>
      <w:r>
        <w:rPr>
          <w:rStyle w:val="20"/>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1"/>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0"/>
          <w:rFonts w:hint="eastAsia" w:ascii="仿宋" w:hAnsi="仿宋" w:eastAsia="仿宋" w:cs="仿宋"/>
          <w:b/>
          <w:color w:val="000000"/>
          <w:sz w:val="32"/>
          <w:szCs w:val="32"/>
          <w:highlight w:val="none"/>
        </w:rPr>
        <w:t>第三章</w:t>
      </w:r>
      <w:r>
        <w:rPr>
          <w:rStyle w:val="20"/>
          <w:rFonts w:hint="eastAsia" w:ascii="仿宋" w:hAnsi="仿宋" w:eastAsia="仿宋" w:cs="仿宋"/>
          <w:b/>
          <w:color w:val="000000"/>
          <w:sz w:val="32"/>
          <w:szCs w:val="32"/>
          <w:highlight w:val="none"/>
          <w:lang w:val="en-US" w:eastAsia="zh-CN"/>
        </w:rPr>
        <w:t xml:space="preserve"> 响应</w:t>
      </w:r>
      <w:r>
        <w:rPr>
          <w:rStyle w:val="20"/>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1"/>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3"/>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1"/>
        <w:rPr>
          <w:rFonts w:hint="eastAsia"/>
          <w:highlight w:val="none"/>
        </w:rPr>
      </w:pPr>
    </w:p>
    <w:p w14:paraId="69D6D8DC">
      <w:pPr>
        <w:rPr>
          <w:color w:val="000000"/>
          <w:highlight w:val="none"/>
        </w:rPr>
      </w:pPr>
    </w:p>
    <w:p w14:paraId="0844E894">
      <w:pPr>
        <w:pStyle w:val="23"/>
        <w:rPr>
          <w:color w:val="000000"/>
          <w:highlight w:val="none"/>
        </w:rPr>
      </w:pPr>
    </w:p>
    <w:p w14:paraId="257E9C11">
      <w:pPr>
        <w:pStyle w:val="23"/>
        <w:rPr>
          <w:color w:val="000000"/>
          <w:highlight w:val="none"/>
        </w:rPr>
      </w:pPr>
    </w:p>
    <w:p w14:paraId="484185A9">
      <w:pPr>
        <w:pStyle w:val="23"/>
        <w:rPr>
          <w:color w:val="000000"/>
          <w:highlight w:val="none"/>
        </w:rPr>
      </w:pPr>
    </w:p>
    <w:p w14:paraId="25781AD5">
      <w:pPr>
        <w:pStyle w:val="23"/>
        <w:rPr>
          <w:color w:val="000000"/>
          <w:highlight w:val="none"/>
        </w:rPr>
      </w:pPr>
    </w:p>
    <w:p w14:paraId="5BDD560E">
      <w:pPr>
        <w:pStyle w:val="23"/>
        <w:rPr>
          <w:color w:val="000000"/>
          <w:highlight w:val="none"/>
        </w:rPr>
      </w:pPr>
    </w:p>
    <w:p w14:paraId="5DA17303">
      <w:pPr>
        <w:pStyle w:val="23"/>
        <w:rPr>
          <w:color w:val="000000"/>
          <w:highlight w:val="none"/>
        </w:rPr>
      </w:pPr>
    </w:p>
    <w:p w14:paraId="7FDF95DF">
      <w:pPr>
        <w:pStyle w:val="23"/>
        <w:rPr>
          <w:color w:val="000000"/>
          <w:highlight w:val="none"/>
        </w:rPr>
      </w:pPr>
    </w:p>
    <w:p w14:paraId="24726310">
      <w:pPr>
        <w:pStyle w:val="23"/>
        <w:rPr>
          <w:color w:val="000000"/>
          <w:highlight w:val="none"/>
        </w:rPr>
      </w:pPr>
    </w:p>
    <w:p w14:paraId="103E28CA">
      <w:pPr>
        <w:pStyle w:val="23"/>
        <w:rPr>
          <w:color w:val="000000"/>
          <w:highlight w:val="none"/>
        </w:rPr>
      </w:pPr>
    </w:p>
    <w:p w14:paraId="59889958">
      <w:pPr>
        <w:pStyle w:val="23"/>
        <w:rPr>
          <w:color w:val="000000"/>
          <w:highlight w:val="none"/>
        </w:rPr>
      </w:pPr>
    </w:p>
    <w:p w14:paraId="0BCB1126">
      <w:pPr>
        <w:pStyle w:val="23"/>
        <w:rPr>
          <w:color w:val="000000"/>
          <w:highlight w:val="none"/>
        </w:rPr>
      </w:pPr>
    </w:p>
    <w:p w14:paraId="4877ADD8">
      <w:pPr>
        <w:pStyle w:val="23"/>
        <w:rPr>
          <w:color w:val="000000"/>
          <w:highlight w:val="none"/>
        </w:rPr>
      </w:pPr>
    </w:p>
    <w:p w14:paraId="7B7E1FFA">
      <w:pPr>
        <w:pStyle w:val="23"/>
        <w:rPr>
          <w:color w:val="000000"/>
          <w:highlight w:val="none"/>
        </w:rPr>
      </w:pPr>
    </w:p>
    <w:p w14:paraId="23CD036E">
      <w:pPr>
        <w:pStyle w:val="23"/>
        <w:ind w:left="0" w:leftChars="0" w:firstLine="0" w:firstLineChars="0"/>
        <w:rPr>
          <w:color w:val="000000"/>
          <w:highlight w:val="none"/>
        </w:rPr>
      </w:pPr>
    </w:p>
    <w:p w14:paraId="696D0A22">
      <w:pPr>
        <w:pStyle w:val="23"/>
        <w:rPr>
          <w:color w:val="000000"/>
          <w:highlight w:val="none"/>
        </w:rPr>
      </w:pPr>
    </w:p>
    <w:p w14:paraId="2BF55A84">
      <w:pPr>
        <w:pStyle w:val="23"/>
        <w:rPr>
          <w:color w:val="000000"/>
          <w:highlight w:val="none"/>
        </w:rPr>
      </w:pPr>
    </w:p>
    <w:p w14:paraId="03B0C041">
      <w:pPr>
        <w:pStyle w:val="23"/>
        <w:rPr>
          <w:color w:val="000000"/>
          <w:highlight w:val="none"/>
        </w:rPr>
      </w:pPr>
    </w:p>
    <w:p w14:paraId="449508C9">
      <w:pPr>
        <w:pStyle w:val="23"/>
        <w:rPr>
          <w:color w:val="000000"/>
          <w:highlight w:val="none"/>
        </w:rPr>
      </w:pPr>
    </w:p>
    <w:p w14:paraId="7A1A06F1">
      <w:pPr>
        <w:pStyle w:val="23"/>
        <w:rPr>
          <w:color w:val="000000"/>
          <w:highlight w:val="none"/>
        </w:rPr>
      </w:pPr>
    </w:p>
    <w:p w14:paraId="28267644">
      <w:pPr>
        <w:pStyle w:val="23"/>
        <w:rPr>
          <w:color w:val="000000"/>
          <w:highlight w:val="none"/>
        </w:rPr>
      </w:pPr>
    </w:p>
    <w:p w14:paraId="4CB52CDD">
      <w:pPr>
        <w:pStyle w:val="23"/>
        <w:rPr>
          <w:color w:val="000000"/>
          <w:highlight w:val="none"/>
        </w:rPr>
      </w:pPr>
    </w:p>
    <w:p w14:paraId="085F5639">
      <w:pPr>
        <w:pStyle w:val="23"/>
        <w:rPr>
          <w:color w:val="000000"/>
          <w:highlight w:val="none"/>
        </w:rPr>
      </w:pPr>
    </w:p>
    <w:p w14:paraId="6CD57F8C">
      <w:pPr>
        <w:pStyle w:val="23"/>
        <w:rPr>
          <w:color w:val="000000"/>
          <w:highlight w:val="none"/>
        </w:rPr>
      </w:pPr>
    </w:p>
    <w:p w14:paraId="066664FF">
      <w:pPr>
        <w:pStyle w:val="23"/>
        <w:rPr>
          <w:color w:val="000000"/>
          <w:highlight w:val="none"/>
        </w:rPr>
      </w:pPr>
    </w:p>
    <w:p w14:paraId="6406EB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385939527"/>
      <w:bookmarkStart w:id="2" w:name="_Toc385940868"/>
      <w:bookmarkStart w:id="3" w:name="_Toc50691018"/>
      <w:bookmarkStart w:id="4" w:name="_Toc50737317"/>
      <w:bookmarkStart w:id="5" w:name="_Toc50737285"/>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竞谈邀请</w:t>
      </w:r>
      <w:r>
        <w:rPr>
          <w:rFonts w:hint="eastAsia" w:ascii="微软雅黑" w:hAnsi="微软雅黑" w:eastAsia="微软雅黑" w:cs="微软雅黑"/>
          <w:color w:val="000000"/>
          <w:highlight w:val="none"/>
        </w:rPr>
        <w:t>函</w:t>
      </w:r>
      <w:bookmarkEnd w:id="7"/>
    </w:p>
    <w:p w14:paraId="3AD43A24">
      <w:pPr>
        <w:pStyle w:val="23"/>
        <w:rPr>
          <w:color w:val="000000"/>
          <w:highlight w:val="none"/>
        </w:rPr>
      </w:pPr>
    </w:p>
    <w:p w14:paraId="32E715E1">
      <w:pPr>
        <w:pStyle w:val="23"/>
        <w:rPr>
          <w:color w:val="000000"/>
          <w:highlight w:val="none"/>
        </w:rPr>
      </w:pPr>
    </w:p>
    <w:p w14:paraId="54448988">
      <w:pPr>
        <w:pStyle w:val="23"/>
        <w:rPr>
          <w:color w:val="000000"/>
          <w:highlight w:val="none"/>
        </w:rPr>
      </w:pPr>
    </w:p>
    <w:p w14:paraId="2AEA74C1">
      <w:pPr>
        <w:pStyle w:val="23"/>
        <w:rPr>
          <w:color w:val="000000"/>
          <w:highlight w:val="none"/>
        </w:rPr>
      </w:pPr>
    </w:p>
    <w:p w14:paraId="61BE7C16">
      <w:pPr>
        <w:pStyle w:val="23"/>
        <w:rPr>
          <w:color w:val="000000"/>
          <w:highlight w:val="none"/>
        </w:rPr>
      </w:pPr>
    </w:p>
    <w:p w14:paraId="60D06DB7">
      <w:pPr>
        <w:pStyle w:val="23"/>
        <w:rPr>
          <w:color w:val="000000"/>
          <w:highlight w:val="none"/>
        </w:rPr>
      </w:pPr>
    </w:p>
    <w:p w14:paraId="70B6352E">
      <w:pPr>
        <w:pStyle w:val="23"/>
        <w:rPr>
          <w:color w:val="000000"/>
          <w:highlight w:val="none"/>
        </w:rPr>
      </w:pPr>
    </w:p>
    <w:p w14:paraId="3E73432F">
      <w:pPr>
        <w:pStyle w:val="23"/>
        <w:rPr>
          <w:color w:val="000000"/>
          <w:highlight w:val="none"/>
        </w:rPr>
      </w:pPr>
    </w:p>
    <w:p w14:paraId="777CBB49">
      <w:pPr>
        <w:pStyle w:val="23"/>
        <w:rPr>
          <w:color w:val="000000"/>
          <w:highlight w:val="none"/>
        </w:rPr>
      </w:pPr>
    </w:p>
    <w:p w14:paraId="6BC2A4F5">
      <w:pPr>
        <w:pStyle w:val="23"/>
        <w:rPr>
          <w:color w:val="000000"/>
          <w:highlight w:val="none"/>
        </w:rPr>
      </w:pPr>
    </w:p>
    <w:p w14:paraId="746ED7EA">
      <w:pPr>
        <w:pStyle w:val="23"/>
        <w:rPr>
          <w:color w:val="000000"/>
          <w:highlight w:val="none"/>
        </w:rPr>
      </w:pPr>
    </w:p>
    <w:p w14:paraId="5A501B29">
      <w:pPr>
        <w:pStyle w:val="23"/>
        <w:rPr>
          <w:color w:val="000000"/>
          <w:highlight w:val="none"/>
        </w:rPr>
      </w:pPr>
    </w:p>
    <w:p w14:paraId="2A6FF7BF">
      <w:pPr>
        <w:pStyle w:val="23"/>
        <w:rPr>
          <w:color w:val="000000"/>
          <w:highlight w:val="none"/>
        </w:rPr>
      </w:pPr>
    </w:p>
    <w:p w14:paraId="07687E97">
      <w:pPr>
        <w:pStyle w:val="23"/>
        <w:rPr>
          <w:color w:val="000000"/>
          <w:highlight w:val="none"/>
        </w:rPr>
      </w:pPr>
    </w:p>
    <w:p w14:paraId="1001E486">
      <w:pPr>
        <w:pStyle w:val="23"/>
        <w:rPr>
          <w:color w:val="000000"/>
          <w:highlight w:val="none"/>
        </w:rPr>
      </w:pPr>
    </w:p>
    <w:p w14:paraId="02CD458A">
      <w:pPr>
        <w:pStyle w:val="23"/>
        <w:rPr>
          <w:color w:val="000000"/>
          <w:highlight w:val="none"/>
        </w:rPr>
      </w:pPr>
    </w:p>
    <w:p w14:paraId="630EA551">
      <w:pPr>
        <w:pStyle w:val="23"/>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竞谈邀请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现对中山大学孙逸仙纪念医院南北院区病房电视服务套餐采购项目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val="0"/>
          <w:color w:val="000000"/>
          <w:sz w:val="24"/>
          <w:szCs w:val="24"/>
          <w:highlight w:val="none"/>
          <w:lang w:val="en-US"/>
        </w:rPr>
      </w:pPr>
      <w:r>
        <w:rPr>
          <w:rFonts w:hint="eastAsia" w:ascii="仿宋" w:hAnsi="仿宋" w:eastAsia="仿宋" w:cs="仿宋"/>
          <w:b/>
          <w:bCs w:val="0"/>
          <w:color w:val="000000"/>
          <w:kern w:val="2"/>
          <w:sz w:val="24"/>
          <w:szCs w:val="24"/>
          <w:lang w:val="en-US" w:eastAsia="zh-CN" w:bidi="ar-SA"/>
        </w:rPr>
        <w:t>一、</w:t>
      </w: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ZCB-2026048</w:t>
      </w:r>
    </w:p>
    <w:p w14:paraId="6499695A">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二、</w:t>
      </w: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：中山大学孙逸仙纪念医院南北院区病房电视服务套餐采购项目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三、</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6"/>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308"/>
        <w:gridCol w:w="2652"/>
        <w:gridCol w:w="1798"/>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5"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采购标的</w:t>
            </w:r>
          </w:p>
        </w:tc>
        <w:tc>
          <w:tcPr>
            <w:tcW w:w="1367"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1571"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技术规格、参数及要求</w:t>
            </w:r>
          </w:p>
        </w:tc>
        <w:tc>
          <w:tcPr>
            <w:tcW w:w="1065" w:type="pct"/>
            <w:tcBorders>
              <w:top w:val="single" w:color="auto" w:sz="4" w:space="0"/>
              <w:left w:val="nil"/>
              <w:bottom w:val="single" w:color="auto" w:sz="4" w:space="0"/>
              <w:right w:val="single" w:color="auto" w:sz="4" w:space="0"/>
            </w:tcBorders>
            <w:vAlign w:val="top"/>
          </w:tcPr>
          <w:p w14:paraId="034B3BB0">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采购预算</w:t>
            </w:r>
          </w:p>
          <w:p w14:paraId="1AE0B2B7">
            <w:pPr>
              <w:keepNext w:val="0"/>
              <w:keepLines w:val="0"/>
              <w:widowControl/>
              <w:suppressLineNumbers w:val="0"/>
              <w:spacing w:before="0" w:beforeAutospacing="0" w:after="0" w:afterAutospacing="0"/>
              <w:ind w:left="0" w:leftChars="0" w:right="0" w:rightChars="0"/>
              <w:jc w:val="center"/>
              <w:textAlignment w:val="top"/>
              <w:rPr>
                <w:rFonts w:hint="eastAsia" w:ascii="仿宋" w:hAnsi="仿宋" w:eastAsia="仿宋" w:cs="仿宋"/>
                <w:sz w:val="24"/>
                <w:szCs w:val="24"/>
                <w:highlight w:val="none"/>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95"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南北院区病房电视服务套餐</w:t>
            </w:r>
          </w:p>
        </w:tc>
        <w:tc>
          <w:tcPr>
            <w:tcW w:w="1367"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2026年6月1日至2027年12月10日</w:t>
            </w:r>
          </w:p>
        </w:tc>
        <w:tc>
          <w:tcPr>
            <w:tcW w:w="1571" w:type="pct"/>
            <w:tcBorders>
              <w:top w:val="single" w:color="auto" w:sz="4" w:space="0"/>
              <w:left w:val="nil"/>
              <w:bottom w:val="single" w:color="auto" w:sz="4" w:space="0"/>
              <w:right w:val="single" w:color="auto" w:sz="4" w:space="0"/>
            </w:tcBorders>
            <w:vAlign w:val="center"/>
          </w:tcPr>
          <w:p w14:paraId="079DD19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详见附件1采购文件第二部分用户需求书</w:t>
            </w:r>
          </w:p>
        </w:tc>
        <w:tc>
          <w:tcPr>
            <w:tcW w:w="1065" w:type="pct"/>
            <w:tcBorders>
              <w:top w:val="single" w:color="auto" w:sz="4" w:space="0"/>
              <w:left w:val="nil"/>
              <w:bottom w:val="single" w:color="auto" w:sz="4" w:space="0"/>
              <w:right w:val="single" w:color="auto" w:sz="4" w:space="0"/>
            </w:tcBorders>
            <w:vAlign w:val="center"/>
          </w:tcPr>
          <w:p w14:paraId="2ED8E4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268858.33元</w:t>
            </w:r>
          </w:p>
        </w:tc>
      </w:tr>
    </w:tbl>
    <w:p w14:paraId="0078DD41">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1.详细技术规范请参阅</w:t>
      </w:r>
      <w:r>
        <w:rPr>
          <w:rFonts w:hint="eastAsia" w:ascii="仿宋" w:hAnsi="仿宋" w:eastAsia="仿宋" w:cs="仿宋"/>
          <w:bCs/>
          <w:color w:val="000000"/>
          <w:sz w:val="24"/>
          <w:szCs w:val="24"/>
          <w:highlight w:val="none"/>
          <w:lang w:val="en-US" w:eastAsia="zh-CN"/>
        </w:rPr>
        <w:t>采购</w:t>
      </w:r>
      <w:r>
        <w:rPr>
          <w:rFonts w:hint="eastAsia" w:ascii="仿宋" w:hAnsi="仿宋" w:eastAsia="仿宋" w:cs="仿宋"/>
          <w:bCs/>
          <w:color w:val="000000"/>
          <w:sz w:val="24"/>
          <w:szCs w:val="24"/>
          <w:highlight w:val="none"/>
        </w:rPr>
        <w:t>文件中的“用户需求书”。</w:t>
      </w:r>
    </w:p>
    <w:p w14:paraId="61710BD1">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2.项目时间：按采购人要求；</w:t>
      </w:r>
    </w:p>
    <w:p w14:paraId="4C2A6CFD">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3.项目实施地点：中山大学孙逸仙纪念医院</w:t>
      </w:r>
      <w:r>
        <w:rPr>
          <w:rFonts w:hint="eastAsia" w:ascii="仿宋" w:hAnsi="仿宋" w:eastAsia="仿宋" w:cs="仿宋"/>
          <w:bCs/>
          <w:color w:val="000000"/>
          <w:sz w:val="24"/>
          <w:szCs w:val="24"/>
          <w:highlight w:val="none"/>
          <w:lang w:val="en-US" w:eastAsia="zh-CN"/>
        </w:rPr>
        <w:t>南</w:t>
      </w:r>
      <w:r>
        <w:rPr>
          <w:rFonts w:hint="eastAsia" w:ascii="仿宋" w:hAnsi="仿宋" w:eastAsia="仿宋" w:cs="仿宋"/>
          <w:bCs/>
          <w:color w:val="000000"/>
          <w:sz w:val="24"/>
          <w:szCs w:val="24"/>
          <w:highlight w:val="none"/>
        </w:rPr>
        <w:t>北院区。</w:t>
      </w:r>
    </w:p>
    <w:p w14:paraId="31AC1FF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4.本项目不接受联合体响应，成交供应商不得以任何方式转包或分包本项目。</w:t>
      </w:r>
    </w:p>
    <w:p w14:paraId="0246D0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19"/>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19"/>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19"/>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病房电视服务套餐</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19"/>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19"/>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val="en-US" w:eastAsia="zh-CN"/>
        </w:rPr>
        <w:t>评审</w:t>
      </w:r>
      <w:r>
        <w:rPr>
          <w:rFonts w:hint="eastAsia" w:ascii="仿宋" w:hAnsi="仿宋" w:eastAsia="仿宋" w:cs="仿宋"/>
          <w:i w:val="0"/>
          <w:iCs w:val="0"/>
          <w:caps w:val="0"/>
          <w:color w:val="FF0000"/>
          <w:spacing w:val="0"/>
          <w:sz w:val="24"/>
          <w:szCs w:val="24"/>
          <w:highlight w:val="none"/>
          <w:u w:val="none"/>
          <w:vertAlign w:val="baseline"/>
          <w:lang w:eastAsia="zh-CN"/>
        </w:rPr>
        <w:t>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8"/>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3"/>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3"/>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3"/>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14:paraId="725B40E8">
      <w:pPr>
        <w:pStyle w:val="8"/>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注：供应商若不能同时满足以上条件则视为响应参与无效。（如发现提供虚假材料者，取消其参加评审资格，并列入采购人失信供应商名单。）</w:t>
      </w:r>
    </w:p>
    <w:p w14:paraId="1206C87D">
      <w:pPr>
        <w:pStyle w:val="8"/>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52696114">
      <w:pPr>
        <w:pStyle w:val="2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踏勘要求</w:t>
      </w:r>
    </w:p>
    <w:p w14:paraId="4CCEBDDA">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为方便各供应商了解项目实况，我院组织集中踏勘现场，具体时间地点如下：</w:t>
      </w:r>
    </w:p>
    <w:p w14:paraId="2071F656">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①集合时间：2026年5月6日上午9:30（过时不候），集合地点：中山大学孙逸仙纪念医院北院区大门口（广州市越秀区沿江西路107号）；</w:t>
      </w:r>
    </w:p>
    <w:p w14:paraId="5A442E89">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yellow"/>
          <w:lang w:val="en-US" w:eastAsia="zh-CN"/>
        </w:rPr>
        <w:t>②集合时间：2026年5月6日下午15:00（过时不候），集合地点：中山大学孙逸仙纪念医院南院区大门口（广州市海珠区盈丰路33号）；</w:t>
      </w:r>
    </w:p>
    <w:p w14:paraId="225ACBD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kern w:val="2"/>
          <w:sz w:val="24"/>
          <w:szCs w:val="24"/>
          <w:highlight w:val="yellow"/>
          <w:lang w:val="en-US" w:eastAsia="zh-CN" w:bidi="ar-SA"/>
        </w:rPr>
      </w:pPr>
      <w:r>
        <w:rPr>
          <w:rFonts w:hint="eastAsia" w:ascii="仿宋" w:hAnsi="仿宋" w:eastAsia="仿宋" w:cs="仿宋"/>
          <w:b w:val="0"/>
          <w:bCs w:val="0"/>
          <w:color w:val="auto"/>
          <w:kern w:val="2"/>
          <w:sz w:val="24"/>
          <w:szCs w:val="24"/>
          <w:highlight w:val="yellow"/>
          <w:lang w:val="en-US" w:eastAsia="zh-CN" w:bidi="ar-SA"/>
        </w:rPr>
        <w:t>现场联系人：蔡老师，联系电话：020-81332786、13650843471。</w:t>
      </w:r>
    </w:p>
    <w:p w14:paraId="064DEB2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kern w:val="2"/>
          <w:sz w:val="24"/>
          <w:szCs w:val="24"/>
          <w:highlight w:val="yellow"/>
          <w:lang w:val="en-US" w:eastAsia="zh-CN" w:bidi="ar-SA"/>
        </w:rPr>
      </w:pPr>
      <w:r>
        <w:rPr>
          <w:rFonts w:hint="eastAsia" w:ascii="仿宋" w:hAnsi="仿宋" w:eastAsia="仿宋" w:cs="仿宋"/>
          <w:b w:val="0"/>
          <w:bCs w:val="0"/>
          <w:color w:val="auto"/>
          <w:kern w:val="2"/>
          <w:sz w:val="24"/>
          <w:szCs w:val="24"/>
          <w:highlight w:val="yellow"/>
          <w:lang w:val="en-US" w:eastAsia="zh-CN" w:bidi="ar-SA"/>
        </w:rPr>
        <w:t>鉴于场地存在限制条件，</w:t>
      </w:r>
      <w:r>
        <w:rPr>
          <w:rFonts w:hint="eastAsia" w:ascii="仿宋" w:hAnsi="仿宋" w:eastAsia="仿宋" w:cs="仿宋"/>
          <w:b/>
          <w:bCs/>
          <w:color w:val="FF0000"/>
          <w:kern w:val="2"/>
          <w:sz w:val="24"/>
          <w:szCs w:val="24"/>
          <w:highlight w:val="yellow"/>
          <w:lang w:val="en-US" w:eastAsia="zh-CN" w:bidi="ar-SA"/>
        </w:rPr>
        <w:t>参与踏勘的供应商仅需安排一名人员参加，且不得超过一人</w:t>
      </w:r>
      <w:r>
        <w:rPr>
          <w:rFonts w:hint="eastAsia" w:ascii="仿宋" w:hAnsi="仿宋" w:eastAsia="仿宋" w:cs="仿宋"/>
          <w:b w:val="0"/>
          <w:bCs w:val="0"/>
          <w:color w:val="auto"/>
          <w:kern w:val="2"/>
          <w:sz w:val="24"/>
          <w:szCs w:val="24"/>
          <w:highlight w:val="yellow"/>
          <w:lang w:val="en-US" w:eastAsia="zh-CN" w:bidi="ar-SA"/>
        </w:rPr>
        <w:t>。上述两次踏勘的场地及内容均有所不同，供应商应积极参与。</w:t>
      </w:r>
    </w:p>
    <w:p w14:paraId="073285C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auto"/>
          <w:kern w:val="2"/>
          <w:sz w:val="24"/>
          <w:szCs w:val="24"/>
          <w:highlight w:val="yellow"/>
          <w:lang w:val="en-US" w:eastAsia="zh-CN" w:bidi="ar-SA"/>
        </w:rPr>
      </w:pPr>
      <w:r>
        <w:rPr>
          <w:rFonts w:hint="eastAsia" w:ascii="仿宋" w:hAnsi="仿宋" w:eastAsia="仿宋" w:cs="仿宋"/>
          <w:b w:val="0"/>
          <w:bCs w:val="0"/>
          <w:color w:val="auto"/>
          <w:kern w:val="2"/>
          <w:sz w:val="24"/>
          <w:szCs w:val="24"/>
          <w:highlight w:val="yellow"/>
          <w:lang w:val="en-US" w:eastAsia="zh-CN" w:bidi="ar-SA"/>
        </w:rPr>
        <w:t>如供应商没有到现场踏勘视为自动放弃踏勘现场的权利，任何因忽视或误解项目现场情况而导致的项目延误或费用增加等一切风险均由供应商自行承担。不管供应商是否考察过现场，均被认为在递交响应文件前已经了解现场情况。出席踏勘的供应商应承担踏勘现场自身所发生的费用。</w:t>
      </w:r>
    </w:p>
    <w:p w14:paraId="2E6A002C">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九、</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响应文件提交的截止时间、地点：202</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szCs w:val="24"/>
          <w:highlight w:val="non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szCs w:val="24"/>
          <w:highlight w:val="none"/>
          <w:lang w:eastAsia="zh-CN"/>
          <w14:textFill>
            <w14:solidFill>
              <w14:schemeClr w14:val="tx1"/>
            </w14:solidFill>
          </w14:textFill>
        </w:rPr>
        <w:t>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中午12:00，广州市越秀区长堤大马路171号一方长堤健康产业中心（原威力斯大楼）907室。</w:t>
      </w:r>
    </w:p>
    <w:p w14:paraId="1DFAF2AC">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1.响应文件仅受理纸质，</w:t>
      </w:r>
      <w:r>
        <w:rPr>
          <w:rFonts w:hint="eastAsia" w:ascii="仿宋" w:hAnsi="仿宋" w:eastAsia="仿宋" w:cs="仿宋"/>
          <w:color w:val="000000" w:themeColor="text1"/>
          <w:sz w:val="24"/>
          <w:szCs w:val="24"/>
          <w:highlight w:val="none"/>
          <w:u w:val="single"/>
          <w14:textFill>
            <w14:solidFill>
              <w14:schemeClr w14:val="tx1"/>
            </w14:solidFill>
          </w14:textFill>
        </w:rPr>
        <w:t>纸质材料一式叁份（正本1份/副本2份），具体要求详见格式《</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公开竞谈文件</w:t>
      </w:r>
      <w:r>
        <w:rPr>
          <w:rFonts w:hint="eastAsia" w:ascii="仿宋" w:hAnsi="仿宋" w:eastAsia="仿宋" w:cs="仿宋"/>
          <w:color w:val="000000" w:themeColor="text1"/>
          <w:sz w:val="24"/>
          <w:szCs w:val="24"/>
          <w:highlight w:val="none"/>
          <w:u w:val="single"/>
          <w14:textFill>
            <w14:solidFill>
              <w14:schemeClr w14:val="tx1"/>
            </w14:solidFill>
          </w14:textFill>
        </w:rPr>
        <w:t>》的第五章</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响应</w:t>
      </w:r>
      <w:r>
        <w:rPr>
          <w:rFonts w:hint="eastAsia" w:ascii="仿宋" w:hAnsi="仿宋" w:eastAsia="仿宋" w:cs="仿宋"/>
          <w:color w:val="000000" w:themeColor="text1"/>
          <w:sz w:val="24"/>
          <w:szCs w:val="24"/>
          <w:highlight w:val="none"/>
          <w:u w:val="single"/>
          <w14:textFill>
            <w14:solidFill>
              <w14:schemeClr w14:val="tx1"/>
            </w14:solidFill>
          </w14:textFill>
        </w:rPr>
        <w:t>文件</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编制要求</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p w14:paraId="3A914672">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2.纸质响应文件原则上接受快递寄送形式递交。</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如若采取快递寄送，请务必于响应文件提交截止时间前寄达。</w:t>
      </w:r>
    </w:p>
    <w:p w14:paraId="3A846A52">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十、评审会议时间、地点：预计5月9日上午，留意报名成功后的电子邮件通知。</w:t>
      </w:r>
    </w:p>
    <w:p w14:paraId="17A5E813">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t>1.本项目设有现场谈判报价环节。</w:t>
      </w:r>
    </w:p>
    <w:p w14:paraId="6FD59AC8">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000000" w:themeColor="text1"/>
          <w:sz w:val="24"/>
          <w:szCs w:val="24"/>
          <w:highlight w:val="yellow"/>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t>2.请报名成功的供应商安排1-2名人员准时出席评审会议。</w:t>
      </w:r>
    </w:p>
    <w:p w14:paraId="362DFFE6">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p>
    <w:p w14:paraId="1F577135">
      <w:pPr>
        <w:pStyle w:val="23"/>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24日</w:t>
      </w:r>
    </w:p>
    <w:p w14:paraId="55E200B0">
      <w:pPr>
        <w:pStyle w:val="23"/>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23"/>
        <w:rPr>
          <w:color w:val="000000"/>
          <w:highlight w:val="none"/>
        </w:rPr>
      </w:pPr>
    </w:p>
    <w:p w14:paraId="469C16BF">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737320"/>
      <w:bookmarkStart w:id="9" w:name="_Toc76354916"/>
      <w:bookmarkStart w:id="10" w:name="_Toc50691021"/>
      <w:bookmarkStart w:id="11" w:name="_Toc50737288"/>
      <w:bookmarkStart w:id="12" w:name="_Toc50736468"/>
      <w:bookmarkStart w:id="13" w:name="_Toc385940869"/>
      <w:bookmarkStart w:id="14" w:name="_Toc385939528"/>
      <w:bookmarkStart w:id="15" w:name="_Toc417914518"/>
    </w:p>
    <w:p w14:paraId="346AE49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C613BB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896BB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397EC8">
      <w:pPr>
        <w:rPr>
          <w:rFonts w:hint="eastAsia" w:ascii="微软雅黑" w:hAnsi="微软雅黑" w:eastAsia="微软雅黑" w:cs="微软雅黑"/>
          <w:color w:val="000000"/>
          <w:highlight w:val="none"/>
        </w:rPr>
      </w:pPr>
    </w:p>
    <w:p w14:paraId="20258E1A">
      <w:pPr>
        <w:rPr>
          <w:rFonts w:hint="eastAsia" w:ascii="微软雅黑" w:hAnsi="微软雅黑" w:eastAsia="微软雅黑" w:cs="微软雅黑"/>
          <w:color w:val="000000"/>
          <w:highlight w:val="none"/>
        </w:rPr>
      </w:pPr>
    </w:p>
    <w:p w14:paraId="1E22106F">
      <w:pPr>
        <w:rPr>
          <w:rFonts w:hint="eastAsia" w:ascii="微软雅黑" w:hAnsi="微软雅黑" w:eastAsia="微软雅黑" w:cs="微软雅黑"/>
          <w:color w:val="000000"/>
          <w:highlight w:val="none"/>
        </w:rPr>
      </w:pPr>
    </w:p>
    <w:p w14:paraId="5493178A">
      <w:pPr>
        <w:rPr>
          <w:rFonts w:hint="eastAsia" w:ascii="微软雅黑" w:hAnsi="微软雅黑" w:eastAsia="微软雅黑" w:cs="微软雅黑"/>
          <w:color w:val="000000"/>
          <w:highlight w:val="none"/>
        </w:rPr>
      </w:pPr>
    </w:p>
    <w:p w14:paraId="4CB2679A">
      <w:pPr>
        <w:rPr>
          <w:rFonts w:hint="eastAsia" w:ascii="微软雅黑" w:hAnsi="微软雅黑" w:eastAsia="微软雅黑" w:cs="微软雅黑"/>
          <w:color w:val="000000"/>
          <w:highlight w:val="none"/>
        </w:rPr>
      </w:pPr>
    </w:p>
    <w:p w14:paraId="62FD2840">
      <w:pPr>
        <w:rPr>
          <w:rFonts w:hint="eastAsia" w:ascii="微软雅黑" w:hAnsi="微软雅黑" w:eastAsia="微软雅黑" w:cs="微软雅黑"/>
          <w:color w:val="000000"/>
          <w:highlight w:val="none"/>
        </w:rPr>
      </w:pPr>
    </w:p>
    <w:p w14:paraId="5DDCF46D">
      <w:pPr>
        <w:rPr>
          <w:rFonts w:hint="eastAsia" w:ascii="微软雅黑" w:hAnsi="微软雅黑" w:eastAsia="微软雅黑" w:cs="微软雅黑"/>
          <w:color w:val="000000"/>
          <w:highlight w:val="none"/>
        </w:rPr>
      </w:pPr>
    </w:p>
    <w:p w14:paraId="59190238">
      <w:pPr>
        <w:rPr>
          <w:rFonts w:hint="eastAsia" w:ascii="微软雅黑" w:hAnsi="微软雅黑" w:eastAsia="微软雅黑" w:cs="微软雅黑"/>
          <w:color w:val="000000"/>
          <w:highlight w:val="none"/>
        </w:rPr>
      </w:pPr>
    </w:p>
    <w:p w14:paraId="131A86AE">
      <w:pPr>
        <w:rPr>
          <w:rFonts w:hint="eastAsia" w:ascii="微软雅黑" w:hAnsi="微软雅黑" w:eastAsia="微软雅黑" w:cs="微软雅黑"/>
          <w:color w:val="000000"/>
          <w:highlight w:val="none"/>
        </w:rPr>
      </w:pPr>
    </w:p>
    <w:p w14:paraId="09898A34">
      <w:pPr>
        <w:rPr>
          <w:rFonts w:hint="eastAsia" w:ascii="微软雅黑" w:hAnsi="微软雅黑" w:eastAsia="微软雅黑" w:cs="微软雅黑"/>
          <w:color w:val="000000"/>
          <w:highlight w:val="none"/>
        </w:rPr>
      </w:pPr>
    </w:p>
    <w:p w14:paraId="71C38571">
      <w:pPr>
        <w:rPr>
          <w:rFonts w:hint="eastAsia" w:ascii="微软雅黑" w:hAnsi="微软雅黑" w:eastAsia="微软雅黑" w:cs="微软雅黑"/>
          <w:color w:val="000000"/>
          <w:highlight w:val="none"/>
        </w:rPr>
      </w:pPr>
    </w:p>
    <w:p w14:paraId="3D751DA3">
      <w:pPr>
        <w:rPr>
          <w:rFonts w:hint="eastAsia" w:ascii="微软雅黑" w:hAnsi="微软雅黑" w:eastAsia="微软雅黑" w:cs="微软雅黑"/>
          <w:color w:val="000000"/>
          <w:highlight w:val="none"/>
        </w:rPr>
      </w:pPr>
    </w:p>
    <w:p w14:paraId="11BBDE64">
      <w:pPr>
        <w:rPr>
          <w:rFonts w:hint="eastAsia" w:ascii="微软雅黑" w:hAnsi="微软雅黑" w:eastAsia="微软雅黑" w:cs="微软雅黑"/>
          <w:color w:val="000000"/>
          <w:highlight w:val="none"/>
        </w:rPr>
      </w:pPr>
    </w:p>
    <w:p w14:paraId="233AFB2F">
      <w:pPr>
        <w:rPr>
          <w:rFonts w:hint="eastAsia" w:ascii="微软雅黑" w:hAnsi="微软雅黑" w:eastAsia="微软雅黑" w:cs="微软雅黑"/>
          <w:color w:val="000000"/>
          <w:highlight w:val="none"/>
        </w:rPr>
      </w:pPr>
    </w:p>
    <w:p w14:paraId="22E95F4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3"/>
        <w:rPr>
          <w:color w:val="000000"/>
          <w:highlight w:val="none"/>
        </w:rPr>
      </w:pPr>
    </w:p>
    <w:p w14:paraId="2970EAC8">
      <w:pPr>
        <w:pStyle w:val="23"/>
        <w:rPr>
          <w:color w:val="000000"/>
          <w:highlight w:val="none"/>
        </w:rPr>
      </w:pPr>
    </w:p>
    <w:p w14:paraId="2BC3BC82">
      <w:pPr>
        <w:pStyle w:val="23"/>
        <w:rPr>
          <w:color w:val="000000"/>
          <w:highlight w:val="none"/>
        </w:rPr>
      </w:pPr>
    </w:p>
    <w:p w14:paraId="75580613">
      <w:pPr>
        <w:pStyle w:val="23"/>
        <w:rPr>
          <w:color w:val="000000"/>
          <w:highlight w:val="none"/>
        </w:rPr>
      </w:pPr>
    </w:p>
    <w:p w14:paraId="63094DE4">
      <w:pPr>
        <w:pStyle w:val="23"/>
        <w:rPr>
          <w:color w:val="000000"/>
          <w:highlight w:val="none"/>
        </w:rPr>
      </w:pPr>
    </w:p>
    <w:p w14:paraId="5DE5BFA6">
      <w:pPr>
        <w:pStyle w:val="23"/>
        <w:rPr>
          <w:color w:val="000000"/>
          <w:highlight w:val="none"/>
        </w:rPr>
      </w:pPr>
    </w:p>
    <w:p w14:paraId="6BB78249">
      <w:pPr>
        <w:pStyle w:val="23"/>
        <w:rPr>
          <w:color w:val="000000"/>
          <w:highlight w:val="none"/>
        </w:rPr>
      </w:pPr>
    </w:p>
    <w:p w14:paraId="77100BE0">
      <w:pPr>
        <w:pStyle w:val="23"/>
        <w:rPr>
          <w:color w:val="000000"/>
          <w:highlight w:val="none"/>
        </w:rPr>
      </w:pPr>
    </w:p>
    <w:p w14:paraId="31FE32FD">
      <w:pPr>
        <w:pStyle w:val="23"/>
        <w:rPr>
          <w:color w:val="000000"/>
          <w:highlight w:val="none"/>
        </w:rPr>
      </w:pPr>
    </w:p>
    <w:p w14:paraId="6F3FB45B">
      <w:pPr>
        <w:pStyle w:val="23"/>
        <w:rPr>
          <w:color w:val="000000"/>
          <w:highlight w:val="none"/>
        </w:rPr>
      </w:pPr>
    </w:p>
    <w:p w14:paraId="52E1B1E4">
      <w:pPr>
        <w:pStyle w:val="23"/>
        <w:rPr>
          <w:color w:val="000000"/>
          <w:highlight w:val="none"/>
        </w:rPr>
      </w:pPr>
    </w:p>
    <w:p w14:paraId="0C4906CE">
      <w:pPr>
        <w:pStyle w:val="23"/>
        <w:rPr>
          <w:color w:val="000000"/>
          <w:highlight w:val="none"/>
        </w:rPr>
      </w:pPr>
    </w:p>
    <w:p w14:paraId="0499B7B7">
      <w:pPr>
        <w:pStyle w:val="23"/>
        <w:rPr>
          <w:color w:val="000000"/>
          <w:highlight w:val="none"/>
        </w:rPr>
      </w:pPr>
    </w:p>
    <w:p w14:paraId="4AC295E9">
      <w:pPr>
        <w:pStyle w:val="23"/>
        <w:rPr>
          <w:color w:val="000000"/>
          <w:highlight w:val="none"/>
        </w:rPr>
      </w:pPr>
    </w:p>
    <w:p w14:paraId="4100EAFF">
      <w:pPr>
        <w:pStyle w:val="23"/>
        <w:rPr>
          <w:color w:val="000000"/>
          <w:highlight w:val="none"/>
        </w:rPr>
      </w:pPr>
    </w:p>
    <w:p w14:paraId="36927FAC">
      <w:pPr>
        <w:pStyle w:val="23"/>
        <w:rPr>
          <w:color w:val="000000"/>
          <w:highlight w:val="none"/>
        </w:rPr>
      </w:pPr>
    </w:p>
    <w:p w14:paraId="306FD583">
      <w:pPr>
        <w:pStyle w:val="23"/>
        <w:rPr>
          <w:color w:val="000000"/>
          <w:highlight w:val="none"/>
        </w:rPr>
      </w:pPr>
    </w:p>
    <w:p w14:paraId="25B4571C">
      <w:pPr>
        <w:pStyle w:val="23"/>
        <w:rPr>
          <w:color w:val="000000"/>
          <w:highlight w:val="none"/>
        </w:rPr>
      </w:pPr>
    </w:p>
    <w:p w14:paraId="02457180">
      <w:pPr>
        <w:pStyle w:val="23"/>
        <w:rPr>
          <w:color w:val="000000"/>
          <w:highlight w:val="none"/>
        </w:rPr>
      </w:pPr>
    </w:p>
    <w:p w14:paraId="0C01F081">
      <w:pPr>
        <w:pStyle w:val="23"/>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16A569A4">
      <w:pPr>
        <w:pStyle w:val="2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14:paraId="0D8C9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中山大学孙逸仙纪念医院北院区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越秀区沿江西路107号</w:t>
      </w:r>
      <w:r>
        <w:rPr>
          <w:rFonts w:hint="eastAsia" w:ascii="仿宋" w:hAnsi="仿宋" w:eastAsia="仿宋" w:cs="仿宋"/>
          <w:color w:val="000000" w:themeColor="text1"/>
          <w:sz w:val="24"/>
          <w:szCs w:val="24"/>
          <w:highlight w:val="none"/>
          <w14:textFill>
            <w14:solidFill>
              <w14:schemeClr w14:val="tx1"/>
            </w14:solidFill>
          </w14:textFill>
        </w:rPr>
        <w:t>）和</w:t>
      </w:r>
      <w:r>
        <w:rPr>
          <w:rFonts w:hint="eastAsia" w:ascii="仿宋" w:hAnsi="仿宋" w:eastAsia="仿宋" w:cs="仿宋"/>
          <w:color w:val="000000" w:themeColor="text1"/>
          <w:sz w:val="24"/>
          <w:szCs w:val="24"/>
          <w:highlight w:val="none"/>
          <w:lang w:val="en-US" w:eastAsia="zh-CN"/>
          <w14:textFill>
            <w14:solidFill>
              <w14:schemeClr w14:val="tx1"/>
            </w14:solidFill>
          </w14:textFill>
        </w:rPr>
        <w:t>南院区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海珠区盈丰路33号</w:t>
      </w:r>
      <w:r>
        <w:rPr>
          <w:rFonts w:hint="eastAsia" w:ascii="仿宋" w:hAnsi="仿宋" w:eastAsia="仿宋" w:cs="仿宋"/>
          <w:color w:val="000000" w:themeColor="text1"/>
          <w:sz w:val="24"/>
          <w:szCs w:val="24"/>
          <w:highlight w:val="none"/>
          <w14:textFill>
            <w14:solidFill>
              <w14:schemeClr w14:val="tx1"/>
            </w14:solidFill>
          </w14:textFill>
        </w:rPr>
        <w:t>）现有收视点位数</w:t>
      </w:r>
      <w:r>
        <w:rPr>
          <w:rFonts w:hint="eastAsia" w:ascii="仿宋" w:hAnsi="仿宋" w:eastAsia="仿宋" w:cs="仿宋"/>
          <w:color w:val="000000" w:themeColor="text1"/>
          <w:sz w:val="24"/>
          <w:szCs w:val="24"/>
          <w:highlight w:val="none"/>
          <w:lang w:val="en-US" w:eastAsia="zh-CN"/>
          <w14:textFill>
            <w14:solidFill>
              <w14:schemeClr w14:val="tx1"/>
            </w14:solidFill>
          </w14:textFill>
        </w:rPr>
        <w:t>共911</w:t>
      </w:r>
      <w:r>
        <w:rPr>
          <w:rFonts w:hint="eastAsia" w:ascii="仿宋" w:hAnsi="仿宋" w:eastAsia="仿宋" w:cs="仿宋"/>
          <w:color w:val="000000" w:themeColor="text1"/>
          <w:sz w:val="24"/>
          <w:szCs w:val="24"/>
          <w:highlight w:val="none"/>
          <w14:textFill>
            <w14:solidFill>
              <w14:schemeClr w14:val="tx1"/>
            </w14:solidFill>
          </w14:textFill>
        </w:rPr>
        <w:t>个（以实际点位数为准），需要采购</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病房电视服务套餐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套餐包括</w:t>
      </w:r>
      <w:r>
        <w:rPr>
          <w:rFonts w:hint="eastAsia" w:ascii="仿宋" w:hAnsi="仿宋" w:eastAsia="仿宋" w:cs="仿宋"/>
          <w:color w:val="000000" w:themeColor="text1"/>
          <w:sz w:val="24"/>
          <w:szCs w:val="24"/>
          <w:highlight w:val="none"/>
          <w14:textFill>
            <w14:solidFill>
              <w14:schemeClr w14:val="tx1"/>
            </w14:solidFill>
          </w14:textFill>
        </w:rPr>
        <w:t>电视机、交换机终端与电视信息点相关的综合布线</w:t>
      </w:r>
      <w:r>
        <w:rPr>
          <w:rFonts w:hint="eastAsia" w:ascii="仿宋" w:hAnsi="仿宋" w:eastAsia="仿宋" w:cs="仿宋"/>
          <w:color w:val="000000" w:themeColor="text1"/>
          <w:sz w:val="24"/>
          <w:szCs w:val="24"/>
          <w:highlight w:val="none"/>
          <w:lang w:eastAsia="zh-CN"/>
          <w14:textFill>
            <w14:solidFill>
              <w14:schemeClr w14:val="tx1"/>
            </w14:solidFill>
          </w14:textFill>
        </w:rPr>
        <w:t>保养检修，</w:t>
      </w:r>
      <w:r>
        <w:rPr>
          <w:rFonts w:hint="eastAsia" w:ascii="仿宋" w:hAnsi="仿宋" w:eastAsia="仿宋" w:cs="仿宋"/>
          <w:color w:val="000000" w:themeColor="text1"/>
          <w:sz w:val="24"/>
          <w:szCs w:val="24"/>
          <w:highlight w:val="none"/>
          <w:lang w:val="en-US" w:eastAsia="zh-CN"/>
          <w14:textFill>
            <w14:solidFill>
              <w14:schemeClr w14:val="tx1"/>
            </w14:solidFill>
          </w14:textFill>
        </w:rPr>
        <w:t>以</w:t>
      </w:r>
      <w:r>
        <w:rPr>
          <w:rFonts w:hint="eastAsia" w:ascii="仿宋" w:hAnsi="仿宋" w:eastAsia="仿宋" w:cs="仿宋"/>
          <w:color w:val="000000" w:themeColor="text1"/>
          <w:sz w:val="24"/>
          <w:szCs w:val="24"/>
          <w:highlight w:val="none"/>
          <w:lang w:eastAsia="zh-CN"/>
          <w14:textFill>
            <w14:solidFill>
              <w14:schemeClr w14:val="tx1"/>
            </w14:solidFill>
          </w14:textFill>
        </w:rPr>
        <w:t>及信号接入维护</w:t>
      </w:r>
      <w:r>
        <w:rPr>
          <w:rFonts w:hint="eastAsia" w:ascii="仿宋" w:hAnsi="仿宋" w:eastAsia="仿宋" w:cs="仿宋"/>
          <w:color w:val="000000" w:themeColor="text1"/>
          <w:sz w:val="24"/>
          <w:szCs w:val="24"/>
          <w:highlight w:val="none"/>
          <w14:textFill>
            <w14:solidFill>
              <w14:schemeClr w14:val="tx1"/>
            </w14:solidFill>
          </w14:textFill>
        </w:rPr>
        <w:t>服务。</w:t>
      </w:r>
    </w:p>
    <w:tbl>
      <w:tblPr>
        <w:tblStyle w:val="16"/>
        <w:tblpPr w:leftFromText="180" w:rightFromText="180" w:vertAnchor="text" w:horzAnchor="page" w:tblpXSpec="center" w:tblpY="295"/>
        <w:tblOverlap w:val="never"/>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1608"/>
        <w:gridCol w:w="2156"/>
        <w:gridCol w:w="1449"/>
        <w:gridCol w:w="2518"/>
      </w:tblGrid>
      <w:tr w14:paraId="242E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71" w:type="dxa"/>
            <w:vAlign w:val="center"/>
          </w:tcPr>
          <w:p w14:paraId="4730F2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套餐内容</w:t>
            </w:r>
          </w:p>
        </w:tc>
        <w:tc>
          <w:tcPr>
            <w:tcW w:w="1608" w:type="dxa"/>
            <w:vAlign w:val="top"/>
          </w:tcPr>
          <w:p w14:paraId="5FBB86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sz w:val="24"/>
                <w:szCs w:val="24"/>
                <w:highlight w:val="none"/>
                <w:lang w:val="en-US" w:eastAsia="zh-CN"/>
              </w:rPr>
              <w:t>服务期限</w:t>
            </w:r>
          </w:p>
        </w:tc>
        <w:tc>
          <w:tcPr>
            <w:tcW w:w="2156" w:type="dxa"/>
          </w:tcPr>
          <w:p w14:paraId="722B4B8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套餐单项最高限价</w:t>
            </w:r>
          </w:p>
        </w:tc>
        <w:tc>
          <w:tcPr>
            <w:tcW w:w="1449" w:type="dxa"/>
          </w:tcPr>
          <w:p w14:paraId="2A74AFE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收视点位数</w:t>
            </w:r>
          </w:p>
        </w:tc>
        <w:tc>
          <w:tcPr>
            <w:tcW w:w="2518" w:type="dxa"/>
          </w:tcPr>
          <w:p w14:paraId="07AC5C7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sz w:val="24"/>
                <w:szCs w:val="24"/>
                <w:highlight w:val="none"/>
                <w:lang w:val="en-US" w:eastAsia="zh-CN"/>
              </w:rPr>
              <w:t>采购预算（最高限价）</w:t>
            </w:r>
          </w:p>
        </w:tc>
      </w:tr>
      <w:tr w14:paraId="6631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71" w:type="dxa"/>
            <w:vAlign w:val="center"/>
          </w:tcPr>
          <w:p w14:paraId="6B4ED28F">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病房电视收视服务</w:t>
            </w:r>
          </w:p>
        </w:tc>
        <w:tc>
          <w:tcPr>
            <w:tcW w:w="1608" w:type="dxa"/>
            <w:vMerge w:val="restart"/>
            <w:vAlign w:val="center"/>
          </w:tcPr>
          <w:p w14:paraId="3C9931A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2026年6月1日至2027年12月10日</w:t>
            </w:r>
          </w:p>
        </w:tc>
        <w:tc>
          <w:tcPr>
            <w:tcW w:w="2156" w:type="dxa"/>
            <w:vAlign w:val="center"/>
          </w:tcPr>
          <w:p w14:paraId="6D8262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15元/点位/月</w:t>
            </w:r>
          </w:p>
        </w:tc>
        <w:tc>
          <w:tcPr>
            <w:tcW w:w="1449" w:type="dxa"/>
            <w:vMerge w:val="restart"/>
            <w:vAlign w:val="center"/>
          </w:tcPr>
          <w:p w14:paraId="5CE10E4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约</w:t>
            </w:r>
            <w:r>
              <w:rPr>
                <w:rFonts w:hint="eastAsia" w:ascii="仿宋" w:hAnsi="仿宋" w:eastAsia="仿宋" w:cs="仿宋"/>
                <w:sz w:val="24"/>
                <w:szCs w:val="28"/>
                <w:highlight w:val="none"/>
                <w:lang w:val="en-US" w:eastAsia="zh-CN"/>
              </w:rPr>
              <w:t>911</w:t>
            </w:r>
            <w:r>
              <w:rPr>
                <w:rFonts w:hint="eastAsia" w:ascii="仿宋" w:hAnsi="仿宋" w:eastAsia="仿宋" w:cs="仿宋"/>
                <w:sz w:val="24"/>
                <w:szCs w:val="28"/>
                <w:highlight w:val="none"/>
              </w:rPr>
              <w:t>个</w:t>
            </w:r>
          </w:p>
        </w:tc>
        <w:tc>
          <w:tcPr>
            <w:tcW w:w="2518" w:type="dxa"/>
            <w:vMerge w:val="restart"/>
            <w:vAlign w:val="center"/>
          </w:tcPr>
          <w:p w14:paraId="03F1E6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268858.33</w:t>
            </w:r>
            <w:r>
              <w:rPr>
                <w:rFonts w:hint="eastAsia" w:ascii="仿宋" w:hAnsi="仿宋" w:eastAsia="仿宋" w:cs="仿宋"/>
                <w:color w:val="000000"/>
                <w:sz w:val="24"/>
                <w:szCs w:val="24"/>
                <w:highlight w:val="none"/>
                <w:lang w:val="zh-CN"/>
              </w:rPr>
              <w:t>元</w:t>
            </w:r>
          </w:p>
        </w:tc>
      </w:tr>
      <w:tr w14:paraId="5DD3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71" w:type="dxa"/>
            <w:vAlign w:val="center"/>
          </w:tcPr>
          <w:p w14:paraId="10EAEECE">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电视界面优化定制</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服务</w:t>
            </w:r>
          </w:p>
        </w:tc>
        <w:tc>
          <w:tcPr>
            <w:tcW w:w="1608" w:type="dxa"/>
            <w:vMerge w:val="continue"/>
            <w:vAlign w:val="center"/>
          </w:tcPr>
          <w:p w14:paraId="6D2886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156" w:type="dxa"/>
            <w:vAlign w:val="center"/>
          </w:tcPr>
          <w:p w14:paraId="4EF5997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29" w:rightChars="-14"/>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1000元/月</w:t>
            </w:r>
          </w:p>
        </w:tc>
        <w:tc>
          <w:tcPr>
            <w:tcW w:w="1449" w:type="dxa"/>
            <w:vMerge w:val="continue"/>
            <w:vAlign w:val="center"/>
          </w:tcPr>
          <w:p w14:paraId="3A5B14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518" w:type="dxa"/>
            <w:vMerge w:val="continue"/>
            <w:vAlign w:val="center"/>
          </w:tcPr>
          <w:p w14:paraId="784595E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14:paraId="099194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982AC11">
      <w:pPr>
        <w:pStyle w:val="23"/>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ascii="仿宋" w:hAnsi="仿宋" w:eastAsia="仿宋" w:cs="仿宋"/>
          <w:sz w:val="24"/>
          <w:szCs w:val="24"/>
          <w:highlight w:val="none"/>
        </w:rPr>
      </w:pPr>
      <w:r>
        <w:rPr>
          <w:rFonts w:hint="eastAsia" w:ascii="仿宋" w:hAnsi="仿宋" w:eastAsia="仿宋" w:cs="仿宋"/>
          <w:b/>
          <w:bCs/>
          <w:sz w:val="24"/>
          <w:szCs w:val="24"/>
          <w:highlight w:val="none"/>
        </w:rPr>
        <w:t>技术、服务要求</w:t>
      </w:r>
      <w:r>
        <w:rPr>
          <w:rFonts w:hint="eastAsia" w:ascii="仿宋" w:hAnsi="仿宋" w:eastAsia="仿宋" w:cs="仿宋"/>
          <w:b/>
          <w:color w:val="000000"/>
          <w:sz w:val="24"/>
          <w:szCs w:val="24"/>
          <w:highlight w:val="none"/>
        </w:rPr>
        <w:t xml:space="preserve"> </w:t>
      </w:r>
    </w:p>
    <w:p w14:paraId="10CC977D">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供应商入场后提供</w:t>
      </w:r>
      <w:r>
        <w:rPr>
          <w:rFonts w:hint="eastAsia" w:ascii="仿宋" w:hAnsi="仿宋" w:eastAsia="仿宋" w:cs="仿宋"/>
          <w:sz w:val="24"/>
          <w:szCs w:val="28"/>
          <w:highlight w:val="none"/>
          <w:lang w:eastAsia="zh-CN"/>
        </w:rPr>
        <w:t>现有服务</w:t>
      </w:r>
      <w:r>
        <w:rPr>
          <w:rFonts w:hint="eastAsia" w:ascii="仿宋" w:hAnsi="仿宋" w:eastAsia="仿宋" w:cs="仿宋"/>
          <w:sz w:val="24"/>
          <w:szCs w:val="28"/>
          <w:highlight w:val="none"/>
        </w:rPr>
        <w:t>点位分布表。预计点位数</w:t>
      </w:r>
      <w:r>
        <w:rPr>
          <w:rFonts w:hint="eastAsia" w:ascii="仿宋" w:hAnsi="仿宋" w:eastAsia="仿宋" w:cs="仿宋"/>
          <w:sz w:val="24"/>
          <w:szCs w:val="28"/>
          <w:highlight w:val="none"/>
          <w:lang w:val="en-US" w:eastAsia="zh-CN"/>
        </w:rPr>
        <w:t>911</w:t>
      </w:r>
      <w:r>
        <w:rPr>
          <w:rFonts w:hint="eastAsia" w:ascii="仿宋" w:hAnsi="仿宋" w:eastAsia="仿宋" w:cs="仿宋"/>
          <w:sz w:val="24"/>
          <w:szCs w:val="28"/>
          <w:highlight w:val="none"/>
        </w:rPr>
        <w:t>个，根据</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实际</w:t>
      </w:r>
      <w:r>
        <w:rPr>
          <w:rFonts w:hint="eastAsia" w:ascii="仿宋" w:hAnsi="仿宋" w:eastAsia="仿宋" w:cs="仿宋"/>
          <w:sz w:val="24"/>
          <w:szCs w:val="28"/>
          <w:highlight w:val="none"/>
          <w:lang w:eastAsia="zh-CN"/>
        </w:rPr>
        <w:t>电视信号接入</w:t>
      </w:r>
      <w:r>
        <w:rPr>
          <w:rFonts w:hint="eastAsia" w:ascii="仿宋" w:hAnsi="仿宋" w:eastAsia="仿宋" w:cs="仿宋"/>
          <w:sz w:val="24"/>
          <w:szCs w:val="28"/>
          <w:highlight w:val="none"/>
        </w:rPr>
        <w:t>布点情况进行增减，以实际</w:t>
      </w:r>
      <w:r>
        <w:rPr>
          <w:rFonts w:hint="eastAsia" w:ascii="仿宋" w:hAnsi="仿宋" w:eastAsia="仿宋" w:cs="仿宋"/>
          <w:sz w:val="24"/>
          <w:szCs w:val="28"/>
          <w:highlight w:val="none"/>
          <w:lang w:eastAsia="zh-CN"/>
        </w:rPr>
        <w:t>信息服务</w:t>
      </w:r>
      <w:r>
        <w:rPr>
          <w:rFonts w:hint="eastAsia" w:ascii="仿宋" w:hAnsi="仿宋" w:eastAsia="仿宋" w:cs="仿宋"/>
          <w:sz w:val="24"/>
          <w:szCs w:val="28"/>
          <w:highlight w:val="none"/>
        </w:rPr>
        <w:t>点位结算。</w:t>
      </w:r>
    </w:p>
    <w:p w14:paraId="69898400">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成交</w:t>
      </w:r>
      <w:r>
        <w:rPr>
          <w:rFonts w:hint="eastAsia" w:ascii="仿宋" w:hAnsi="仿宋" w:eastAsia="仿宋" w:cs="仿宋"/>
          <w:sz w:val="24"/>
          <w:szCs w:val="28"/>
          <w:highlight w:val="none"/>
        </w:rPr>
        <w:t>供应商</w:t>
      </w:r>
      <w:r>
        <w:rPr>
          <w:rFonts w:hint="eastAsia" w:ascii="仿宋" w:hAnsi="仿宋" w:eastAsia="仿宋" w:cs="仿宋"/>
          <w:sz w:val="24"/>
          <w:szCs w:val="28"/>
          <w:highlight w:val="none"/>
          <w:lang w:val="en-US" w:eastAsia="zh-CN"/>
        </w:rPr>
        <w:t>到</w:t>
      </w:r>
      <w:r>
        <w:rPr>
          <w:rFonts w:hint="eastAsia" w:ascii="仿宋" w:hAnsi="仿宋" w:eastAsia="仿宋" w:cs="仿宋"/>
          <w:sz w:val="24"/>
          <w:szCs w:val="28"/>
          <w:highlight w:val="none"/>
        </w:rPr>
        <w:t>现场勘察后提供详细实施方案，包括但不限于实现原理、网络拓扑图、设备清单、技术服务团队、维保方案等。</w:t>
      </w:r>
    </w:p>
    <w:p w14:paraId="25D32641">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配套设备投入</w:t>
      </w:r>
    </w:p>
    <w:p w14:paraId="16E9074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default" w:ascii="仿宋" w:hAnsi="仿宋" w:eastAsia="仿宋" w:cs="仿宋"/>
          <w:sz w:val="24"/>
          <w:szCs w:val="28"/>
          <w:highlight w:val="none"/>
          <w:lang w:val="en-US" w:eastAsia="zh-CN"/>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为</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提供符合国家标准的高清机顶盒、遥控器等收看数字电视必备的配套设备，并且配套设备能与原机匹配正常使用。</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lang w:val="en-US" w:eastAsia="zh-CN"/>
        </w:rPr>
        <w:t>提供</w:t>
      </w:r>
      <w:r>
        <w:rPr>
          <w:rFonts w:hint="eastAsia" w:ascii="仿宋" w:hAnsi="仿宋" w:eastAsia="仿宋" w:cs="仿宋"/>
          <w:sz w:val="24"/>
          <w:szCs w:val="28"/>
          <w:highlight w:val="none"/>
        </w:rPr>
        <w:t>高清机顶盒、遥控器等配套设备需求后，</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需按</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要求的数量</w:t>
      </w:r>
      <w:r>
        <w:rPr>
          <w:rFonts w:hint="eastAsia" w:ascii="仿宋" w:hAnsi="仿宋" w:eastAsia="仿宋" w:cs="仿宋"/>
          <w:sz w:val="24"/>
          <w:szCs w:val="28"/>
          <w:highlight w:val="none"/>
          <w:lang w:val="en-US" w:eastAsia="zh-CN"/>
        </w:rPr>
        <w:t>在规定时间内</w:t>
      </w:r>
      <w:r>
        <w:rPr>
          <w:rFonts w:hint="eastAsia" w:ascii="仿宋" w:hAnsi="仿宋" w:eastAsia="仿宋" w:cs="仿宋"/>
          <w:sz w:val="24"/>
          <w:szCs w:val="28"/>
          <w:highlight w:val="none"/>
        </w:rPr>
        <w:t>送达。该项服务</w:t>
      </w:r>
      <w:r>
        <w:rPr>
          <w:rFonts w:hint="eastAsia" w:ascii="仿宋" w:hAnsi="仿宋" w:eastAsia="仿宋" w:cs="仿宋"/>
          <w:sz w:val="24"/>
          <w:szCs w:val="28"/>
          <w:highlight w:val="none"/>
          <w:lang w:val="en-US" w:eastAsia="zh-CN"/>
        </w:rPr>
        <w:t>及</w:t>
      </w:r>
      <w:r>
        <w:rPr>
          <w:rFonts w:hint="eastAsia" w:ascii="仿宋" w:hAnsi="仿宋" w:eastAsia="仿宋" w:cs="仿宋"/>
          <w:sz w:val="24"/>
          <w:szCs w:val="28"/>
          <w:highlight w:val="none"/>
        </w:rPr>
        <w:t>配套</w:t>
      </w:r>
      <w:r>
        <w:rPr>
          <w:rFonts w:hint="eastAsia" w:ascii="仿宋" w:hAnsi="仿宋" w:eastAsia="仿宋" w:cs="仿宋"/>
          <w:sz w:val="24"/>
          <w:szCs w:val="28"/>
          <w:highlight w:val="none"/>
          <w:lang w:val="en-US" w:eastAsia="zh-CN"/>
        </w:rPr>
        <w:t>设备投入均</w:t>
      </w:r>
      <w:r>
        <w:rPr>
          <w:rFonts w:hint="eastAsia" w:ascii="仿宋" w:hAnsi="仿宋" w:eastAsia="仿宋" w:cs="仿宋"/>
          <w:sz w:val="24"/>
          <w:szCs w:val="28"/>
          <w:highlight w:val="none"/>
        </w:rPr>
        <w:t>已包含在响应报价内。</w:t>
      </w:r>
    </w:p>
    <w:p w14:paraId="614F741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2）</w:t>
      </w:r>
      <w:r>
        <w:rPr>
          <w:rFonts w:hint="eastAsia" w:ascii="仿宋" w:hAnsi="仿宋" w:eastAsia="仿宋" w:cs="仿宋"/>
          <w:sz w:val="24"/>
          <w:szCs w:val="28"/>
          <w:highlight w:val="none"/>
        </w:rPr>
        <w:t>如机顶盒（含遥控器）、路由器等设备由供应商投入</w:t>
      </w:r>
      <w:r>
        <w:rPr>
          <w:rFonts w:hint="eastAsia" w:ascii="仿宋" w:hAnsi="仿宋" w:eastAsia="仿宋" w:cs="仿宋"/>
          <w:sz w:val="24"/>
          <w:szCs w:val="28"/>
          <w:highlight w:val="none"/>
          <w:lang w:val="en-US" w:eastAsia="zh-CN"/>
        </w:rPr>
        <w:t>的</w:t>
      </w:r>
      <w:r>
        <w:rPr>
          <w:rFonts w:hint="eastAsia" w:ascii="仿宋" w:hAnsi="仿宋" w:eastAsia="仿宋" w:cs="仿宋"/>
          <w:sz w:val="24"/>
          <w:szCs w:val="28"/>
          <w:highlight w:val="none"/>
        </w:rPr>
        <w:t>，所有权属供应商，供应商定期维护更新更换设备，除新增点位外，</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不支付任何售后维修维护费用。服务期满后，</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归还设备所有权归属。该项服务</w:t>
      </w:r>
      <w:r>
        <w:rPr>
          <w:rFonts w:hint="eastAsia" w:ascii="仿宋" w:hAnsi="仿宋" w:eastAsia="仿宋" w:cs="仿宋"/>
          <w:sz w:val="24"/>
          <w:szCs w:val="28"/>
          <w:highlight w:val="none"/>
          <w:lang w:val="en-US" w:eastAsia="zh-CN"/>
        </w:rPr>
        <w:t>及</w:t>
      </w:r>
      <w:r>
        <w:rPr>
          <w:rFonts w:hint="eastAsia" w:ascii="仿宋" w:hAnsi="仿宋" w:eastAsia="仿宋" w:cs="仿宋"/>
          <w:sz w:val="24"/>
          <w:szCs w:val="28"/>
          <w:highlight w:val="none"/>
        </w:rPr>
        <w:t>配套</w:t>
      </w:r>
      <w:r>
        <w:rPr>
          <w:rFonts w:hint="eastAsia" w:ascii="仿宋" w:hAnsi="仿宋" w:eastAsia="仿宋" w:cs="仿宋"/>
          <w:sz w:val="24"/>
          <w:szCs w:val="28"/>
          <w:highlight w:val="none"/>
          <w:lang w:val="en-US" w:eastAsia="zh-CN"/>
        </w:rPr>
        <w:t>设备投入均</w:t>
      </w:r>
      <w:r>
        <w:rPr>
          <w:rFonts w:hint="eastAsia" w:ascii="仿宋" w:hAnsi="仿宋" w:eastAsia="仿宋" w:cs="仿宋"/>
          <w:sz w:val="24"/>
          <w:szCs w:val="28"/>
          <w:highlight w:val="none"/>
        </w:rPr>
        <w:t>已包含在响应报价内。</w:t>
      </w:r>
    </w:p>
    <w:p w14:paraId="470E5094">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团队人员</w:t>
      </w:r>
    </w:p>
    <w:p w14:paraId="1F1281DE">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leftChars="0" w:firstLine="480" w:firstLineChars="200"/>
        <w:jc w:val="left"/>
        <w:textAlignment w:val="auto"/>
        <w:rPr>
          <w:rFonts w:ascii="仿宋" w:hAnsi="仿宋" w:eastAsia="仿宋" w:cs="仿宋"/>
          <w:sz w:val="24"/>
          <w:szCs w:val="28"/>
          <w:highlight w:val="none"/>
        </w:rPr>
      </w:pPr>
      <w:r>
        <w:rPr>
          <w:rFonts w:hint="eastAsia" w:ascii="仿宋" w:hAnsi="仿宋" w:eastAsia="仿宋" w:cs="仿宋"/>
          <w:sz w:val="24"/>
          <w:szCs w:val="28"/>
          <w:highlight w:val="none"/>
        </w:rPr>
        <w:t>为确保</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区域内电视信号的正常接收及新增点位等相关工作的顺利开展，</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应为</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安排一名专属联系人负责相关协调事宜</w:t>
      </w: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同时</w:t>
      </w:r>
      <w:r>
        <w:rPr>
          <w:rFonts w:hint="eastAsia" w:ascii="仿宋" w:hAnsi="仿宋" w:eastAsia="仿宋" w:cs="仿宋"/>
          <w:sz w:val="24"/>
          <w:szCs w:val="28"/>
          <w:highlight w:val="none"/>
          <w:lang w:eastAsia="zh-CN"/>
        </w:rPr>
        <w:t>需配备</w:t>
      </w:r>
      <w:r>
        <w:rPr>
          <w:rFonts w:hint="eastAsia" w:ascii="仿宋" w:hAnsi="仿宋" w:eastAsia="仿宋" w:cs="仿宋"/>
          <w:sz w:val="24"/>
          <w:szCs w:val="28"/>
          <w:highlight w:val="none"/>
          <w:lang w:val="en-US" w:eastAsia="zh-CN"/>
        </w:rPr>
        <w:t>稳定且有经验</w:t>
      </w:r>
      <w:r>
        <w:rPr>
          <w:rFonts w:hint="eastAsia" w:ascii="仿宋" w:hAnsi="仿宋" w:eastAsia="仿宋" w:cs="仿宋"/>
          <w:sz w:val="24"/>
          <w:szCs w:val="28"/>
          <w:highlight w:val="none"/>
          <w:lang w:eastAsia="zh-CN"/>
        </w:rPr>
        <w:t>的技术服务团队</w:t>
      </w:r>
      <w:r>
        <w:rPr>
          <w:rFonts w:hint="eastAsia" w:ascii="仿宋" w:hAnsi="仿宋" w:eastAsia="仿宋" w:cs="仿宋"/>
          <w:sz w:val="24"/>
          <w:szCs w:val="28"/>
          <w:highlight w:val="none"/>
          <w:lang w:val="en-US" w:eastAsia="zh-CN"/>
        </w:rPr>
        <w:t>为采购人服务</w:t>
      </w:r>
      <w:r>
        <w:rPr>
          <w:rFonts w:hint="eastAsia" w:ascii="仿宋" w:hAnsi="仿宋" w:eastAsia="仿宋" w:cs="仿宋"/>
          <w:sz w:val="24"/>
          <w:szCs w:val="28"/>
          <w:highlight w:val="none"/>
        </w:rPr>
        <w:t>。若</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维修人员两次到达</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现场仍不能解决故障问题，专属联系人须负责彻底处理相关事宜。</w:t>
      </w:r>
    </w:p>
    <w:p w14:paraId="61E4EE55">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个性化服务</w:t>
      </w:r>
    </w:p>
    <w:p w14:paraId="70BEE1F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（1）定制电视开机画面，包含电视首页界面4个功能模块的定制和设计。播放终端界面管理，可以通过管理后台自定义播放终端的界面呈现样式及功能模块。</w:t>
      </w:r>
    </w:p>
    <w:p w14:paraId="0B3DF15F">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（2）视频上传：支持单个或者多个视频格式的文件上传，以便于支持不同的电视终端设备播放（单个视频时长不超过30分钟，上传视频内容累计不超过50小时）。</w:t>
      </w:r>
    </w:p>
    <w:p w14:paraId="13ADBCEA">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（3）内容播控管理：能够应采购人需要，在医院</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8"/>
          <w:highlight w:val="none"/>
          <w:lang w:val="en-US" w:eastAsia="zh-CN"/>
        </w:rPr>
        <w:t>电视界面上播放信息（每月不超过30条）。</w:t>
      </w:r>
    </w:p>
    <w:p w14:paraId="57411A3B">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验收标准</w:t>
      </w:r>
    </w:p>
    <w:p w14:paraId="0EE7D0A2">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为满足医院的整体运营要求，</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个工作日</w:t>
      </w:r>
      <w:r>
        <w:rPr>
          <w:rFonts w:hint="eastAsia" w:ascii="仿宋" w:hAnsi="仿宋" w:eastAsia="仿宋" w:cs="仿宋"/>
          <w:sz w:val="24"/>
          <w:szCs w:val="24"/>
          <w:highlight w:val="none"/>
        </w:rPr>
        <w:t>内</w:t>
      </w:r>
      <w:r>
        <w:rPr>
          <w:rFonts w:hint="eastAsia" w:ascii="仿宋" w:hAnsi="仿宋" w:eastAsia="仿宋" w:cs="仿宋"/>
          <w:sz w:val="24"/>
          <w:szCs w:val="24"/>
          <w:highlight w:val="none"/>
          <w:lang w:eastAsia="zh-CN"/>
        </w:rPr>
        <w:t>按照需求</w:t>
      </w: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4"/>
          <w:highlight w:val="none"/>
        </w:rPr>
        <w:t>电视系统</w:t>
      </w:r>
      <w:r>
        <w:rPr>
          <w:rFonts w:hint="eastAsia" w:ascii="仿宋" w:hAnsi="仿宋" w:eastAsia="仿宋" w:cs="仿宋"/>
          <w:sz w:val="24"/>
          <w:szCs w:val="24"/>
          <w:highlight w:val="none"/>
          <w:lang w:eastAsia="zh-CN"/>
        </w:rPr>
        <w:t>信号</w:t>
      </w:r>
      <w:r>
        <w:rPr>
          <w:rFonts w:hint="eastAsia" w:ascii="仿宋" w:hAnsi="仿宋" w:eastAsia="仿宋" w:cs="仿宋"/>
          <w:sz w:val="24"/>
          <w:szCs w:val="24"/>
          <w:highlight w:val="none"/>
        </w:rPr>
        <w:t>设备的供货、安装</w:t>
      </w:r>
      <w:r>
        <w:rPr>
          <w:rFonts w:hint="eastAsia" w:ascii="仿宋" w:hAnsi="仿宋" w:eastAsia="仿宋" w:cs="仿宋"/>
          <w:sz w:val="24"/>
          <w:szCs w:val="24"/>
          <w:highlight w:val="none"/>
          <w:lang w:eastAsia="zh-CN"/>
        </w:rPr>
        <w:t>与接入信号</w:t>
      </w:r>
      <w:r>
        <w:rPr>
          <w:rFonts w:hint="eastAsia" w:ascii="仿宋" w:hAnsi="仿宋" w:eastAsia="仿宋" w:cs="仿宋"/>
          <w:sz w:val="24"/>
          <w:szCs w:val="24"/>
          <w:highlight w:val="none"/>
        </w:rPr>
        <w:t>调试，并交付至</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人验收、使用。若供应商逾期完成，每逾期一日，应按合同暂定总价的1% 向采购人支付违约金；逾期超过5日的，采购人有权单方解除合同，且供应商仍应承担前述违约责任。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2）</w:t>
      </w:r>
      <w:r>
        <w:rPr>
          <w:rFonts w:hint="eastAsia" w:ascii="仿宋" w:hAnsi="仿宋" w:eastAsia="仿宋" w:cs="仿宋"/>
          <w:sz w:val="24"/>
          <w:szCs w:val="28"/>
          <w:highlight w:val="none"/>
        </w:rPr>
        <w:t>在服务期内，</w:t>
      </w:r>
      <w:r>
        <w:rPr>
          <w:rFonts w:hint="eastAsia" w:ascii="仿宋" w:hAnsi="仿宋" w:eastAsia="仿宋" w:cs="仿宋"/>
          <w:sz w:val="24"/>
          <w:szCs w:val="24"/>
          <w:highlight w:val="none"/>
        </w:rPr>
        <w:t>保障医院</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4"/>
          <w:highlight w:val="none"/>
        </w:rPr>
        <w:t>电视</w:t>
      </w:r>
      <w:r>
        <w:rPr>
          <w:rFonts w:hint="eastAsia" w:ascii="仿宋" w:hAnsi="仿宋" w:eastAsia="仿宋" w:cs="仿宋"/>
          <w:sz w:val="24"/>
          <w:szCs w:val="24"/>
          <w:highlight w:val="none"/>
          <w:lang w:val="en-US" w:eastAsia="zh-CN"/>
        </w:rPr>
        <w:t>视听服务运行</w:t>
      </w:r>
      <w:r>
        <w:rPr>
          <w:rFonts w:hint="eastAsia" w:ascii="仿宋" w:hAnsi="仿宋" w:eastAsia="仿宋" w:cs="仿宋"/>
          <w:sz w:val="24"/>
          <w:szCs w:val="24"/>
          <w:highlight w:val="none"/>
        </w:rPr>
        <w:t>顺畅，保障正常收看电视节目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lang w:eastAsia="zh-CN"/>
        </w:rPr>
        <w:t>满足采购人提出的</w:t>
      </w:r>
      <w:r>
        <w:rPr>
          <w:rFonts w:hint="eastAsia" w:ascii="仿宋" w:hAnsi="仿宋" w:eastAsia="仿宋" w:cs="仿宋"/>
          <w:sz w:val="24"/>
          <w:szCs w:val="24"/>
          <w:highlight w:val="none"/>
          <w:lang w:val="en-US" w:eastAsia="zh-CN"/>
        </w:rPr>
        <w:t>个性化</w:t>
      </w:r>
      <w:r>
        <w:rPr>
          <w:rFonts w:hint="eastAsia" w:ascii="仿宋" w:hAnsi="仿宋" w:eastAsia="仿宋" w:cs="仿宋"/>
          <w:sz w:val="24"/>
          <w:szCs w:val="24"/>
          <w:highlight w:val="none"/>
          <w:lang w:eastAsia="zh-CN"/>
        </w:rPr>
        <w:t>服务需求</w:t>
      </w:r>
      <w:r>
        <w:rPr>
          <w:rFonts w:hint="eastAsia" w:ascii="仿宋" w:hAnsi="仿宋" w:eastAsia="仿宋" w:cs="仿宋"/>
          <w:sz w:val="24"/>
          <w:szCs w:val="24"/>
          <w:highlight w:val="none"/>
        </w:rPr>
        <w:t>。</w:t>
      </w:r>
    </w:p>
    <w:p w14:paraId="42AFC4B0">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售后服务</w:t>
      </w:r>
    </w:p>
    <w:p w14:paraId="08C74AC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故障处理：在服务期内，提供7*24小时故障报修热线服务和长期的技术支持，确定专职售后服务人员，并在接到医院故障申报时及时维修解决，保证电视信号及相关设备出现故障</w:t>
      </w:r>
      <w:r>
        <w:rPr>
          <w:rFonts w:hint="eastAsia" w:ascii="仿宋" w:hAnsi="仿宋" w:eastAsia="仿宋" w:cs="仿宋"/>
          <w:sz w:val="24"/>
          <w:szCs w:val="28"/>
          <w:highlight w:val="none"/>
          <w:lang w:val="en-US" w:eastAsia="zh-CN"/>
        </w:rPr>
        <w:t>后24</w:t>
      </w:r>
      <w:r>
        <w:rPr>
          <w:rFonts w:hint="eastAsia" w:ascii="仿宋" w:hAnsi="仿宋" w:eastAsia="仿宋" w:cs="仿宋"/>
          <w:sz w:val="24"/>
          <w:szCs w:val="28"/>
          <w:highlight w:val="none"/>
        </w:rPr>
        <w:t>小时内恢复，复杂故障48小时内恢复。</w:t>
      </w:r>
      <w:r>
        <w:rPr>
          <w:rFonts w:hint="eastAsia" w:ascii="仿宋" w:hAnsi="仿宋" w:eastAsia="仿宋" w:cs="仿宋"/>
          <w:sz w:val="24"/>
          <w:szCs w:val="28"/>
          <w:highlight w:val="none"/>
          <w:lang w:val="en-US" w:eastAsia="zh-CN"/>
        </w:rPr>
        <w:t>供应商根据故障优先级安排上门服务时间，并提供相同档次备用设备予采购人临时使用或采取应急措施解决，不得影响采购人的正常工作业务。故障处理单由双方技术人员签字确认。</w:t>
      </w:r>
    </w:p>
    <w:p w14:paraId="1C2AD8A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（2）维保服务：供应商须为线路、设备提供合同服务期内的全保服务，采购人不另行支付费用，包括如硬件维修、更换硬件、设备保养、物流、调试、人工费等。</w:t>
      </w:r>
    </w:p>
    <w:p w14:paraId="5F906FAD">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若需现场线路改造，不得有产生噪音（高于国家最低标准）、灰尘、震动等严重影响</w:t>
      </w:r>
      <w:r>
        <w:rPr>
          <w:rFonts w:hint="eastAsia" w:ascii="仿宋" w:hAnsi="仿宋" w:eastAsia="仿宋" w:cs="仿宋"/>
          <w:sz w:val="24"/>
          <w:szCs w:val="28"/>
          <w:highlight w:val="none"/>
          <w:lang w:val="en-US" w:eastAsia="zh-CN"/>
        </w:rPr>
        <w:t>医务人员或患者</w:t>
      </w:r>
      <w:r>
        <w:rPr>
          <w:rFonts w:hint="eastAsia" w:ascii="仿宋" w:hAnsi="仿宋" w:eastAsia="仿宋" w:cs="仿宋"/>
          <w:sz w:val="24"/>
          <w:szCs w:val="28"/>
          <w:highlight w:val="none"/>
        </w:rPr>
        <w:t>休息的施工行为，改造费包含</w:t>
      </w:r>
      <w:r>
        <w:rPr>
          <w:rFonts w:hint="eastAsia" w:ascii="仿宋" w:hAnsi="仿宋" w:eastAsia="仿宋" w:cs="仿宋"/>
          <w:sz w:val="24"/>
          <w:szCs w:val="28"/>
          <w:highlight w:val="none"/>
          <w:lang w:val="en-US" w:eastAsia="zh-CN"/>
        </w:rPr>
        <w:t>在响应</w:t>
      </w:r>
      <w:r>
        <w:rPr>
          <w:rFonts w:hint="eastAsia" w:ascii="仿宋" w:hAnsi="仿宋" w:eastAsia="仿宋" w:cs="仿宋"/>
          <w:sz w:val="24"/>
          <w:szCs w:val="28"/>
          <w:highlight w:val="none"/>
        </w:rPr>
        <w:t>报价</w:t>
      </w:r>
      <w:r>
        <w:rPr>
          <w:rFonts w:hint="eastAsia" w:ascii="仿宋" w:hAnsi="仿宋" w:eastAsia="仿宋" w:cs="仿宋"/>
          <w:sz w:val="24"/>
          <w:szCs w:val="28"/>
          <w:highlight w:val="none"/>
          <w:lang w:val="en-US" w:eastAsia="zh-CN"/>
        </w:rPr>
        <w:t>里</w:t>
      </w:r>
      <w:r>
        <w:rPr>
          <w:rFonts w:hint="eastAsia" w:ascii="仿宋" w:hAnsi="仿宋" w:eastAsia="仿宋" w:cs="仿宋"/>
          <w:sz w:val="24"/>
          <w:szCs w:val="28"/>
          <w:highlight w:val="none"/>
        </w:rPr>
        <w:t>。</w:t>
      </w:r>
    </w:p>
    <w:p w14:paraId="2FB43E49">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8"/>
          <w:highlight w:val="none"/>
        </w:rPr>
        <w:t>新增收视点位（光纤接入）费用需提供相关报价，</w:t>
      </w:r>
      <w:r>
        <w:rPr>
          <w:rFonts w:hint="eastAsia" w:ascii="仿宋" w:hAnsi="仿宋" w:eastAsia="仿宋" w:cs="仿宋"/>
          <w:sz w:val="24"/>
          <w:szCs w:val="28"/>
          <w:highlight w:val="none"/>
          <w:lang w:val="en-US" w:eastAsia="zh-CN"/>
        </w:rPr>
        <w:t>但</w:t>
      </w:r>
      <w:r>
        <w:rPr>
          <w:rFonts w:hint="eastAsia" w:ascii="仿宋" w:hAnsi="仿宋" w:eastAsia="仿宋" w:cs="仿宋"/>
          <w:sz w:val="24"/>
          <w:szCs w:val="28"/>
          <w:highlight w:val="none"/>
        </w:rPr>
        <w:t>不包含在本项目</w:t>
      </w:r>
      <w:r>
        <w:rPr>
          <w:rFonts w:hint="eastAsia" w:ascii="仿宋" w:hAnsi="仿宋" w:eastAsia="仿宋" w:cs="仿宋"/>
          <w:sz w:val="24"/>
          <w:szCs w:val="28"/>
          <w:highlight w:val="none"/>
          <w:lang w:val="en-US" w:eastAsia="zh-CN"/>
        </w:rPr>
        <w:t>响应</w:t>
      </w:r>
      <w:r>
        <w:rPr>
          <w:rFonts w:hint="eastAsia" w:ascii="仿宋" w:hAnsi="仿宋" w:eastAsia="仿宋" w:cs="仿宋"/>
          <w:sz w:val="24"/>
          <w:szCs w:val="28"/>
          <w:highlight w:val="none"/>
        </w:rPr>
        <w:t>报价内。</w:t>
      </w:r>
    </w:p>
    <w:tbl>
      <w:tblPr>
        <w:tblStyle w:val="16"/>
        <w:tblpPr w:leftFromText="180" w:rightFromText="180" w:vertAnchor="text" w:horzAnchor="page" w:tblpXSpec="center" w:tblpY="295"/>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2218"/>
        <w:gridCol w:w="2218"/>
        <w:gridCol w:w="2218"/>
      </w:tblGrid>
      <w:tr w14:paraId="515F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vAlign w:val="center"/>
          </w:tcPr>
          <w:p w14:paraId="5DC4AA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分项</w:t>
            </w:r>
          </w:p>
        </w:tc>
        <w:tc>
          <w:tcPr>
            <w:tcW w:w="2218" w:type="dxa"/>
            <w:vAlign w:val="center"/>
          </w:tcPr>
          <w:p w14:paraId="114AA3A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名称</w:t>
            </w:r>
          </w:p>
        </w:tc>
        <w:tc>
          <w:tcPr>
            <w:tcW w:w="2218" w:type="dxa"/>
            <w:vAlign w:val="center"/>
          </w:tcPr>
          <w:p w14:paraId="6E10200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品牌规格型号</w:t>
            </w:r>
          </w:p>
        </w:tc>
        <w:tc>
          <w:tcPr>
            <w:tcW w:w="2218" w:type="dxa"/>
            <w:vAlign w:val="center"/>
          </w:tcPr>
          <w:p w14:paraId="5E2E102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报价</w:t>
            </w:r>
          </w:p>
        </w:tc>
      </w:tr>
      <w:tr w14:paraId="6D90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vMerge w:val="restart"/>
            <w:vAlign w:val="center"/>
          </w:tcPr>
          <w:p w14:paraId="1DFE916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病房新增收视点位（光纤接入）费用</w:t>
            </w:r>
          </w:p>
        </w:tc>
        <w:tc>
          <w:tcPr>
            <w:tcW w:w="2218" w:type="dxa"/>
            <w:vAlign w:val="center"/>
          </w:tcPr>
          <w:p w14:paraId="211EF10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设备机顶盒</w:t>
            </w:r>
          </w:p>
        </w:tc>
        <w:tc>
          <w:tcPr>
            <w:tcW w:w="2218" w:type="dxa"/>
            <w:vAlign w:val="center"/>
          </w:tcPr>
          <w:p w14:paraId="7FA83AF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506F46E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r w14:paraId="6DC0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vMerge w:val="continue"/>
            <w:vAlign w:val="center"/>
          </w:tcPr>
          <w:p w14:paraId="374358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118092B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光调制解调器</w:t>
            </w:r>
          </w:p>
        </w:tc>
        <w:tc>
          <w:tcPr>
            <w:tcW w:w="2218" w:type="dxa"/>
            <w:vAlign w:val="center"/>
          </w:tcPr>
          <w:p w14:paraId="16FB301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2BD369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bl>
    <w:p w14:paraId="5ECA1F5E">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highlight w:val="none"/>
        </w:rPr>
        <w:t>▲</w:t>
      </w:r>
      <w:r>
        <w:rPr>
          <w:rFonts w:hint="eastAsia" w:ascii="仿宋" w:hAnsi="仿宋" w:eastAsia="仿宋" w:cs="仿宋"/>
          <w:sz w:val="24"/>
          <w:szCs w:val="28"/>
          <w:highlight w:val="none"/>
          <w:lang w:val="en-US" w:eastAsia="zh-CN"/>
        </w:rPr>
        <w:t>采购人根据实际需要可提出新增收视点位的要求，供应商应在收到采购人通知之日起5个工作日内</w:t>
      </w:r>
      <w:r>
        <w:rPr>
          <w:rFonts w:hint="eastAsia" w:ascii="仿宋" w:hAnsi="仿宋" w:eastAsia="仿宋" w:cs="仿宋"/>
          <w:sz w:val="24"/>
          <w:szCs w:val="28"/>
          <w:highlight w:val="none"/>
          <w:lang w:val="en-US" w:eastAsia="zh-CN"/>
        </w:rPr>
        <w:t>完成新增点位（含布线等全部工作）。若供应商逾期完成，每逾期一日，应按合同暂定总价的1% 向采购人支付违约金；逾期超过5日的，采购人有权单方解除合同，且供应商仍应承担前述违约责任。</w:t>
      </w:r>
    </w:p>
    <w:p w14:paraId="6031504F">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若电视信号消失时间超过</w:t>
      </w:r>
      <w:r>
        <w:rPr>
          <w:rFonts w:hint="eastAsia" w:ascii="仿宋" w:hAnsi="仿宋" w:eastAsia="仿宋" w:cs="仿宋"/>
          <w:sz w:val="24"/>
          <w:szCs w:val="28"/>
          <w:highlight w:val="none"/>
          <w:lang w:val="en-US" w:eastAsia="zh-CN"/>
        </w:rPr>
        <w:t>48</w:t>
      </w:r>
      <w:r>
        <w:rPr>
          <w:rFonts w:hint="eastAsia" w:ascii="仿宋" w:hAnsi="仿宋" w:eastAsia="仿宋" w:cs="仿宋"/>
          <w:sz w:val="24"/>
          <w:szCs w:val="28"/>
          <w:highlight w:val="none"/>
        </w:rPr>
        <w:t>小时，或者图像、伴音质量不达标时间超过</w:t>
      </w:r>
      <w:r>
        <w:rPr>
          <w:rFonts w:hint="eastAsia" w:ascii="仿宋" w:hAnsi="仿宋" w:eastAsia="仿宋" w:cs="仿宋"/>
          <w:sz w:val="24"/>
          <w:szCs w:val="28"/>
          <w:highlight w:val="none"/>
          <w:lang w:val="en-US" w:eastAsia="zh-CN"/>
        </w:rPr>
        <w:t>48</w:t>
      </w:r>
      <w:r>
        <w:rPr>
          <w:rFonts w:hint="eastAsia" w:ascii="仿宋" w:hAnsi="仿宋" w:eastAsia="仿宋" w:cs="仿宋"/>
          <w:sz w:val="24"/>
          <w:szCs w:val="28"/>
          <w:highlight w:val="none"/>
        </w:rPr>
        <w:t>小时造成恶劣影响，</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有权单方面解除合同。</w:t>
      </w:r>
    </w:p>
    <w:p w14:paraId="74F0F06E">
      <w:pPr>
        <w:keepNext w:val="0"/>
        <w:keepLines w:val="0"/>
        <w:pageBreakBefore w:val="0"/>
        <w:widowControl w:val="0"/>
        <w:kinsoku/>
        <w:wordWrap w:val="0"/>
        <w:overflowPunct/>
        <w:topLinePunct w:val="0"/>
        <w:autoSpaceDE/>
        <w:autoSpaceDN/>
        <w:bidi w:val="0"/>
        <w:adjustRightInd w:val="0"/>
        <w:snapToGrid w:val="0"/>
        <w:spacing w:line="360" w:lineRule="exact"/>
        <w:ind w:firstLine="482" w:firstLineChars="200"/>
        <w:jc w:val="left"/>
        <w:textAlignment w:val="auto"/>
        <w:rPr>
          <w:rFonts w:ascii="仿宋" w:hAnsi="仿宋" w:eastAsia="仿宋" w:cs="仿宋"/>
          <w:b/>
          <w:bCs/>
          <w:sz w:val="24"/>
          <w:szCs w:val="24"/>
          <w:highlight w:val="none"/>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要求</w:t>
      </w:r>
    </w:p>
    <w:p w14:paraId="31CAE536">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1.供应商需按照采购内容分别进行单项报价，</w:t>
      </w:r>
      <w:r>
        <w:rPr>
          <w:rFonts w:hint="eastAsia" w:ascii="仿宋" w:hAnsi="仿宋" w:eastAsia="仿宋" w:cs="仿宋"/>
          <w:b w:val="0"/>
          <w:bCs w:val="0"/>
          <w:color w:val="auto"/>
          <w:sz w:val="24"/>
          <w:szCs w:val="24"/>
          <w:highlight w:val="none"/>
          <w:lang w:val="en-US" w:eastAsia="zh-CN"/>
        </w:rPr>
        <w:t>结算时的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b w:val="0"/>
          <w:bCs w:val="0"/>
          <w:color w:val="auto"/>
          <w:sz w:val="24"/>
          <w:szCs w:val="24"/>
          <w:highlight w:val="none"/>
          <w:lang w:val="en-US" w:eastAsia="zh-CN"/>
        </w:rPr>
        <w:t>套餐</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单价包含供应商完成对应服务内容所需费用的含税价（包括但不限于人工、保险、伴随服务、拟投入设备及材料、各类税费以及合同包含的所有风险、责任等各项应有费用），单项报价不可超过单项最高限价，否则响应无效。</w:t>
      </w:r>
    </w:p>
    <w:p w14:paraId="18E22DF7">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2.本项目</w:t>
      </w:r>
      <w:r>
        <w:rPr>
          <w:rFonts w:hint="eastAsia" w:ascii="仿宋" w:hAnsi="仿宋" w:eastAsia="仿宋" w:cs="仿宋"/>
          <w:b w:val="0"/>
          <w:bCs w:val="0"/>
          <w:color w:val="auto"/>
          <w:sz w:val="24"/>
          <w:szCs w:val="24"/>
          <w:highlight w:val="none"/>
          <w:lang w:val="en-US" w:eastAsia="zh-CN"/>
        </w:rPr>
        <w:t>的价格评审以</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每月报价</w:t>
      </w:r>
      <w:r>
        <w:rPr>
          <w:rFonts w:hint="eastAsia" w:ascii="仿宋" w:hAnsi="仿宋" w:eastAsia="仿宋" w:cs="仿宋"/>
          <w:b w:val="0"/>
          <w:bCs w:val="0"/>
          <w:color w:val="auto"/>
          <w:sz w:val="24"/>
          <w:szCs w:val="24"/>
          <w:highlight w:val="none"/>
          <w:lang w:val="en-US" w:eastAsia="zh-CN"/>
        </w:rPr>
        <w:t>为依据</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。每月报价=病房电视收视服务单项报价×911个收视点位+电视界面优化单项报价。</w:t>
      </w:r>
    </w:p>
    <w:p w14:paraId="7F27ED67">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四、结算方式</w:t>
      </w:r>
    </w:p>
    <w:p w14:paraId="39D71C5C">
      <w:pPr>
        <w:pStyle w:val="1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8"/>
          <w:highlight w:val="none"/>
        </w:rPr>
        <w:t>自各单项业务实际开通之日起，成交供应商开始计收各项业务</w:t>
      </w:r>
      <w:r>
        <w:rPr>
          <w:rFonts w:hint="eastAsia" w:ascii="仿宋" w:hAnsi="仿宋" w:eastAsia="仿宋" w:cs="仿宋"/>
          <w:sz w:val="24"/>
          <w:szCs w:val="28"/>
          <w:highlight w:val="none"/>
          <w:lang w:val="en-US" w:eastAsia="zh-CN"/>
        </w:rPr>
        <w:t>的</w:t>
      </w:r>
      <w:r>
        <w:rPr>
          <w:rFonts w:hint="eastAsia" w:ascii="仿宋" w:hAnsi="仿宋" w:eastAsia="仿宋" w:cs="仿宋"/>
          <w:sz w:val="24"/>
          <w:szCs w:val="28"/>
          <w:highlight w:val="none"/>
        </w:rPr>
        <w:t>月</w:t>
      </w:r>
      <w:r>
        <w:rPr>
          <w:rFonts w:hint="eastAsia" w:ascii="仿宋" w:hAnsi="仿宋" w:eastAsia="仿宋" w:cs="仿宋"/>
          <w:sz w:val="24"/>
          <w:szCs w:val="28"/>
          <w:highlight w:val="none"/>
          <w:lang w:val="en-US" w:eastAsia="zh-CN"/>
        </w:rPr>
        <w:t>服务</w:t>
      </w:r>
      <w:r>
        <w:rPr>
          <w:rFonts w:hint="eastAsia" w:ascii="仿宋" w:hAnsi="仿宋" w:eastAsia="仿宋" w:cs="仿宋"/>
          <w:sz w:val="24"/>
          <w:szCs w:val="28"/>
          <w:highlight w:val="none"/>
        </w:rPr>
        <w:t>费，月</w:t>
      </w:r>
      <w:r>
        <w:rPr>
          <w:rFonts w:hint="eastAsia" w:ascii="仿宋" w:hAnsi="仿宋" w:eastAsia="仿宋" w:cs="仿宋"/>
          <w:sz w:val="24"/>
          <w:szCs w:val="28"/>
          <w:highlight w:val="none"/>
          <w:lang w:val="en-US" w:eastAsia="zh-CN"/>
        </w:rPr>
        <w:t>服务</w:t>
      </w:r>
      <w:r>
        <w:rPr>
          <w:rFonts w:hint="eastAsia" w:ascii="仿宋" w:hAnsi="仿宋" w:eastAsia="仿宋" w:cs="仿宋"/>
          <w:sz w:val="24"/>
          <w:szCs w:val="28"/>
          <w:highlight w:val="none"/>
        </w:rPr>
        <w:t>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以</w:t>
      </w:r>
      <w:r>
        <w:rPr>
          <w:rFonts w:hint="eastAsia" w:ascii="仿宋" w:hAnsi="仿宋" w:eastAsia="仿宋" w:cs="仿宋"/>
          <w:sz w:val="24"/>
          <w:szCs w:val="28"/>
          <w:highlight w:val="none"/>
        </w:rPr>
        <w:t>每个自然月的1日至月底为</w:t>
      </w: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个计费月（不足</w:t>
      </w: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个</w:t>
      </w:r>
      <w:r>
        <w:rPr>
          <w:rFonts w:hint="eastAsia" w:ascii="仿宋" w:hAnsi="仿宋" w:eastAsia="仿宋" w:cs="仿宋"/>
          <w:sz w:val="24"/>
          <w:szCs w:val="28"/>
        </w:rPr>
        <w:t>计费月按当月开通实际使用情况计算）。</w:t>
      </w:r>
    </w:p>
    <w:p w14:paraId="4FB6BA5D">
      <w:pPr>
        <w:pStyle w:val="1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本项目合同暂定总价=(病房电视收视服务单项成交价×911点位+电视界面优化单项成交价)×（18+10/30），结算数量按实际发生计算。</w:t>
      </w:r>
    </w:p>
    <w:p w14:paraId="04FF3D5A">
      <w:pPr>
        <w:pStyle w:val="1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供应商若成交，响应</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单项报价</w:t>
      </w:r>
      <w:r>
        <w:rPr>
          <w:rFonts w:hint="eastAsia" w:ascii="仿宋" w:hAnsi="仿宋" w:eastAsia="仿宋" w:cs="仿宋"/>
          <w:b w:val="0"/>
          <w:bCs w:val="0"/>
          <w:color w:val="auto"/>
          <w:sz w:val="24"/>
          <w:szCs w:val="24"/>
          <w:highlight w:val="none"/>
          <w:lang w:val="en-US" w:eastAsia="zh-CN"/>
        </w:rPr>
        <w:t>不可改变，</w:t>
      </w:r>
      <w:r>
        <w:rPr>
          <w:rFonts w:hint="eastAsia" w:ascii="仿宋" w:hAnsi="仿宋" w:eastAsia="仿宋" w:cs="仿宋"/>
          <w:sz w:val="24"/>
          <w:szCs w:val="28"/>
          <w:lang w:val="en-US" w:eastAsia="zh-CN"/>
        </w:rPr>
        <w:t>每月结算</w:t>
      </w:r>
      <w:r>
        <w:rPr>
          <w:rFonts w:hint="eastAsia" w:ascii="仿宋" w:hAnsi="仿宋" w:eastAsia="仿宋" w:cs="仿宋"/>
          <w:sz w:val="24"/>
          <w:szCs w:val="28"/>
        </w:rPr>
        <w:t>费用</w:t>
      </w:r>
      <w:r>
        <w:rPr>
          <w:rFonts w:hint="eastAsia" w:ascii="仿宋" w:hAnsi="仿宋" w:eastAsia="仿宋" w:cs="仿宋"/>
          <w:sz w:val="24"/>
          <w:szCs w:val="28"/>
          <w:lang w:val="en-US"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病房电视收视服务单项成交价×</w:t>
      </w:r>
      <w:r>
        <w:rPr>
          <w:rFonts w:hint="eastAsia" w:ascii="仿宋" w:hAnsi="仿宋" w:eastAsia="仿宋" w:cs="仿宋"/>
          <w:sz w:val="24"/>
          <w:szCs w:val="28"/>
        </w:rPr>
        <w:t>实际</w:t>
      </w:r>
      <w:r>
        <w:rPr>
          <w:rFonts w:hint="eastAsia" w:ascii="仿宋" w:hAnsi="仿宋" w:eastAsia="仿宋" w:cs="仿宋"/>
          <w:sz w:val="24"/>
          <w:szCs w:val="28"/>
          <w:lang w:val="en-US" w:eastAsia="zh-CN"/>
        </w:rPr>
        <w:t>电视收视服务</w:t>
      </w:r>
      <w:r>
        <w:rPr>
          <w:rFonts w:hint="eastAsia" w:ascii="仿宋" w:hAnsi="仿宋" w:eastAsia="仿宋" w:cs="仿宋"/>
          <w:sz w:val="24"/>
          <w:szCs w:val="28"/>
        </w:rPr>
        <w:t>点位数</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+电视界面优化单项成交价。</w:t>
      </w:r>
    </w:p>
    <w:p w14:paraId="510EE5ED">
      <w:pPr>
        <w:pStyle w:val="1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8"/>
        </w:rPr>
        <w:t>服务费用按月结算。采购人于次月对上月实际</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电视收视服务点位数</w:t>
      </w:r>
      <w:r>
        <w:rPr>
          <w:rFonts w:hint="eastAsia" w:ascii="仿宋" w:hAnsi="仿宋" w:eastAsia="仿宋" w:cs="仿宋"/>
          <w:sz w:val="24"/>
          <w:szCs w:val="28"/>
        </w:rPr>
        <w:t>进行核对确认，并在收到成交供应商开具的等额合规发票后</w:t>
      </w:r>
      <w:r>
        <w:rPr>
          <w:rFonts w:hint="eastAsia" w:ascii="仿宋" w:hAnsi="仿宋" w:eastAsia="仿宋" w:cs="仿宋"/>
          <w:sz w:val="24"/>
          <w:szCs w:val="28"/>
          <w:lang w:val="en-US" w:eastAsia="zh-CN"/>
        </w:rPr>
        <w:t>且满足支付条件的前提下</w:t>
      </w:r>
      <w:r>
        <w:rPr>
          <w:rFonts w:hint="eastAsia" w:ascii="仿宋" w:hAnsi="仿宋" w:eastAsia="仿宋" w:cs="仿宋"/>
          <w:sz w:val="24"/>
          <w:szCs w:val="28"/>
        </w:rPr>
        <w:t>10个工作日内支付相应款项。</w:t>
      </w:r>
    </w:p>
    <w:p w14:paraId="592FCAD1">
      <w:pPr>
        <w:pStyle w:val="15"/>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付款方式：采用银行转账等形式。</w:t>
      </w:r>
    </w:p>
    <w:p w14:paraId="6796C8D0">
      <w:pPr>
        <w:pStyle w:val="15"/>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FF"/>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、违约责任</w:t>
      </w:r>
    </w:p>
    <w:p w14:paraId="471FD511">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在合同期内有下列现象之一，经调查属实的，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有权解除相关合同：</w:t>
      </w:r>
    </w:p>
    <w:p w14:paraId="223C331F">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1．若电视屏幕上出现违反国家、</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相关规定或者其他不良内容及图像，</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承担全部责任和由此带来的一切不利后果（包括造成</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医疗工作的损失），且</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有权单方面解除合同。</w:t>
      </w:r>
    </w:p>
    <w:p w14:paraId="3A861288">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转包或分包本项目的，按违约处理，</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有权终止合同，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承担一切违约责任。</w:t>
      </w:r>
    </w:p>
    <w:p w14:paraId="4ED755E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3．在合同执行阶段，</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提供的货物质量及服务与响应文件所承诺的不符合的；</w:t>
      </w:r>
    </w:p>
    <w:p w14:paraId="3EB6888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4．弄虚作假，提供虚假材料取得供应资格的；</w:t>
      </w:r>
    </w:p>
    <w:p w14:paraId="187A03D9">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经营情况发生重大变更，已经不具备承接</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项目能力的；</w:t>
      </w:r>
    </w:p>
    <w:p w14:paraId="14EC0D4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有行贿、给回扣等不正当竞争行为的；</w:t>
      </w:r>
    </w:p>
    <w:p w14:paraId="12CA0DE6">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8．在经营过程中，存在制假、掺假、售假、未按规定经营范围经营等违反国家有关规定的行为，造成恶劣影响的；</w:t>
      </w:r>
    </w:p>
    <w:p w14:paraId="2380CF3B">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在经营过程中出现严重影响</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声誉和形象或严重造成</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损失的其他行为的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A35B2C0">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．其它违约责任按合同其他条款约定及《中华人民共和国民法典》规定处理。</w:t>
      </w:r>
    </w:p>
    <w:p w14:paraId="522EAB35">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合同的解除并不因此免除违约方根据本合同约定应当承担的违约责任和赔偿责任。</w:t>
      </w:r>
    </w:p>
    <w:p w14:paraId="75CB859B">
      <w:pPr>
        <w:pStyle w:val="2"/>
        <w:rPr>
          <w:rFonts w:hint="eastAsia" w:ascii="仿宋" w:hAnsi="仿宋" w:eastAsia="仿宋" w:cs="仿宋"/>
          <w:color w:val="000000" w:themeColor="text1"/>
          <w:sz w:val="24"/>
          <w:szCs w:val="24"/>
          <w:highlight w:val="none"/>
          <w14:textFill>
            <w14:solidFill>
              <w14:schemeClr w14:val="tx1"/>
            </w14:solidFill>
          </w14:textFill>
        </w:rPr>
      </w:pPr>
    </w:p>
    <w:p w14:paraId="229A4EAB">
      <w:pPr>
        <w:rPr>
          <w:rFonts w:hint="eastAsia" w:ascii="仿宋" w:hAnsi="仿宋" w:eastAsia="仿宋" w:cs="仿宋"/>
          <w:color w:val="000000" w:themeColor="text1"/>
          <w:sz w:val="24"/>
          <w:szCs w:val="24"/>
          <w:highlight w:val="none"/>
          <w14:textFill>
            <w14:solidFill>
              <w14:schemeClr w14:val="tx1"/>
            </w14:solidFill>
          </w14:textFill>
        </w:rPr>
      </w:pPr>
    </w:p>
    <w:p w14:paraId="60DCCE50">
      <w:pPr>
        <w:pStyle w:val="2"/>
        <w:rPr>
          <w:rFonts w:hint="eastAsia" w:ascii="仿宋" w:hAnsi="仿宋" w:eastAsia="仿宋" w:cs="仿宋"/>
          <w:color w:val="000000" w:themeColor="text1"/>
          <w:sz w:val="24"/>
          <w:szCs w:val="24"/>
          <w:highlight w:val="none"/>
          <w14:textFill>
            <w14:solidFill>
              <w14:schemeClr w14:val="tx1"/>
            </w14:solidFill>
          </w14:textFill>
        </w:rPr>
      </w:pPr>
    </w:p>
    <w:p w14:paraId="38EF29F0">
      <w:pPr>
        <w:rPr>
          <w:rFonts w:hint="eastAsia" w:ascii="仿宋" w:hAnsi="仿宋" w:eastAsia="仿宋" w:cs="仿宋"/>
          <w:color w:val="000000" w:themeColor="text1"/>
          <w:sz w:val="24"/>
          <w:szCs w:val="24"/>
          <w:highlight w:val="none"/>
          <w14:textFill>
            <w14:solidFill>
              <w14:schemeClr w14:val="tx1"/>
            </w14:solidFill>
          </w14:textFill>
        </w:rPr>
      </w:pPr>
    </w:p>
    <w:p w14:paraId="2AD68055">
      <w:pPr>
        <w:pStyle w:val="2"/>
        <w:rPr>
          <w:rFonts w:hint="eastAsia" w:ascii="仿宋" w:hAnsi="仿宋" w:eastAsia="仿宋" w:cs="仿宋"/>
          <w:color w:val="000000" w:themeColor="text1"/>
          <w:sz w:val="24"/>
          <w:szCs w:val="24"/>
          <w:highlight w:val="none"/>
          <w14:textFill>
            <w14:solidFill>
              <w14:schemeClr w14:val="tx1"/>
            </w14:solidFill>
          </w14:textFill>
        </w:rPr>
      </w:pPr>
    </w:p>
    <w:p w14:paraId="117F1B2B">
      <w:pPr>
        <w:rPr>
          <w:rFonts w:hint="eastAsia" w:ascii="仿宋" w:hAnsi="仿宋" w:eastAsia="仿宋" w:cs="仿宋"/>
          <w:color w:val="000000" w:themeColor="text1"/>
          <w:sz w:val="24"/>
          <w:szCs w:val="24"/>
          <w:highlight w:val="none"/>
          <w14:textFill>
            <w14:solidFill>
              <w14:schemeClr w14:val="tx1"/>
            </w14:solidFill>
          </w14:textFill>
        </w:rPr>
      </w:pPr>
    </w:p>
    <w:p w14:paraId="5B6B0927">
      <w:pPr>
        <w:pStyle w:val="2"/>
        <w:rPr>
          <w:rFonts w:hint="eastAsia" w:ascii="仿宋" w:hAnsi="仿宋" w:eastAsia="仿宋" w:cs="仿宋"/>
          <w:color w:val="000000" w:themeColor="text1"/>
          <w:sz w:val="24"/>
          <w:szCs w:val="24"/>
          <w:highlight w:val="none"/>
          <w14:textFill>
            <w14:solidFill>
              <w14:schemeClr w14:val="tx1"/>
            </w14:solidFill>
          </w14:textFill>
        </w:rPr>
      </w:pPr>
    </w:p>
    <w:p w14:paraId="73D304BD">
      <w:pPr>
        <w:rPr>
          <w:rFonts w:hint="eastAsia" w:ascii="仿宋" w:hAnsi="仿宋" w:eastAsia="仿宋" w:cs="仿宋"/>
          <w:color w:val="000000" w:themeColor="text1"/>
          <w:sz w:val="24"/>
          <w:szCs w:val="24"/>
          <w:highlight w:val="none"/>
          <w14:textFill>
            <w14:solidFill>
              <w14:schemeClr w14:val="tx1"/>
            </w14:solidFill>
          </w14:textFill>
        </w:rPr>
      </w:pPr>
    </w:p>
    <w:p w14:paraId="504556A7">
      <w:pPr>
        <w:pStyle w:val="2"/>
        <w:rPr>
          <w:rFonts w:hint="eastAsia" w:ascii="仿宋" w:hAnsi="仿宋" w:eastAsia="仿宋" w:cs="仿宋"/>
          <w:color w:val="000000" w:themeColor="text1"/>
          <w:sz w:val="24"/>
          <w:szCs w:val="24"/>
          <w:highlight w:val="none"/>
          <w14:textFill>
            <w14:solidFill>
              <w14:schemeClr w14:val="tx1"/>
            </w14:solidFill>
          </w14:textFill>
        </w:rPr>
      </w:pPr>
    </w:p>
    <w:p w14:paraId="3EABC0F9">
      <w:pPr>
        <w:rPr>
          <w:rFonts w:hint="eastAsia" w:ascii="仿宋" w:hAnsi="仿宋" w:eastAsia="仿宋" w:cs="仿宋"/>
          <w:color w:val="000000" w:themeColor="text1"/>
          <w:sz w:val="24"/>
          <w:szCs w:val="24"/>
          <w:highlight w:val="none"/>
          <w14:textFill>
            <w14:solidFill>
              <w14:schemeClr w14:val="tx1"/>
            </w14:solidFill>
          </w14:textFill>
        </w:rPr>
      </w:pPr>
    </w:p>
    <w:p w14:paraId="3335DF17">
      <w:pPr>
        <w:pStyle w:val="2"/>
        <w:rPr>
          <w:rFonts w:hint="eastAsia" w:ascii="仿宋" w:hAnsi="仿宋" w:eastAsia="仿宋" w:cs="仿宋"/>
          <w:color w:val="000000" w:themeColor="text1"/>
          <w:sz w:val="24"/>
          <w:szCs w:val="24"/>
          <w:highlight w:val="none"/>
          <w14:textFill>
            <w14:solidFill>
              <w14:schemeClr w14:val="tx1"/>
            </w14:solidFill>
          </w14:textFill>
        </w:rPr>
      </w:pPr>
    </w:p>
    <w:p w14:paraId="33FA1301">
      <w:pPr>
        <w:rPr>
          <w:rFonts w:hint="eastAsia" w:ascii="仿宋" w:hAnsi="仿宋" w:eastAsia="仿宋" w:cs="仿宋"/>
          <w:color w:val="000000" w:themeColor="text1"/>
          <w:sz w:val="24"/>
          <w:szCs w:val="24"/>
          <w:highlight w:val="none"/>
          <w14:textFill>
            <w14:solidFill>
              <w14:schemeClr w14:val="tx1"/>
            </w14:solidFill>
          </w14:textFill>
        </w:rPr>
      </w:pPr>
    </w:p>
    <w:p w14:paraId="74879098">
      <w:pPr>
        <w:pStyle w:val="2"/>
        <w:rPr>
          <w:rFonts w:hint="eastAsia" w:ascii="仿宋" w:hAnsi="仿宋" w:eastAsia="仿宋" w:cs="仿宋"/>
          <w:color w:val="000000" w:themeColor="text1"/>
          <w:sz w:val="24"/>
          <w:szCs w:val="24"/>
          <w:highlight w:val="none"/>
          <w14:textFill>
            <w14:solidFill>
              <w14:schemeClr w14:val="tx1"/>
            </w14:solidFill>
          </w14:textFill>
        </w:rPr>
      </w:pPr>
    </w:p>
    <w:p w14:paraId="4AA760D7">
      <w:pPr>
        <w:rPr>
          <w:rFonts w:hint="eastAsia" w:ascii="仿宋" w:hAnsi="仿宋" w:eastAsia="仿宋" w:cs="仿宋"/>
          <w:color w:val="000000" w:themeColor="text1"/>
          <w:sz w:val="24"/>
          <w:szCs w:val="24"/>
          <w:highlight w:val="none"/>
          <w14:textFill>
            <w14:solidFill>
              <w14:schemeClr w14:val="tx1"/>
            </w14:solidFill>
          </w14:textFill>
        </w:rPr>
      </w:pPr>
    </w:p>
    <w:p w14:paraId="7A05A17E">
      <w:pPr>
        <w:pStyle w:val="2"/>
        <w:rPr>
          <w:rFonts w:hint="eastAsia" w:ascii="仿宋" w:hAnsi="仿宋" w:eastAsia="仿宋" w:cs="仿宋"/>
          <w:color w:val="000000" w:themeColor="text1"/>
          <w:sz w:val="24"/>
          <w:szCs w:val="24"/>
          <w:highlight w:val="none"/>
          <w14:textFill>
            <w14:solidFill>
              <w14:schemeClr w14:val="tx1"/>
            </w14:solidFill>
          </w14:textFill>
        </w:rPr>
      </w:pPr>
    </w:p>
    <w:p w14:paraId="25056DA2">
      <w:pPr>
        <w:rPr>
          <w:rFonts w:hint="eastAsia" w:ascii="仿宋" w:hAnsi="仿宋" w:eastAsia="仿宋" w:cs="仿宋"/>
          <w:color w:val="000000" w:themeColor="text1"/>
          <w:sz w:val="24"/>
          <w:szCs w:val="24"/>
          <w:highlight w:val="none"/>
          <w14:textFill>
            <w14:solidFill>
              <w14:schemeClr w14:val="tx1"/>
            </w14:solidFill>
          </w14:textFill>
        </w:rPr>
      </w:pPr>
    </w:p>
    <w:p w14:paraId="5C5462B4">
      <w:pPr>
        <w:pStyle w:val="2"/>
        <w:rPr>
          <w:rFonts w:hint="eastAsia" w:ascii="仿宋" w:hAnsi="仿宋" w:eastAsia="仿宋" w:cs="仿宋"/>
          <w:color w:val="000000" w:themeColor="text1"/>
          <w:sz w:val="24"/>
          <w:szCs w:val="24"/>
          <w:highlight w:val="none"/>
          <w14:textFill>
            <w14:solidFill>
              <w14:schemeClr w14:val="tx1"/>
            </w14:solidFill>
          </w14:textFill>
        </w:rPr>
      </w:pPr>
    </w:p>
    <w:p w14:paraId="6E112371">
      <w:pPr>
        <w:rPr>
          <w:rFonts w:hint="eastAsia" w:ascii="仿宋" w:hAnsi="仿宋" w:eastAsia="仿宋" w:cs="仿宋"/>
          <w:color w:val="000000" w:themeColor="text1"/>
          <w:sz w:val="24"/>
          <w:szCs w:val="24"/>
          <w:highlight w:val="none"/>
          <w14:textFill>
            <w14:solidFill>
              <w14:schemeClr w14:val="tx1"/>
            </w14:solidFill>
          </w14:textFill>
        </w:rPr>
      </w:pPr>
    </w:p>
    <w:p w14:paraId="683E18C0">
      <w:pPr>
        <w:pStyle w:val="2"/>
        <w:rPr>
          <w:rFonts w:hint="eastAsia" w:ascii="仿宋" w:hAnsi="仿宋" w:eastAsia="仿宋" w:cs="仿宋"/>
          <w:color w:val="000000" w:themeColor="text1"/>
          <w:sz w:val="24"/>
          <w:szCs w:val="24"/>
          <w:highlight w:val="none"/>
          <w14:textFill>
            <w14:solidFill>
              <w14:schemeClr w14:val="tx1"/>
            </w14:solidFill>
          </w14:textFill>
        </w:rPr>
      </w:pPr>
    </w:p>
    <w:p w14:paraId="15E7FB72">
      <w:pPr>
        <w:rPr>
          <w:rFonts w:hint="eastAsia" w:ascii="仿宋" w:hAnsi="仿宋" w:eastAsia="仿宋" w:cs="仿宋"/>
          <w:color w:val="000000" w:themeColor="text1"/>
          <w:sz w:val="24"/>
          <w:szCs w:val="24"/>
          <w:highlight w:val="none"/>
          <w14:textFill>
            <w14:solidFill>
              <w14:schemeClr w14:val="tx1"/>
            </w14:solidFill>
          </w14:textFill>
        </w:rPr>
      </w:pPr>
    </w:p>
    <w:p w14:paraId="1DC094EC">
      <w:pPr>
        <w:pStyle w:val="2"/>
        <w:rPr>
          <w:rFonts w:hint="eastAsia" w:ascii="仿宋" w:hAnsi="仿宋" w:eastAsia="仿宋" w:cs="仿宋"/>
          <w:color w:val="000000" w:themeColor="text1"/>
          <w:sz w:val="24"/>
          <w:szCs w:val="24"/>
          <w:highlight w:val="none"/>
          <w14:textFill>
            <w14:solidFill>
              <w14:schemeClr w14:val="tx1"/>
            </w14:solidFill>
          </w14:textFill>
        </w:rPr>
      </w:pPr>
    </w:p>
    <w:p w14:paraId="23286D94">
      <w:pPr>
        <w:rPr>
          <w:rFonts w:hint="eastAsia" w:ascii="仿宋" w:hAnsi="仿宋" w:eastAsia="仿宋" w:cs="仿宋"/>
          <w:color w:val="000000" w:themeColor="text1"/>
          <w:sz w:val="24"/>
          <w:szCs w:val="24"/>
          <w:highlight w:val="none"/>
          <w14:textFill>
            <w14:solidFill>
              <w14:schemeClr w14:val="tx1"/>
            </w14:solidFill>
          </w14:textFill>
        </w:rPr>
      </w:pPr>
    </w:p>
    <w:p w14:paraId="6F42375A">
      <w:pPr>
        <w:pStyle w:val="2"/>
        <w:rPr>
          <w:rFonts w:hint="eastAsia" w:ascii="仿宋" w:hAnsi="仿宋" w:eastAsia="仿宋" w:cs="仿宋"/>
          <w:color w:val="000000" w:themeColor="text1"/>
          <w:sz w:val="24"/>
          <w:szCs w:val="24"/>
          <w:highlight w:val="none"/>
          <w14:textFill>
            <w14:solidFill>
              <w14:schemeClr w14:val="tx1"/>
            </w14:solidFill>
          </w14:textFill>
        </w:rPr>
      </w:pPr>
    </w:p>
    <w:p w14:paraId="13DAD941">
      <w:pPr>
        <w:rPr>
          <w:rFonts w:hint="eastAsia" w:ascii="仿宋" w:hAnsi="仿宋" w:eastAsia="仿宋" w:cs="仿宋"/>
          <w:color w:val="000000" w:themeColor="text1"/>
          <w:sz w:val="24"/>
          <w:szCs w:val="24"/>
          <w:highlight w:val="none"/>
          <w14:textFill>
            <w14:solidFill>
              <w14:schemeClr w14:val="tx1"/>
            </w14:solidFill>
          </w14:textFill>
        </w:rPr>
      </w:pPr>
    </w:p>
    <w:p w14:paraId="564FDC5A">
      <w:pPr>
        <w:pStyle w:val="2"/>
        <w:rPr>
          <w:rFonts w:hint="eastAsia" w:ascii="仿宋" w:hAnsi="仿宋" w:eastAsia="仿宋" w:cs="仿宋"/>
          <w:color w:val="000000" w:themeColor="text1"/>
          <w:sz w:val="24"/>
          <w:szCs w:val="24"/>
          <w:highlight w:val="none"/>
          <w14:textFill>
            <w14:solidFill>
              <w14:schemeClr w14:val="tx1"/>
            </w14:solidFill>
          </w14:textFill>
        </w:rPr>
      </w:pPr>
    </w:p>
    <w:p w14:paraId="1180DEF9">
      <w:pPr>
        <w:rPr>
          <w:rFonts w:hint="eastAsia" w:ascii="仿宋" w:hAnsi="仿宋" w:eastAsia="仿宋" w:cs="仿宋"/>
          <w:color w:val="000000" w:themeColor="text1"/>
          <w:sz w:val="24"/>
          <w:szCs w:val="24"/>
          <w:highlight w:val="none"/>
          <w14:textFill>
            <w14:solidFill>
              <w14:schemeClr w14:val="tx1"/>
            </w14:solidFill>
          </w14:textFill>
        </w:rPr>
      </w:pPr>
    </w:p>
    <w:p w14:paraId="6334DA87">
      <w:pPr>
        <w:pStyle w:val="2"/>
        <w:rPr>
          <w:rFonts w:hint="eastAsia" w:ascii="仿宋" w:hAnsi="仿宋" w:eastAsia="仿宋" w:cs="仿宋"/>
          <w:color w:val="000000" w:themeColor="text1"/>
          <w:sz w:val="24"/>
          <w:szCs w:val="24"/>
          <w:highlight w:val="none"/>
          <w14:textFill>
            <w14:solidFill>
              <w14:schemeClr w14:val="tx1"/>
            </w14:solidFill>
          </w14:textFill>
        </w:rPr>
      </w:pPr>
    </w:p>
    <w:p w14:paraId="7D650115">
      <w:pPr>
        <w:rPr>
          <w:rFonts w:hint="eastAsia" w:ascii="仿宋" w:hAnsi="仿宋" w:eastAsia="仿宋" w:cs="仿宋"/>
          <w:color w:val="000000" w:themeColor="text1"/>
          <w:sz w:val="24"/>
          <w:szCs w:val="24"/>
          <w:highlight w:val="none"/>
          <w14:textFill>
            <w14:solidFill>
              <w14:schemeClr w14:val="tx1"/>
            </w14:solidFill>
          </w14:textFill>
        </w:rPr>
      </w:pPr>
    </w:p>
    <w:p w14:paraId="724FE313">
      <w:pPr>
        <w:pStyle w:val="2"/>
        <w:rPr>
          <w:rFonts w:hint="eastAsia" w:ascii="仿宋" w:hAnsi="仿宋" w:eastAsia="仿宋" w:cs="仿宋"/>
          <w:color w:val="000000" w:themeColor="text1"/>
          <w:sz w:val="24"/>
          <w:szCs w:val="24"/>
          <w:highlight w:val="none"/>
          <w14:textFill>
            <w14:solidFill>
              <w14:schemeClr w14:val="tx1"/>
            </w14:solidFill>
          </w14:textFill>
        </w:rPr>
      </w:pPr>
    </w:p>
    <w:p w14:paraId="72E155DE">
      <w:pPr>
        <w:rPr>
          <w:rFonts w:hint="eastAsia" w:ascii="仿宋" w:hAnsi="仿宋" w:eastAsia="仿宋" w:cs="仿宋"/>
          <w:color w:val="000000" w:themeColor="text1"/>
          <w:sz w:val="24"/>
          <w:szCs w:val="24"/>
          <w:highlight w:val="none"/>
          <w14:textFill>
            <w14:solidFill>
              <w14:schemeClr w14:val="tx1"/>
            </w14:solidFill>
          </w14:textFill>
        </w:rPr>
      </w:pPr>
    </w:p>
    <w:p w14:paraId="44233B2E">
      <w:pPr>
        <w:pStyle w:val="2"/>
        <w:rPr>
          <w:rFonts w:hint="eastAsia" w:ascii="仿宋" w:hAnsi="仿宋" w:eastAsia="仿宋" w:cs="仿宋"/>
          <w:color w:val="000000" w:themeColor="text1"/>
          <w:sz w:val="24"/>
          <w:szCs w:val="24"/>
          <w:highlight w:val="none"/>
          <w14:textFill>
            <w14:solidFill>
              <w14:schemeClr w14:val="tx1"/>
            </w14:solidFill>
          </w14:textFill>
        </w:rPr>
      </w:pPr>
    </w:p>
    <w:p w14:paraId="204A9A66">
      <w:pPr>
        <w:rPr>
          <w:rFonts w:hint="eastAsia" w:ascii="仿宋" w:hAnsi="仿宋" w:eastAsia="仿宋" w:cs="仿宋"/>
          <w:color w:val="000000" w:themeColor="text1"/>
          <w:sz w:val="24"/>
          <w:szCs w:val="24"/>
          <w:highlight w:val="none"/>
          <w14:textFill>
            <w14:solidFill>
              <w14:schemeClr w14:val="tx1"/>
            </w14:solidFill>
          </w14:textFill>
        </w:rPr>
      </w:pPr>
    </w:p>
    <w:p w14:paraId="58C0974E">
      <w:pPr>
        <w:pStyle w:val="2"/>
        <w:rPr>
          <w:rFonts w:hint="eastAsia" w:ascii="仿宋" w:hAnsi="仿宋" w:eastAsia="仿宋" w:cs="仿宋"/>
          <w:color w:val="000000" w:themeColor="text1"/>
          <w:sz w:val="24"/>
          <w:szCs w:val="24"/>
          <w:highlight w:val="none"/>
          <w14:textFill>
            <w14:solidFill>
              <w14:schemeClr w14:val="tx1"/>
            </w14:solidFill>
          </w14:textFill>
        </w:rPr>
      </w:pPr>
    </w:p>
    <w:p w14:paraId="1B7C4B0B">
      <w:pPr>
        <w:rPr>
          <w:rFonts w:hint="eastAsia" w:ascii="仿宋" w:hAnsi="仿宋" w:eastAsia="仿宋" w:cs="仿宋"/>
          <w:color w:val="000000" w:themeColor="text1"/>
          <w:sz w:val="24"/>
          <w:szCs w:val="24"/>
          <w:highlight w:val="none"/>
          <w14:textFill>
            <w14:solidFill>
              <w14:schemeClr w14:val="tx1"/>
            </w14:solidFill>
          </w14:textFill>
        </w:rPr>
      </w:pPr>
    </w:p>
    <w:p w14:paraId="70248780">
      <w:pPr>
        <w:pStyle w:val="2"/>
        <w:rPr>
          <w:rFonts w:hint="eastAsia" w:ascii="仿宋" w:hAnsi="仿宋" w:eastAsia="仿宋" w:cs="仿宋"/>
          <w:color w:val="000000" w:themeColor="text1"/>
          <w:sz w:val="24"/>
          <w:szCs w:val="24"/>
          <w:highlight w:val="none"/>
          <w14:textFill>
            <w14:solidFill>
              <w14:schemeClr w14:val="tx1"/>
            </w14:solidFill>
          </w14:textFill>
        </w:rPr>
      </w:pPr>
    </w:p>
    <w:p w14:paraId="0D641B24">
      <w:pPr>
        <w:rPr>
          <w:rFonts w:hint="eastAsia" w:ascii="仿宋" w:hAnsi="仿宋" w:eastAsia="仿宋" w:cs="仿宋"/>
          <w:color w:val="000000" w:themeColor="text1"/>
          <w:sz w:val="24"/>
          <w:szCs w:val="24"/>
          <w:highlight w:val="none"/>
          <w14:textFill>
            <w14:solidFill>
              <w14:schemeClr w14:val="tx1"/>
            </w14:solidFill>
          </w14:textFill>
        </w:rPr>
      </w:pPr>
    </w:p>
    <w:p w14:paraId="59C128B1">
      <w:pPr>
        <w:pStyle w:val="2"/>
        <w:rPr>
          <w:rFonts w:hint="eastAsia" w:ascii="仿宋" w:hAnsi="仿宋" w:eastAsia="仿宋" w:cs="仿宋"/>
          <w:color w:val="000000" w:themeColor="text1"/>
          <w:sz w:val="24"/>
          <w:szCs w:val="24"/>
          <w:highlight w:val="none"/>
          <w14:textFill>
            <w14:solidFill>
              <w14:schemeClr w14:val="tx1"/>
            </w14:solidFill>
          </w14:textFill>
        </w:rPr>
      </w:pPr>
    </w:p>
    <w:p w14:paraId="39CCB52B">
      <w:pPr>
        <w:rPr>
          <w:rFonts w:hint="eastAsia" w:ascii="仿宋" w:hAnsi="仿宋" w:eastAsia="仿宋" w:cs="仿宋"/>
          <w:color w:val="000000" w:themeColor="text1"/>
          <w:sz w:val="24"/>
          <w:szCs w:val="24"/>
          <w:highlight w:val="none"/>
          <w14:textFill>
            <w14:solidFill>
              <w14:schemeClr w14:val="tx1"/>
            </w14:solidFill>
          </w14:textFill>
        </w:rPr>
      </w:pPr>
    </w:p>
    <w:p w14:paraId="7EEAD5DF">
      <w:pPr>
        <w:rPr>
          <w:rFonts w:hint="eastAsia" w:ascii="微软雅黑" w:hAnsi="微软雅黑" w:eastAsia="微软雅黑" w:cs="微软雅黑"/>
          <w:color w:val="000000"/>
          <w:highlight w:val="none"/>
        </w:rPr>
      </w:pPr>
    </w:p>
    <w:p w14:paraId="36E03FE3">
      <w:pPr>
        <w:rPr>
          <w:rFonts w:hint="eastAsia" w:ascii="微软雅黑" w:hAnsi="微软雅黑" w:eastAsia="微软雅黑" w:cs="微软雅黑"/>
          <w:color w:val="000000"/>
          <w:highlight w:val="none"/>
        </w:rPr>
      </w:pPr>
    </w:p>
    <w:p w14:paraId="2C6C0053">
      <w:pPr>
        <w:rPr>
          <w:rFonts w:hint="eastAsia" w:ascii="微软雅黑" w:hAnsi="微软雅黑" w:eastAsia="微软雅黑" w:cs="微软雅黑"/>
          <w:color w:val="000000"/>
          <w:highlight w:val="none"/>
        </w:rPr>
      </w:pPr>
    </w:p>
    <w:p w14:paraId="04D1D319">
      <w:pPr>
        <w:rPr>
          <w:rFonts w:hint="eastAsia" w:ascii="微软雅黑" w:hAnsi="微软雅黑" w:eastAsia="微软雅黑" w:cs="微软雅黑"/>
          <w:color w:val="000000"/>
          <w:highlight w:val="none"/>
        </w:rPr>
      </w:pPr>
    </w:p>
    <w:p w14:paraId="7DAEC0A8">
      <w:pPr>
        <w:rPr>
          <w:rFonts w:hint="eastAsia" w:ascii="微软雅黑" w:hAnsi="微软雅黑" w:eastAsia="微软雅黑" w:cs="微软雅黑"/>
          <w:color w:val="000000"/>
          <w:highlight w:val="none"/>
        </w:rPr>
      </w:pPr>
    </w:p>
    <w:p w14:paraId="05487094">
      <w:pPr>
        <w:rPr>
          <w:rFonts w:hint="eastAsia" w:ascii="微软雅黑" w:hAnsi="微软雅黑" w:eastAsia="微软雅黑" w:cs="微软雅黑"/>
          <w:color w:val="000000"/>
          <w:highlight w:val="none"/>
        </w:rPr>
      </w:pPr>
    </w:p>
    <w:p w14:paraId="7EC745B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p>
    <w:p w14:paraId="7808ED18">
      <w:pPr>
        <w:pStyle w:val="23"/>
        <w:rPr>
          <w:rFonts w:hint="eastAsia"/>
          <w:color w:val="000000"/>
          <w:highlight w:val="none"/>
        </w:rPr>
      </w:pPr>
    </w:p>
    <w:p w14:paraId="69F5B7E2">
      <w:pPr>
        <w:pStyle w:val="23"/>
        <w:rPr>
          <w:rFonts w:hint="eastAsia"/>
          <w:color w:val="000000"/>
          <w:highlight w:val="none"/>
        </w:rPr>
      </w:pPr>
    </w:p>
    <w:p w14:paraId="189E61D9">
      <w:pPr>
        <w:pStyle w:val="23"/>
        <w:rPr>
          <w:rFonts w:hint="eastAsia"/>
          <w:color w:val="000000"/>
          <w:highlight w:val="none"/>
        </w:rPr>
      </w:pPr>
    </w:p>
    <w:p w14:paraId="13E0DB19">
      <w:pPr>
        <w:pStyle w:val="23"/>
        <w:rPr>
          <w:rFonts w:hint="eastAsia"/>
          <w:color w:val="000000"/>
          <w:highlight w:val="none"/>
        </w:rPr>
      </w:pPr>
    </w:p>
    <w:p w14:paraId="0D135483">
      <w:pPr>
        <w:pStyle w:val="23"/>
        <w:rPr>
          <w:rFonts w:hint="eastAsia"/>
          <w:color w:val="000000"/>
          <w:highlight w:val="none"/>
        </w:rPr>
      </w:pPr>
    </w:p>
    <w:p w14:paraId="5FE8888D">
      <w:pPr>
        <w:pStyle w:val="23"/>
        <w:rPr>
          <w:rFonts w:hint="eastAsia"/>
          <w:color w:val="000000"/>
          <w:highlight w:val="none"/>
        </w:rPr>
      </w:pPr>
    </w:p>
    <w:p w14:paraId="37FEB6BC">
      <w:pPr>
        <w:pStyle w:val="23"/>
        <w:rPr>
          <w:rFonts w:hint="eastAsia"/>
          <w:color w:val="000000"/>
          <w:highlight w:val="none"/>
        </w:rPr>
      </w:pPr>
    </w:p>
    <w:p w14:paraId="309DB3E0">
      <w:pPr>
        <w:pStyle w:val="23"/>
        <w:rPr>
          <w:rFonts w:hint="eastAsia"/>
          <w:color w:val="000000"/>
          <w:highlight w:val="none"/>
        </w:rPr>
      </w:pPr>
    </w:p>
    <w:p w14:paraId="7014139D">
      <w:pPr>
        <w:pStyle w:val="23"/>
        <w:rPr>
          <w:rFonts w:hint="eastAsia"/>
          <w:color w:val="000000"/>
          <w:highlight w:val="none"/>
        </w:rPr>
      </w:pPr>
    </w:p>
    <w:p w14:paraId="7D4DB952">
      <w:pPr>
        <w:pStyle w:val="23"/>
        <w:rPr>
          <w:rFonts w:hint="eastAsia"/>
          <w:color w:val="000000"/>
          <w:highlight w:val="none"/>
        </w:rPr>
      </w:pPr>
    </w:p>
    <w:p w14:paraId="182B1B64">
      <w:pPr>
        <w:pStyle w:val="23"/>
        <w:rPr>
          <w:rFonts w:hint="eastAsia"/>
          <w:color w:val="000000"/>
          <w:highlight w:val="none"/>
        </w:rPr>
      </w:pPr>
    </w:p>
    <w:p w14:paraId="2B1088A4">
      <w:pPr>
        <w:pStyle w:val="23"/>
        <w:rPr>
          <w:rFonts w:hint="eastAsia"/>
          <w:color w:val="000000"/>
          <w:highlight w:val="none"/>
        </w:rPr>
      </w:pPr>
    </w:p>
    <w:p w14:paraId="3F52C508">
      <w:pPr>
        <w:pStyle w:val="23"/>
        <w:rPr>
          <w:rFonts w:hint="eastAsia"/>
          <w:color w:val="000000"/>
          <w:highlight w:val="none"/>
        </w:rPr>
      </w:pPr>
    </w:p>
    <w:p w14:paraId="25589229">
      <w:pPr>
        <w:pStyle w:val="23"/>
        <w:rPr>
          <w:rFonts w:hint="eastAsia"/>
          <w:color w:val="000000"/>
          <w:highlight w:val="none"/>
        </w:rPr>
      </w:pPr>
    </w:p>
    <w:p w14:paraId="7179AE5A">
      <w:pPr>
        <w:pStyle w:val="23"/>
        <w:rPr>
          <w:rFonts w:hint="eastAsia"/>
          <w:color w:val="000000"/>
          <w:highlight w:val="none"/>
        </w:rPr>
      </w:pPr>
    </w:p>
    <w:p w14:paraId="6B0F4147">
      <w:pPr>
        <w:pStyle w:val="23"/>
        <w:rPr>
          <w:rFonts w:hint="eastAsia"/>
          <w:color w:val="000000"/>
          <w:highlight w:val="none"/>
        </w:rPr>
      </w:pPr>
    </w:p>
    <w:p w14:paraId="662325FF">
      <w:pPr>
        <w:pStyle w:val="23"/>
        <w:rPr>
          <w:rFonts w:hint="eastAsia"/>
          <w:color w:val="000000"/>
          <w:highlight w:val="none"/>
        </w:rPr>
      </w:pPr>
    </w:p>
    <w:p w14:paraId="1AEB18A1">
      <w:pPr>
        <w:pStyle w:val="23"/>
        <w:rPr>
          <w:rFonts w:hint="eastAsia"/>
          <w:color w:val="000000"/>
          <w:highlight w:val="none"/>
        </w:rPr>
      </w:pPr>
    </w:p>
    <w:p w14:paraId="4463CA19">
      <w:pPr>
        <w:pStyle w:val="23"/>
        <w:rPr>
          <w:rFonts w:hint="eastAsia"/>
          <w:color w:val="000000"/>
          <w:highlight w:val="none"/>
        </w:rPr>
      </w:pPr>
    </w:p>
    <w:p w14:paraId="1D5640CE">
      <w:pPr>
        <w:pStyle w:val="23"/>
        <w:rPr>
          <w:rFonts w:hint="eastAsia"/>
          <w:color w:val="000000"/>
          <w:highlight w:val="none"/>
        </w:rPr>
      </w:pPr>
    </w:p>
    <w:p w14:paraId="3BA62993">
      <w:pPr>
        <w:pStyle w:val="23"/>
        <w:rPr>
          <w:rFonts w:hint="eastAsia"/>
          <w:color w:val="000000"/>
          <w:highlight w:val="none"/>
        </w:rPr>
      </w:pPr>
    </w:p>
    <w:p w14:paraId="2FDD58ED">
      <w:pPr>
        <w:pStyle w:val="23"/>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6" w:name="_Toc385940880"/>
      <w:r>
        <w:rPr>
          <w:rFonts w:hint="eastAsia" w:ascii="华文中宋" w:hAnsi="华文中宋" w:eastAsia="华文中宋" w:cs="华文中宋"/>
          <w:b/>
          <w:bCs/>
          <w:color w:val="000000"/>
          <w:sz w:val="36"/>
          <w:szCs w:val="36"/>
          <w:highlight w:val="none"/>
        </w:rPr>
        <w:t>响应须知</w:t>
      </w:r>
    </w:p>
    <w:bookmarkEnd w:id="16"/>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采购文件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jc w:val="center"/>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val="en-US" w:eastAsia="zh-CN"/>
              </w:rPr>
              <w:t>采购</w:t>
            </w:r>
            <w:r>
              <w:rPr>
                <w:rFonts w:hint="eastAsia" w:ascii="仿宋" w:hAnsi="仿宋" w:eastAsia="仿宋" w:cs="仿宋"/>
                <w:bCs/>
                <w:color w:val="000000"/>
                <w:szCs w:val="21"/>
                <w:highlight w:val="none"/>
                <w:lang w:eastAsia="zh-CN"/>
              </w:rPr>
              <w:t>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竞谈邀请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E322B3C">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sz w:val="24"/>
                <w:szCs w:val="36"/>
                <w:highlight w:val="none"/>
              </w:rPr>
            </w:pPr>
          </w:p>
          <w:p w14:paraId="54EB0D5F">
            <w:pPr>
              <w:pStyle w:val="2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采购评审会议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tc>
      </w:tr>
    </w:tbl>
    <w:p w14:paraId="123545E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1．</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采购</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2．</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3．</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default" w:ascii="宋体" w:hAnsi="宋体" w:eastAsia="宋体" w:cs="宋体"/>
          <w:color w:val="000000"/>
          <w:kern w:val="2"/>
          <w:sz w:val="24"/>
          <w:szCs w:val="24"/>
          <w:lang w:val="en-US" w:eastAsia="zh-CN" w:bidi="ar-SA"/>
        </w:rPr>
        <w:t>4．</w:t>
      </w: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竞谈邀请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中规定以外的响应文件递交形式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5．</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采购评审会议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评审会议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r>
        <w:rPr>
          <w:rFonts w:hint="eastAsia" w:ascii="仿宋" w:hAnsi="仿宋" w:eastAsia="仿宋" w:cs="仿宋"/>
          <w:b w:val="0"/>
          <w:bCs/>
          <w:color w:val="000000"/>
          <w:sz w:val="24"/>
          <w:szCs w:val="24"/>
          <w:highlight w:val="none"/>
          <w:lang w:val="en-US" w:eastAsia="zh-CN"/>
        </w:rPr>
        <w:t>若采购需求中对样品另有要求的，则以该要求为准。</w:t>
      </w:r>
    </w:p>
    <w:p w14:paraId="68B126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kern w:val="2"/>
          <w:sz w:val="24"/>
          <w:szCs w:val="24"/>
          <w:lang w:val="en-US" w:eastAsia="zh-CN" w:bidi="ar-SA"/>
        </w:rPr>
        <w:t>（五）</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三、采购评审会议和评审原则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（一）组织采购评审会议</w:t>
      </w:r>
    </w:p>
    <w:p w14:paraId="584C359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采购人按照约定的时间、地点组织采购评审会议。会议原则上应有采购人代表及供应商代表参加，参会代表应签到确认出席。若通过资格性及符合性审查的供应商不足3家，我院将组织本项目第二次公告挂网；如第二次公告挂网后仍不足3家，则按医院相关管理办法执行。</w:t>
      </w:r>
    </w:p>
    <w:p w14:paraId="3C0104E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2.评审过程中，评审委员会应严格遵守保密原则，未经供应商同意，不得向任何第三方透露其商务、技术、价格及其他重要信息。</w:t>
      </w:r>
    </w:p>
    <w:p w14:paraId="7CD9AB1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3.评审委员会应依据采购文件规定的程序及评定成交标准，与通过资格性、符合性审查的供应商逐一进行谈判。谈判应集中与单一供应商分别进行，确保所有参与谈判的供应商享有平等的谈判机会。</w:t>
      </w:r>
    </w:p>
    <w:p w14:paraId="3A48771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4.谈判结束后，所有继续参与谈判的供应商应在规定时间内提交最后报价。最后报价为供应商响应文件的有效组成部分，纳入最终价格评审环节。</w:t>
      </w:r>
    </w:p>
    <w:p w14:paraId="259357B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5.最后报价提交时间截止后，供应商不得对报价进行修改、撤回或撤销。</w:t>
      </w:r>
    </w:p>
    <w:p w14:paraId="7AE7EC5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6.评审委员会应根据评审记录、综合评分情况及评审结果，编制并出具评审报告。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4007A9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14:paraId="44B6516C">
      <w:pPr>
        <w:pStyle w:val="23"/>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2.本次评审采用综合评分法，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14:paraId="09EF0B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14:paraId="67C4BD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sz w:val="24"/>
          <w:szCs w:val="24"/>
          <w:highlight w:val="none"/>
          <w:lang w:val="en-US" w:eastAsia="zh-CN"/>
        </w:rPr>
        <w:t>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6894C21F">
      <w:pPr>
        <w:pStyle w:val="24"/>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sz w:val="24"/>
          <w:szCs w:val="24"/>
          <w:highlight w:val="none"/>
          <w:lang w:val="en-US" w:eastAsia="zh-CN"/>
        </w:rPr>
        <w:t>资格审查或符合性审查不通过的均视为无效响应。</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6.评审内容：评审委员会</w:t>
      </w:r>
      <w:r>
        <w:rPr>
          <w:rFonts w:hint="eastAsia" w:ascii="仿宋" w:hAnsi="仿宋" w:eastAsia="仿宋" w:cs="仿宋"/>
          <w:color w:val="000000"/>
          <w:sz w:val="24"/>
          <w:szCs w:val="24"/>
          <w:highlight w:val="none"/>
          <w:lang w:val="en-US" w:eastAsia="zh-CN"/>
        </w:rPr>
        <w:t>对通过资格审查和符合性审查的响应文件进行商务、技术和价格谈判的评审。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4"/>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rPr>
              <w:t>原件</w:t>
            </w:r>
            <w:r>
              <w:rPr>
                <w:rFonts w:hint="eastAsia" w:ascii="仿宋" w:hAnsi="仿宋" w:eastAsia="仿宋" w:cs="仿宋"/>
                <w:color w:val="000000"/>
                <w:sz w:val="20"/>
                <w:szCs w:val="20"/>
                <w:highlight w:val="none"/>
                <w:lang w:eastAsia="zh-CN"/>
              </w:rPr>
              <w:t>）</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采购</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不得改动本采购文件中已明确要求不得擅自删改的部分，以及遵守采购文件中已列明必须遵照执行否则按无效响应处理的各类要求。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采购</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采购</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评分（50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50分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25分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0FC5CA53">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商务评审表（25分）</w:t>
      </w:r>
    </w:p>
    <w:tbl>
      <w:tblPr>
        <w:tblStyle w:val="17"/>
        <w:tblpPr w:leftFromText="180" w:rightFromText="180" w:vertAnchor="text" w:horzAnchor="page" w:tblpXSpec="center" w:tblpY="9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742"/>
        <w:gridCol w:w="6349"/>
      </w:tblGrid>
      <w:tr w14:paraId="0C87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17083136">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评审</w:t>
            </w:r>
            <w:r>
              <w:rPr>
                <w:rFonts w:hint="eastAsia" w:ascii="仿宋" w:hAnsi="仿宋" w:eastAsia="仿宋" w:cs="仿宋"/>
                <w:b/>
                <w:bCs/>
                <w:sz w:val="20"/>
                <w:szCs w:val="20"/>
                <w:highlight w:val="none"/>
                <w:lang w:val="en-US" w:eastAsia="zh-CN"/>
              </w:rPr>
              <w:t>指标</w:t>
            </w:r>
          </w:p>
        </w:tc>
        <w:tc>
          <w:tcPr>
            <w:tcW w:w="742" w:type="dxa"/>
            <w:vAlign w:val="center"/>
          </w:tcPr>
          <w:p w14:paraId="6BFBE494">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分值</w:t>
            </w:r>
          </w:p>
        </w:tc>
        <w:tc>
          <w:tcPr>
            <w:tcW w:w="6349" w:type="dxa"/>
            <w:vAlign w:val="center"/>
          </w:tcPr>
          <w:p w14:paraId="5FDFF60B">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14:paraId="5A64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12B68EBE">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企业</w:t>
            </w:r>
            <w:r>
              <w:rPr>
                <w:rFonts w:hint="eastAsia" w:ascii="仿宋" w:hAnsi="仿宋" w:eastAsia="仿宋" w:cs="仿宋"/>
                <w:sz w:val="20"/>
                <w:szCs w:val="20"/>
                <w:highlight w:val="none"/>
                <w:lang w:val="en-US" w:eastAsia="zh-CN"/>
              </w:rPr>
              <w:t>体系认证</w:t>
            </w:r>
            <w:r>
              <w:rPr>
                <w:rFonts w:hint="eastAsia" w:ascii="仿宋" w:hAnsi="仿宋" w:eastAsia="仿宋" w:cs="仿宋"/>
                <w:sz w:val="20"/>
                <w:szCs w:val="20"/>
                <w:highlight w:val="none"/>
              </w:rPr>
              <w:t>情况</w:t>
            </w:r>
          </w:p>
        </w:tc>
        <w:tc>
          <w:tcPr>
            <w:tcW w:w="742" w:type="dxa"/>
            <w:vAlign w:val="center"/>
          </w:tcPr>
          <w:p w14:paraId="04377D09">
            <w:pPr>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6</w:t>
            </w:r>
          </w:p>
        </w:tc>
        <w:tc>
          <w:tcPr>
            <w:tcW w:w="6349" w:type="dxa"/>
            <w:vAlign w:val="center"/>
          </w:tcPr>
          <w:p w14:paraId="0BFD7675">
            <w:pP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r>
              <w:rPr>
                <w:rFonts w:hint="eastAsia" w:ascii="仿宋" w:hAnsi="仿宋" w:eastAsia="仿宋" w:cs="仿宋"/>
                <w:color w:val="000000" w:themeColor="text1"/>
                <w:sz w:val="20"/>
                <w:szCs w:val="20"/>
                <w:highlight w:val="none"/>
                <w:lang w:val="en-US" w:eastAsia="zh-CN"/>
                <w14:textFill>
                  <w14:solidFill>
                    <w14:schemeClr w14:val="tx1"/>
                  </w14:solidFill>
                </w14:textFill>
              </w:rPr>
              <w:t>供应商</w:t>
            </w:r>
            <w:r>
              <w:rPr>
                <w:rFonts w:hint="eastAsia" w:ascii="仿宋" w:hAnsi="仿宋" w:eastAsia="仿宋" w:cs="仿宋"/>
                <w:color w:val="000000" w:themeColor="text1"/>
                <w:sz w:val="20"/>
                <w:szCs w:val="20"/>
                <w:highlight w:val="none"/>
                <w14:textFill>
                  <w14:solidFill>
                    <w14:schemeClr w14:val="tx1"/>
                  </w14:solidFill>
                </w14:textFill>
              </w:rPr>
              <w:t>具有有效期内的信息技术服务相关认证证书（如信息技术服务体系认证证书、信息技术售后服务体系认证证书</w:t>
            </w:r>
            <w:r>
              <w:rPr>
                <w:rFonts w:hint="eastAsia" w:ascii="仿宋" w:hAnsi="仿宋" w:eastAsia="仿宋" w:cs="仿宋"/>
                <w:color w:val="000000" w:themeColor="text1"/>
                <w:sz w:val="20"/>
                <w:szCs w:val="20"/>
                <w:highlight w:val="none"/>
                <w:lang w:eastAsia="zh-CN"/>
                <w14:textFill>
                  <w14:solidFill>
                    <w14:schemeClr w14:val="tx1"/>
                  </w14:solidFill>
                </w14:textFill>
              </w:rPr>
              <w:t>、</w:t>
            </w:r>
            <w:r>
              <w:rPr>
                <w:rFonts w:hint="eastAsia" w:ascii="仿宋" w:hAnsi="仿宋" w:eastAsia="仿宋" w:cs="仿宋"/>
                <w:color w:val="000000" w:themeColor="text1"/>
                <w:sz w:val="20"/>
                <w:szCs w:val="20"/>
                <w:highlight w:val="none"/>
                <w14:textFill>
                  <w14:solidFill>
                    <w14:schemeClr w14:val="tx1"/>
                  </w14:solidFill>
                </w14:textFill>
              </w:rPr>
              <w:t>信息技术服务能力认证证书等），认证依据符合GB/T 37961-2019《信息技术服务 服务基本要求》标准，得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z w:val="20"/>
                <w:szCs w:val="20"/>
                <w:highlight w:val="none"/>
                <w14:textFill>
                  <w14:solidFill>
                    <w14:schemeClr w14:val="tx1"/>
                  </w14:solidFill>
                </w14:textFill>
              </w:rPr>
              <w:t>分。</w:t>
            </w:r>
          </w:p>
          <w:p w14:paraId="7F1A3E0C">
            <w:pP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2.</w:t>
            </w:r>
            <w:r>
              <w:rPr>
                <w:rFonts w:hint="eastAsia" w:ascii="仿宋" w:hAnsi="仿宋" w:eastAsia="仿宋" w:cs="仿宋"/>
                <w:color w:val="000000" w:themeColor="text1"/>
                <w:sz w:val="20"/>
                <w:szCs w:val="20"/>
                <w:highlight w:val="none"/>
                <w:lang w:val="en-US" w:eastAsia="zh-CN"/>
                <w14:textFill>
                  <w14:solidFill>
                    <w14:schemeClr w14:val="tx1"/>
                  </w14:solidFill>
                </w14:textFill>
              </w:rPr>
              <w:t>供应商</w:t>
            </w:r>
            <w:r>
              <w:rPr>
                <w:rFonts w:hint="eastAsia" w:ascii="仿宋" w:hAnsi="仿宋" w:eastAsia="仿宋" w:cs="仿宋"/>
                <w:color w:val="000000" w:themeColor="text1"/>
                <w:sz w:val="20"/>
                <w:szCs w:val="20"/>
                <w:highlight w:val="none"/>
                <w14:textFill>
                  <w14:solidFill>
                    <w14:schemeClr w14:val="tx1"/>
                  </w14:solidFill>
                </w14:textFill>
              </w:rPr>
              <w:t>具有有效期内的ISO 9001质量管理体系认证</w:t>
            </w:r>
            <w:r>
              <w:rPr>
                <w:rFonts w:hint="eastAsia" w:ascii="仿宋" w:hAnsi="仿宋" w:eastAsia="仿宋" w:cs="仿宋"/>
                <w:color w:val="000000" w:themeColor="text1"/>
                <w:sz w:val="20"/>
                <w:szCs w:val="20"/>
                <w:highlight w:val="none"/>
                <w:lang w:val="en-US" w:eastAsia="zh-CN"/>
                <w14:textFill>
                  <w14:solidFill>
                    <w14:schemeClr w14:val="tx1"/>
                  </w14:solidFill>
                </w14:textFill>
              </w:rPr>
              <w:t>认证</w:t>
            </w:r>
            <w:r>
              <w:rPr>
                <w:rFonts w:hint="eastAsia" w:ascii="仿宋" w:hAnsi="仿宋" w:eastAsia="仿宋" w:cs="仿宋"/>
                <w:color w:val="000000" w:themeColor="text1"/>
                <w:sz w:val="20"/>
                <w:szCs w:val="20"/>
                <w:highlight w:val="none"/>
                <w14:textFill>
                  <w14:solidFill>
                    <w14:schemeClr w14:val="tx1"/>
                  </w14:solidFill>
                </w14:textFill>
              </w:rPr>
              <w:t>，得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z w:val="20"/>
                <w:szCs w:val="20"/>
                <w:highlight w:val="none"/>
                <w14:textFill>
                  <w14:solidFill>
                    <w14:schemeClr w14:val="tx1"/>
                  </w14:solidFill>
                </w14:textFill>
              </w:rPr>
              <w:t>分。</w:t>
            </w:r>
          </w:p>
          <w:p w14:paraId="12275AA2">
            <w:pP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r>
              <w:rPr>
                <w:rFonts w:hint="eastAsia" w:ascii="仿宋" w:hAnsi="仿宋" w:eastAsia="仿宋" w:cs="仿宋"/>
                <w:color w:val="000000" w:themeColor="text1"/>
                <w:sz w:val="20"/>
                <w:szCs w:val="20"/>
                <w:highlight w:val="none"/>
                <w14:textFill>
                  <w14:solidFill>
                    <w14:schemeClr w14:val="tx1"/>
                  </w14:solidFill>
                </w14:textFill>
              </w:rPr>
              <w:t>供应商具有有效期内的设备维护保养服务认证证书，认证依据符合SJ/T 31002-2016《企业设备维护保养通则》标准，得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z w:val="20"/>
                <w:szCs w:val="20"/>
                <w:highlight w:val="none"/>
                <w14:textFill>
                  <w14:solidFill>
                    <w14:schemeClr w14:val="tx1"/>
                  </w14:solidFill>
                </w14:textFill>
              </w:rPr>
              <w:t>分。</w:t>
            </w:r>
          </w:p>
          <w:p w14:paraId="7155B150">
            <w:pP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注：</w:t>
            </w:r>
            <w:r>
              <w:rPr>
                <w:rFonts w:hint="eastAsia" w:ascii="仿宋" w:hAnsi="仿宋" w:eastAsia="仿宋" w:cs="仿宋"/>
                <w:color w:val="000000" w:themeColor="text1"/>
                <w:sz w:val="20"/>
                <w:szCs w:val="20"/>
                <w:highlight w:val="none"/>
                <w14:textFill>
                  <w14:solidFill>
                    <w14:schemeClr w14:val="tx1"/>
                  </w14:solidFill>
                </w14:textFill>
              </w:rPr>
              <w:t>①响应文件中须提供有效的认证证书扫描件；</w:t>
            </w:r>
          </w:p>
          <w:p w14:paraId="69EEAAD1">
            <w:pP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②须同时提供国家认证认可监督管理委员会官网（www.cnca.gov.cn）或全国认证认可信息公共服务平台（cx.cnca.cn）的查询截图，证书须在有效期内；</w:t>
            </w:r>
          </w:p>
          <w:p w14:paraId="53CEFC7F">
            <w:pP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③以上资料均加盖供应商公章，未提供或提供无效的不得分。</w:t>
            </w:r>
          </w:p>
        </w:tc>
      </w:tr>
      <w:tr w14:paraId="19FA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1431" w:type="dxa"/>
            <w:vAlign w:val="center"/>
          </w:tcPr>
          <w:p w14:paraId="2882215B">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同类项目业绩</w:t>
            </w:r>
          </w:p>
        </w:tc>
        <w:tc>
          <w:tcPr>
            <w:tcW w:w="742" w:type="dxa"/>
            <w:vAlign w:val="center"/>
          </w:tcPr>
          <w:p w14:paraId="03C5532A">
            <w:pPr>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10</w:t>
            </w:r>
          </w:p>
        </w:tc>
        <w:tc>
          <w:tcPr>
            <w:tcW w:w="6349" w:type="dxa"/>
            <w:vAlign w:val="center"/>
          </w:tcPr>
          <w:p w14:paraId="630039D1">
            <w:pPr>
              <w:keepNext w:val="0"/>
              <w:keepLines w:val="0"/>
              <w:suppressLineNumbers w:val="0"/>
              <w:spacing w:before="0" w:beforeAutospacing="0" w:after="0" w:afterAutospacing="0"/>
              <w:ind w:left="0" w:right="0" w:firstLine="0" w:firstLineChars="0"/>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供应商自202</w:t>
            </w: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r>
              <w:rPr>
                <w:rFonts w:hint="eastAsia" w:ascii="仿宋" w:hAnsi="仿宋" w:eastAsia="仿宋" w:cs="仿宋"/>
                <w:color w:val="000000" w:themeColor="text1"/>
                <w:sz w:val="20"/>
                <w:szCs w:val="20"/>
                <w:highlight w:val="none"/>
                <w14:textFill>
                  <w14:solidFill>
                    <w14:schemeClr w14:val="tx1"/>
                  </w14:solidFill>
                </w14:textFill>
              </w:rPr>
              <w:t>年1月1日以来（以合同签订时间为准）承接过类似项目业绩的，按以下标准计分：</w:t>
            </w:r>
          </w:p>
          <w:p w14:paraId="7154FA74">
            <w:pPr>
              <w:keepNext w:val="0"/>
              <w:keepLines w:val="0"/>
              <w:suppressLineNumbers w:val="0"/>
              <w:spacing w:before="0" w:beforeAutospacing="0" w:after="0" w:afterAutospacing="0"/>
              <w:ind w:left="0" w:right="0" w:firstLine="0" w:firstLineChars="0"/>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具有</w:t>
            </w:r>
            <w:r>
              <w:rPr>
                <w:rFonts w:hint="eastAsia" w:ascii="仿宋" w:hAnsi="仿宋" w:eastAsia="仿宋" w:cs="仿宋"/>
                <w:color w:val="000000" w:themeColor="text1"/>
                <w:sz w:val="20"/>
                <w:szCs w:val="20"/>
                <w:highlight w:val="none"/>
                <w:lang w:val="en-US" w:eastAsia="zh-CN"/>
                <w14:textFill>
                  <w14:solidFill>
                    <w14:schemeClr w14:val="tx1"/>
                  </w14:solidFill>
                </w14:textFill>
              </w:rPr>
              <w:t>团体机构（如医院、康养机构、政府机关、</w:t>
            </w:r>
            <w:r>
              <w:rPr>
                <w:rFonts w:hint="eastAsia" w:ascii="仿宋" w:hAnsi="仿宋" w:eastAsia="仿宋" w:cs="仿宋"/>
                <w:color w:val="000000" w:themeColor="text1"/>
                <w:sz w:val="20"/>
                <w:szCs w:val="20"/>
                <w:highlight w:val="none"/>
                <w14:textFill>
                  <w14:solidFill>
                    <w14:schemeClr w14:val="tx1"/>
                  </w14:solidFill>
                </w14:textFill>
              </w:rPr>
              <w:t>酒店、公寓、学校宿舍等</w:t>
            </w:r>
            <w:r>
              <w:rPr>
                <w:rFonts w:hint="eastAsia" w:ascii="仿宋" w:hAnsi="仿宋" w:eastAsia="仿宋" w:cs="仿宋"/>
                <w:color w:val="000000" w:themeColor="text1"/>
                <w:sz w:val="20"/>
                <w:szCs w:val="20"/>
                <w:highlight w:val="none"/>
                <w:lang w:val="en-US" w:eastAsia="zh-CN"/>
                <w14:textFill>
                  <w14:solidFill>
                    <w14:schemeClr w14:val="tx1"/>
                  </w14:solidFill>
                </w14:textFill>
              </w:rPr>
              <w:t>）</w:t>
            </w:r>
            <w:r>
              <w:rPr>
                <w:rFonts w:hint="eastAsia" w:ascii="仿宋" w:hAnsi="仿宋" w:eastAsia="仿宋" w:cs="仿宋"/>
                <w:color w:val="000000" w:themeColor="text1"/>
                <w:sz w:val="20"/>
                <w:szCs w:val="20"/>
                <w:highlight w:val="none"/>
                <w14:textFill>
                  <w14:solidFill>
                    <w14:schemeClr w14:val="tx1"/>
                  </w14:solidFill>
                </w14:textFill>
              </w:rPr>
              <w:t>电视收视服务业绩的，每提供一项得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z w:val="20"/>
                <w:szCs w:val="20"/>
                <w:highlight w:val="none"/>
                <w14:textFill>
                  <w14:solidFill>
                    <w14:schemeClr w14:val="tx1"/>
                  </w14:solidFill>
                </w14:textFill>
              </w:rPr>
              <w:t>分，最高得</w:t>
            </w:r>
            <w:r>
              <w:rPr>
                <w:rFonts w:hint="eastAsia" w:ascii="仿宋" w:hAnsi="仿宋" w:eastAsia="仿宋" w:cs="仿宋"/>
                <w:color w:val="000000" w:themeColor="text1"/>
                <w:sz w:val="20"/>
                <w:szCs w:val="20"/>
                <w:highlight w:val="none"/>
                <w:lang w:val="en-US" w:eastAsia="zh-CN"/>
                <w14:textFill>
                  <w14:solidFill>
                    <w14:schemeClr w14:val="tx1"/>
                  </w14:solidFill>
                </w14:textFill>
              </w:rPr>
              <w:t>10</w:t>
            </w:r>
            <w:r>
              <w:rPr>
                <w:rFonts w:hint="eastAsia" w:ascii="仿宋" w:hAnsi="仿宋" w:eastAsia="仿宋" w:cs="仿宋"/>
                <w:color w:val="000000" w:themeColor="text1"/>
                <w:sz w:val="20"/>
                <w:szCs w:val="20"/>
                <w:highlight w:val="none"/>
                <w14:textFill>
                  <w14:solidFill>
                    <w14:schemeClr w14:val="tx1"/>
                  </w14:solidFill>
                </w14:textFill>
              </w:rPr>
              <w:t>分</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757142FF">
            <w:pPr>
              <w:keepNext w:val="0"/>
              <w:keepLines w:val="0"/>
              <w:suppressLineNumbers w:val="0"/>
              <w:spacing w:before="0" w:beforeAutospacing="0" w:after="0" w:afterAutospacing="0"/>
              <w:ind w:left="0" w:right="0" w:firstLine="0" w:firstLineChars="0"/>
              <w:rPr>
                <w:rFonts w:hint="eastAsia" w:ascii="仿宋" w:hAnsi="仿宋" w:eastAsia="仿宋" w:cs="仿宋"/>
                <w:color w:val="000000" w:themeColor="text1"/>
                <w:sz w:val="20"/>
                <w:szCs w:val="20"/>
                <w:highlight w:val="none"/>
                <w14:textFill>
                  <w14:solidFill>
                    <w14:schemeClr w14:val="tx1"/>
                  </w14:solidFill>
                </w14:textFill>
              </w:rPr>
            </w:pPr>
          </w:p>
          <w:p w14:paraId="74D5B98C">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sz w:val="20"/>
                <w:szCs w:val="20"/>
                <w:highlight w:val="none"/>
                <w:lang w:val="en-US" w:eastAsia="zh-CN"/>
                <w14:textFill>
                  <w14:solidFill>
                    <w14:schemeClr w14:val="tx1"/>
                  </w14:solidFill>
                </w14:textFill>
              </w:rPr>
              <w:t>注：</w:t>
            </w:r>
          </w:p>
          <w:p w14:paraId="2C806D1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kern w:val="2"/>
                <w:sz w:val="20"/>
                <w:szCs w:val="20"/>
                <w:highlight w:val="none"/>
                <w:lang w:val="en-US" w:eastAsia="zh-CN" w:bidi="ar-SA"/>
                <w14:textFill>
                  <w14:solidFill>
                    <w14:schemeClr w14:val="tx1"/>
                  </w14:solidFill>
                </w14:textFill>
              </w:rPr>
              <w:t>1.</w:t>
            </w:r>
            <w:r>
              <w:rPr>
                <w:rFonts w:hint="eastAsia" w:ascii="仿宋" w:hAnsi="仿宋" w:eastAsia="仿宋" w:cs="仿宋"/>
                <w:bCs/>
                <w:color w:val="000000" w:themeColor="text1"/>
                <w:sz w:val="20"/>
                <w:szCs w:val="20"/>
                <w:highlight w:val="none"/>
                <w:lang w:val="en-US" w:eastAsia="zh-CN"/>
                <w14:textFill>
                  <w14:solidFill>
                    <w14:schemeClr w14:val="tx1"/>
                  </w14:solidFill>
                </w14:textFill>
              </w:rPr>
              <w:t>须提供合同关键页复印件（含双方名称、项目内容、落款盖章）并加盖响应人公章。若合同内容未明确体现电视收视服务的，须另附客户单位或客户单位业务部门盖章的履约内容证明。</w:t>
            </w:r>
          </w:p>
          <w:p w14:paraId="130D83F8">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kern w:val="2"/>
                <w:sz w:val="20"/>
                <w:szCs w:val="20"/>
                <w:highlight w:val="none"/>
                <w:lang w:val="en-US" w:eastAsia="zh-CN" w:bidi="ar-SA"/>
                <w14:textFill>
                  <w14:solidFill>
                    <w14:schemeClr w14:val="tx1"/>
                  </w14:solidFill>
                </w14:textFill>
              </w:rPr>
              <w:t>2.</w:t>
            </w:r>
            <w:r>
              <w:rPr>
                <w:rFonts w:hint="eastAsia" w:ascii="仿宋" w:hAnsi="仿宋" w:eastAsia="仿宋" w:cs="仿宋"/>
                <w:bCs/>
                <w:color w:val="000000" w:themeColor="text1"/>
                <w:sz w:val="20"/>
                <w:szCs w:val="20"/>
                <w:highlight w:val="none"/>
                <w:lang w:val="en-US" w:eastAsia="zh-CN"/>
                <w14:textFill>
                  <w14:solidFill>
                    <w14:schemeClr w14:val="tx1"/>
                  </w14:solidFill>
                </w14:textFill>
              </w:rPr>
              <w:t>单纯设备供货、线路施工或与本服务内容无关的合同不予认定。转包、分包及联合体非牵头方业绩均不计分。</w:t>
            </w:r>
          </w:p>
          <w:p w14:paraId="28BC39E6">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sz w:val="20"/>
                <w:szCs w:val="20"/>
                <w:highlight w:val="none"/>
                <w:lang w:val="en-US" w:eastAsia="zh-CN"/>
                <w14:textFill>
                  <w14:solidFill>
                    <w14:schemeClr w14:val="tx1"/>
                  </w14:solidFill>
                </w14:textFill>
              </w:rPr>
              <w:t>3.同一客户单位不重复计分。</w:t>
            </w:r>
          </w:p>
          <w:p w14:paraId="79599E5A">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sz w:val="20"/>
                <w:szCs w:val="20"/>
                <w:highlight w:val="none"/>
                <w:lang w:val="en-US" w:eastAsia="zh-CN"/>
                <w14:textFill>
                  <w14:solidFill>
                    <w14:schemeClr w14:val="tx1"/>
                  </w14:solidFill>
                </w14:textFill>
              </w:rPr>
              <w:t>4.合同公章名称应与响应人名称一致，但以下情形除外：（1）响应人依法变更名称且附具变更证明的；（2）本规则第5条允许的关联公司业绩。</w:t>
            </w:r>
          </w:p>
          <w:p w14:paraId="7E6DA147">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sz w:val="20"/>
                <w:szCs w:val="20"/>
                <w:highlight w:val="none"/>
                <w:lang w:val="en-US" w:eastAsia="zh-CN"/>
                <w14:textFill>
                  <w14:solidFill>
                    <w14:schemeClr w14:val="tx1"/>
                  </w14:solidFill>
                </w14:textFill>
              </w:rPr>
              <w:t>5.分公司参加响应的可使用总公司业绩，总公司参加响应的可使用其非独立法人分公司业绩，均须提供关系证明。</w:t>
            </w:r>
          </w:p>
          <w:p w14:paraId="2689D923">
            <w:pPr>
              <w:keepNext w:val="0"/>
              <w:keepLines w:val="0"/>
              <w:suppressLineNumbers w:val="0"/>
              <w:spacing w:before="0" w:beforeAutospacing="0" w:after="0" w:afterAutospacing="0"/>
              <w:ind w:left="0" w:right="0" w:firstLine="0" w:firstLineChars="0"/>
              <w:rPr>
                <w:rFonts w:hint="default" w:ascii="仿宋" w:hAnsi="仿宋" w:eastAsia="仿宋" w:cs="仿宋"/>
                <w:bCs/>
                <w:color w:val="000000" w:themeColor="text1"/>
                <w:sz w:val="20"/>
                <w:szCs w:val="20"/>
                <w:highlight w:val="none"/>
                <w:lang w:val="en-US" w:eastAsia="zh-CN"/>
                <w14:textFill>
                  <w14:solidFill>
                    <w14:schemeClr w14:val="tx1"/>
                  </w14:solidFill>
                </w14:textFill>
              </w:rPr>
            </w:pPr>
            <w:r>
              <w:rPr>
                <w:rFonts w:hint="eastAsia" w:ascii="仿宋" w:hAnsi="仿宋" w:eastAsia="仿宋" w:cs="仿宋"/>
                <w:bCs/>
                <w:color w:val="000000" w:themeColor="text1"/>
                <w:sz w:val="20"/>
                <w:szCs w:val="20"/>
                <w:highlight w:val="none"/>
                <w:lang w:val="en-US" w:eastAsia="zh-CN"/>
                <w14:textFill>
                  <w14:solidFill>
                    <w14:schemeClr w14:val="tx1"/>
                  </w14:solidFill>
                </w14:textFill>
              </w:rPr>
              <w:t>6.未按要求提供完整证明材料的，对应业绩不得分。</w:t>
            </w:r>
          </w:p>
        </w:tc>
      </w:tr>
      <w:tr w14:paraId="44BB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3FDE2E83">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团队人员</w:t>
            </w:r>
          </w:p>
        </w:tc>
        <w:tc>
          <w:tcPr>
            <w:tcW w:w="742" w:type="dxa"/>
            <w:vAlign w:val="center"/>
          </w:tcPr>
          <w:p w14:paraId="3F5DDA83">
            <w:pPr>
              <w:keepNext w:val="0"/>
              <w:keepLines w:val="0"/>
              <w:suppressLineNumbers w:val="0"/>
              <w:spacing w:before="0" w:beforeAutospacing="0" w:after="0" w:afterAutospacing="0"/>
              <w:ind w:left="0" w:right="0"/>
              <w:jc w:val="center"/>
              <w:rPr>
                <w:rFonts w:hint="default" w:ascii="仿宋" w:hAnsi="仿宋" w:eastAsia="仿宋" w:cs="仿宋"/>
                <w:strike w:val="0"/>
                <w:dstrike w:val="0"/>
                <w:color w:val="000000" w:themeColor="text1"/>
                <w:sz w:val="20"/>
                <w:szCs w:val="20"/>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0"/>
                <w:szCs w:val="20"/>
                <w:highlight w:val="none"/>
                <w:lang w:val="en-US" w:eastAsia="zh-CN"/>
                <w14:textFill>
                  <w14:solidFill>
                    <w14:schemeClr w14:val="tx1"/>
                  </w14:solidFill>
                </w14:textFill>
              </w:rPr>
              <w:t>9</w:t>
            </w:r>
          </w:p>
        </w:tc>
        <w:tc>
          <w:tcPr>
            <w:tcW w:w="6349" w:type="dxa"/>
            <w:vAlign w:val="center"/>
          </w:tcPr>
          <w:p w14:paraId="6BF188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①</w:t>
            </w:r>
            <w:r>
              <w:rPr>
                <w:rFonts w:hint="eastAsia" w:ascii="仿宋" w:hAnsi="仿宋" w:eastAsia="仿宋" w:cs="仿宋"/>
                <w:color w:val="000000" w:themeColor="text1"/>
                <w:sz w:val="20"/>
                <w:szCs w:val="20"/>
                <w:highlight w:val="none"/>
                <w:lang w:eastAsia="zh-CN"/>
                <w14:textFill>
                  <w14:solidFill>
                    <w14:schemeClr w14:val="tx1"/>
                  </w14:solidFill>
                </w14:textFill>
              </w:rPr>
              <w:t>项目经理（限</w:t>
            </w:r>
            <w:r>
              <w:rPr>
                <w:rFonts w:hint="eastAsia" w:ascii="仿宋" w:hAnsi="仿宋" w:eastAsia="仿宋" w:cs="仿宋"/>
                <w:color w:val="000000" w:themeColor="text1"/>
                <w:sz w:val="20"/>
                <w:szCs w:val="20"/>
                <w:highlight w:val="none"/>
                <w:lang w:val="en-US" w:eastAsia="zh-CN"/>
                <w14:textFill>
                  <w14:solidFill>
                    <w14:schemeClr w14:val="tx1"/>
                  </w14:solidFill>
                </w14:textFill>
              </w:rPr>
              <w:t>1人</w:t>
            </w:r>
            <w:r>
              <w:rPr>
                <w:rFonts w:hint="eastAsia" w:ascii="仿宋" w:hAnsi="仿宋" w:eastAsia="仿宋" w:cs="仿宋"/>
                <w:color w:val="000000" w:themeColor="text1"/>
                <w:sz w:val="20"/>
                <w:szCs w:val="20"/>
                <w:highlight w:val="none"/>
                <w:lang w:eastAsia="zh-CN"/>
                <w14:textFill>
                  <w14:solidFill>
                    <w14:schemeClr w14:val="tx1"/>
                  </w14:solidFill>
                </w14:textFill>
              </w:rPr>
              <w:t>）：</w:t>
            </w:r>
          </w:p>
          <w:p w14:paraId="084D14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具有计算机、电子信息、通信工程、软件工程等相关专业的硕士及以上学位或研究生学历毕业证书，得1分；</w:t>
            </w:r>
          </w:p>
          <w:p w14:paraId="7CD7B0E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具有网络工程师或网络规划设计师证书，得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z w:val="20"/>
                <w:szCs w:val="20"/>
                <w:highlight w:val="none"/>
                <w:lang w:eastAsia="zh-CN"/>
                <w14:textFill>
                  <w14:solidFill>
                    <w14:schemeClr w14:val="tx1"/>
                  </w14:solidFill>
                </w14:textFill>
              </w:rPr>
              <w:t>分；</w:t>
            </w:r>
          </w:p>
          <w:p w14:paraId="72C4328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具有信息系统项目管理师证书，得</w:t>
            </w: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r>
              <w:rPr>
                <w:rFonts w:hint="eastAsia" w:ascii="仿宋" w:hAnsi="仿宋" w:eastAsia="仿宋" w:cs="仿宋"/>
                <w:color w:val="000000" w:themeColor="text1"/>
                <w:sz w:val="20"/>
                <w:szCs w:val="20"/>
                <w:highlight w:val="none"/>
                <w:lang w:eastAsia="zh-CN"/>
                <w14:textFill>
                  <w14:solidFill>
                    <w14:schemeClr w14:val="tx1"/>
                  </w14:solidFill>
                </w14:textFill>
              </w:rPr>
              <w:t>分。</w:t>
            </w:r>
            <w:r>
              <w:rPr>
                <w:rFonts w:hint="eastAsia" w:ascii="仿宋" w:hAnsi="仿宋" w:eastAsia="仿宋" w:cs="仿宋"/>
                <w:color w:val="000000" w:themeColor="text1"/>
                <w:sz w:val="20"/>
                <w:szCs w:val="20"/>
                <w:highlight w:val="none"/>
                <w14:textFill>
                  <w14:solidFill>
                    <w14:schemeClr w14:val="tx1"/>
                  </w14:solidFill>
                </w14:textFill>
              </w:rPr>
              <w:br w:type="textWrapping"/>
            </w:r>
          </w:p>
          <w:p w14:paraId="7E9837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②</w:t>
            </w:r>
            <w:r>
              <w:rPr>
                <w:rFonts w:hint="eastAsia" w:ascii="仿宋" w:hAnsi="仿宋" w:eastAsia="仿宋" w:cs="仿宋"/>
                <w:color w:val="000000" w:themeColor="text1"/>
                <w:sz w:val="20"/>
                <w:szCs w:val="20"/>
                <w:highlight w:val="none"/>
                <w:lang w:eastAsia="zh-CN"/>
                <w14:textFill>
                  <w14:solidFill>
                    <w14:schemeClr w14:val="tx1"/>
                  </w14:solidFill>
                </w14:textFill>
              </w:rPr>
              <w:t>技术团队成员（项目经理除外）：</w:t>
            </w:r>
          </w:p>
          <w:p w14:paraId="6416C1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每提供1名网络工程师或网络规划设计师证书人员，得1分，最高2分；</w:t>
            </w:r>
          </w:p>
          <w:p w14:paraId="244CB4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每提供1名通信工程行业中级及以上职称证书人员，得1分，最高2分。</w:t>
            </w:r>
          </w:p>
          <w:p w14:paraId="37FCFE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7ED56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注：</w:t>
            </w:r>
            <w:r>
              <w:rPr>
                <w:rFonts w:hint="eastAsia" w:ascii="仿宋" w:hAnsi="仿宋" w:eastAsia="仿宋" w:cs="仿宋"/>
                <w:color w:val="000000" w:themeColor="text1"/>
                <w:sz w:val="20"/>
                <w:szCs w:val="20"/>
                <w:highlight w:val="none"/>
                <w:lang w:val="en-US" w:eastAsia="zh-CN"/>
                <w14:textFill>
                  <w14:solidFill>
                    <w14:schemeClr w14:val="tx1"/>
                  </w14:solidFill>
                </w14:textFill>
              </w:rPr>
              <w:t>须提供以上相关人员有效期内的证书复印件及2025年10月以来至今任意1个月的</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响应供应商为其缴纳的社保证明材料复印件</w:t>
            </w:r>
            <w:r>
              <w:rPr>
                <w:rFonts w:hint="eastAsia" w:ascii="仿宋" w:hAnsi="仿宋" w:eastAsia="仿宋" w:cs="仿宋"/>
                <w:color w:val="000000" w:themeColor="text1"/>
                <w:sz w:val="20"/>
                <w:szCs w:val="20"/>
                <w:highlight w:val="none"/>
                <w:lang w:val="en-US" w:eastAsia="zh-CN"/>
                <w14:textFill>
                  <w14:solidFill>
                    <w14:schemeClr w14:val="tx1"/>
                  </w14:solidFill>
                </w14:textFill>
              </w:rPr>
              <w:t>，加盖供应商公章，否则不得分。</w:t>
            </w:r>
            <w:r>
              <w:rPr>
                <w:rFonts w:hint="eastAsia" w:ascii="仿宋" w:hAnsi="仿宋" w:eastAsia="仿宋" w:cs="仿宋"/>
                <w:color w:val="000000" w:themeColor="text1"/>
                <w:sz w:val="20"/>
                <w:szCs w:val="20"/>
                <w:highlight w:val="none"/>
                <w14:textFill>
                  <w14:solidFill>
                    <w14:schemeClr w14:val="tx1"/>
                  </w14:solidFill>
                </w14:textFill>
              </w:rPr>
              <w:t>分公司可使用总公司人员证书及社保（需提供隶属关系证明）。项目经理与技术团队成员不得为同一人。</w:t>
            </w:r>
            <w:r>
              <w:rPr>
                <w:rFonts w:hint="eastAsia" w:ascii="仿宋" w:hAnsi="仿宋" w:eastAsia="仿宋" w:cs="仿宋"/>
                <w:color w:val="000000" w:themeColor="text1"/>
                <w:sz w:val="20"/>
                <w:szCs w:val="20"/>
                <w:highlight w:val="none"/>
                <w:lang w:eastAsia="zh-CN"/>
                <w14:textFill>
                  <w14:solidFill>
                    <w14:schemeClr w14:val="tx1"/>
                  </w14:solidFill>
                </w14:textFill>
              </w:rPr>
              <w:t>技术团队成员</w:t>
            </w:r>
            <w:r>
              <w:rPr>
                <w:rFonts w:hint="eastAsia" w:ascii="仿宋" w:hAnsi="仿宋" w:eastAsia="仿宋" w:cs="仿宋"/>
                <w:color w:val="000000" w:themeColor="text1"/>
                <w:sz w:val="20"/>
                <w:szCs w:val="20"/>
                <w:highlight w:val="none"/>
                <w:lang w:val="en-US" w:eastAsia="zh-CN"/>
                <w14:textFill>
                  <w14:solidFill>
                    <w14:schemeClr w14:val="tx1"/>
                  </w14:solidFill>
                </w14:textFill>
              </w:rPr>
              <w:t>中同一人持多个证书不重复计分。</w:t>
            </w:r>
          </w:p>
        </w:tc>
      </w:tr>
    </w:tbl>
    <w:p w14:paraId="105553F6">
      <w:pPr>
        <w:keepNext w:val="0"/>
        <w:keepLines w:val="0"/>
        <w:widowControl w:val="0"/>
        <w:numPr>
          <w:ilvl w:val="0"/>
          <w:numId w:val="7"/>
        </w:numPr>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技术评分：评审小组就各响应人对技术评审内容的各项要求进行评分，评审的具体内容见《技术评审表》。</w:t>
      </w:r>
    </w:p>
    <w:p w14:paraId="32B49475">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技术评审表（50分）</w:t>
      </w:r>
    </w:p>
    <w:tbl>
      <w:tblPr>
        <w:tblStyle w:val="1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649"/>
        <w:gridCol w:w="7477"/>
      </w:tblGrid>
      <w:tr w14:paraId="29AD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00AB43D6">
            <w:pPr>
              <w:jc w:val="center"/>
              <w:rPr>
                <w:rFonts w:ascii="仿宋" w:hAnsi="仿宋" w:eastAsia="仿宋" w:cs="仿宋"/>
                <w:b/>
                <w:bCs/>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649" w:type="dxa"/>
            <w:vAlign w:val="center"/>
          </w:tcPr>
          <w:p w14:paraId="7B836AE9">
            <w:pPr>
              <w:jc w:val="center"/>
              <w:rPr>
                <w:rFonts w:ascii="仿宋" w:hAnsi="仿宋" w:eastAsia="仿宋" w:cs="仿宋"/>
                <w:b/>
                <w:bCs/>
                <w:sz w:val="20"/>
                <w:szCs w:val="20"/>
                <w:highlight w:val="none"/>
              </w:rPr>
            </w:pPr>
            <w:r>
              <w:rPr>
                <w:rFonts w:hint="eastAsia" w:ascii="仿宋" w:hAnsi="仿宋" w:eastAsia="仿宋" w:cs="仿宋"/>
                <w:b/>
                <w:bCs/>
                <w:sz w:val="20"/>
                <w:szCs w:val="20"/>
                <w:highlight w:val="none"/>
              </w:rPr>
              <w:t>分值</w:t>
            </w:r>
          </w:p>
        </w:tc>
        <w:tc>
          <w:tcPr>
            <w:tcW w:w="7477" w:type="dxa"/>
            <w:vAlign w:val="center"/>
          </w:tcPr>
          <w:p w14:paraId="296B99FF">
            <w:pPr>
              <w:jc w:val="center"/>
              <w:rPr>
                <w:rFonts w:ascii="仿宋" w:hAnsi="仿宋" w:eastAsia="仿宋" w:cs="仿宋"/>
                <w:sz w:val="20"/>
                <w:szCs w:val="20"/>
                <w:highlight w:val="none"/>
              </w:rPr>
            </w:pPr>
            <w:r>
              <w:rPr>
                <w:rFonts w:hint="eastAsia" w:ascii="仿宋" w:hAnsi="仿宋" w:eastAsia="仿宋" w:cs="仿宋"/>
                <w:b/>
                <w:color w:val="000000"/>
                <w:sz w:val="20"/>
                <w:szCs w:val="20"/>
                <w:highlight w:val="none"/>
              </w:rPr>
              <w:t>评审细则</w:t>
            </w:r>
          </w:p>
        </w:tc>
      </w:tr>
      <w:tr w14:paraId="42B6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759523E7">
            <w:pPr>
              <w:adjustRightInd w:val="0"/>
              <w:snapToGrid w:val="0"/>
              <w:jc w:val="center"/>
              <w:rPr>
                <w:rFonts w:ascii="仿宋" w:hAnsi="仿宋" w:eastAsia="仿宋" w:cs="仿宋"/>
                <w:sz w:val="20"/>
                <w:szCs w:val="20"/>
                <w:highlight w:val="none"/>
              </w:rPr>
            </w:pPr>
            <w:r>
              <w:rPr>
                <w:rFonts w:hint="eastAsia" w:ascii="仿宋" w:hAnsi="仿宋" w:eastAsia="仿宋" w:cs="仿宋"/>
                <w:sz w:val="20"/>
                <w:szCs w:val="20"/>
                <w:highlight w:val="none"/>
              </w:rPr>
              <w:t>▲号重要条款响应情况</w:t>
            </w:r>
          </w:p>
        </w:tc>
        <w:tc>
          <w:tcPr>
            <w:tcW w:w="649" w:type="dxa"/>
            <w:vAlign w:val="center"/>
          </w:tcPr>
          <w:p w14:paraId="3E7E52ED">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8</w:t>
            </w:r>
          </w:p>
        </w:tc>
        <w:tc>
          <w:tcPr>
            <w:tcW w:w="7477" w:type="dxa"/>
            <w:vAlign w:val="center"/>
          </w:tcPr>
          <w:p w14:paraId="4ED3AA54">
            <w:p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根据</w:t>
            </w:r>
            <w:r>
              <w:rPr>
                <w:rFonts w:hint="eastAsia" w:ascii="仿宋" w:hAnsi="仿宋" w:eastAsia="仿宋" w:cs="仿宋"/>
                <w:sz w:val="20"/>
                <w:szCs w:val="20"/>
                <w:highlight w:val="none"/>
                <w:lang w:val="en-US" w:eastAsia="zh-CN"/>
              </w:rPr>
              <w:t>供应商</w:t>
            </w:r>
            <w:r>
              <w:rPr>
                <w:rFonts w:hint="eastAsia" w:ascii="仿宋" w:hAnsi="仿宋" w:eastAsia="仿宋" w:cs="仿宋"/>
                <w:sz w:val="20"/>
                <w:szCs w:val="20"/>
                <w:highlight w:val="none"/>
              </w:rPr>
              <w:t>对《用户需求书》中标注“▲”的条款响应情况进行评审。本项目▲条款共</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项：每响应一项（响应为“正偏离”或“</w:t>
            </w:r>
            <w:r>
              <w:rPr>
                <w:rFonts w:hint="eastAsia" w:ascii="仿宋" w:hAnsi="仿宋" w:eastAsia="仿宋" w:cs="仿宋"/>
                <w:sz w:val="20"/>
                <w:szCs w:val="20"/>
                <w:highlight w:val="none"/>
                <w:lang w:val="en-US" w:eastAsia="zh-CN"/>
              </w:rPr>
              <w:t>完全</w:t>
            </w:r>
            <w:r>
              <w:rPr>
                <w:rFonts w:hint="eastAsia" w:ascii="仿宋" w:hAnsi="仿宋" w:eastAsia="仿宋" w:cs="仿宋"/>
                <w:sz w:val="20"/>
                <w:szCs w:val="20"/>
                <w:highlight w:val="none"/>
              </w:rPr>
              <w:t>符合”或“无偏离”）得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分；响应为“负偏离”的，该项不得分</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满分</w:t>
            </w:r>
            <w:r>
              <w:rPr>
                <w:rFonts w:hint="eastAsia" w:ascii="仿宋" w:hAnsi="仿宋" w:eastAsia="仿宋" w:cs="仿宋"/>
                <w:sz w:val="20"/>
                <w:szCs w:val="20"/>
                <w:highlight w:val="none"/>
                <w:lang w:val="en-US" w:eastAsia="zh-CN"/>
              </w:rPr>
              <w:t>8</w:t>
            </w:r>
            <w:r>
              <w:rPr>
                <w:rFonts w:hint="eastAsia" w:ascii="仿宋" w:hAnsi="仿宋" w:eastAsia="仿宋" w:cs="仿宋"/>
                <w:sz w:val="20"/>
                <w:szCs w:val="20"/>
                <w:highlight w:val="none"/>
              </w:rPr>
              <w:t>分。</w:t>
            </w:r>
          </w:p>
          <w:p w14:paraId="48C6E300">
            <w:pPr>
              <w:jc w:val="left"/>
              <w:rPr>
                <w:rFonts w:ascii="仿宋" w:hAnsi="仿宋" w:eastAsia="仿宋" w:cs="仿宋"/>
                <w:sz w:val="20"/>
                <w:szCs w:val="20"/>
                <w:highlight w:val="none"/>
              </w:rPr>
            </w:pPr>
            <w:r>
              <w:rPr>
                <w:rFonts w:hint="eastAsia" w:ascii="仿宋" w:hAnsi="仿宋" w:eastAsia="仿宋" w:cs="仿宋"/>
                <w:sz w:val="20"/>
                <w:szCs w:val="20"/>
                <w:highlight w:val="none"/>
                <w:lang w:val="en-US" w:eastAsia="zh-CN"/>
              </w:rPr>
              <w:t>注：</w:t>
            </w:r>
            <w:r>
              <w:rPr>
                <w:rFonts w:hint="eastAsia" w:ascii="仿宋" w:hAnsi="仿宋" w:eastAsia="仿宋" w:cs="仿宋"/>
                <w:b w:val="0"/>
                <w:bCs w:val="0"/>
                <w:color w:val="000000" w:themeColor="text1"/>
                <w:sz w:val="20"/>
                <w:szCs w:val="20"/>
                <w:highlight w:val="none"/>
                <w:lang w:val="en-US" w:eastAsia="zh-CN"/>
                <w14:textFill>
                  <w14:solidFill>
                    <w14:schemeClr w14:val="tx1"/>
                  </w14:solidFill>
                </w14:textFill>
              </w:rPr>
              <w:t>提供承诺函，加盖公章。</w:t>
            </w:r>
          </w:p>
        </w:tc>
      </w:tr>
      <w:tr w14:paraId="6BAF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5D9DB388">
            <w:pPr>
              <w:jc w:val="center"/>
              <w:rPr>
                <w:rFonts w:ascii="仿宋" w:hAnsi="仿宋" w:eastAsia="仿宋" w:cs="仿宋"/>
                <w:sz w:val="20"/>
                <w:szCs w:val="20"/>
                <w:highlight w:val="none"/>
              </w:rPr>
            </w:pPr>
            <w:r>
              <w:rPr>
                <w:rFonts w:hint="eastAsia" w:ascii="仿宋" w:hAnsi="仿宋" w:eastAsia="仿宋" w:cs="仿宋"/>
                <w:sz w:val="20"/>
                <w:szCs w:val="20"/>
                <w:highlight w:val="none"/>
              </w:rPr>
              <w:t>项目实施与保障方案</w:t>
            </w:r>
          </w:p>
        </w:tc>
        <w:tc>
          <w:tcPr>
            <w:tcW w:w="649" w:type="dxa"/>
            <w:vAlign w:val="center"/>
          </w:tcPr>
          <w:p w14:paraId="24E7029C">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20</w:t>
            </w:r>
          </w:p>
        </w:tc>
        <w:tc>
          <w:tcPr>
            <w:tcW w:w="7477" w:type="dxa"/>
            <w:vAlign w:val="center"/>
          </w:tcPr>
          <w:p w14:paraId="217AEA30">
            <w:pPr>
              <w:numPr>
                <w:ilvl w:val="0"/>
                <w:numId w:val="0"/>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聚焦项目实施部署、运维保障、售后服务等“执行层面”，不包含系统架构设计。包含以下5项内容：</w:t>
            </w:r>
          </w:p>
          <w:p w14:paraId="11177932">
            <w:pPr>
              <w:numPr>
                <w:ilvl w:val="0"/>
                <w:numId w:val="8"/>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项目重点难点分析及总体部署</w:t>
            </w:r>
            <w:r>
              <w:rPr>
                <w:rFonts w:hint="eastAsia" w:ascii="仿宋" w:hAnsi="仿宋" w:eastAsia="仿宋" w:cs="仿宋"/>
                <w:sz w:val="20"/>
                <w:szCs w:val="20"/>
                <w:highlight w:val="none"/>
              </w:rPr>
              <w:tab/>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分析三甲医院病房电视服务的特殊难点，包括但不限于：多院区（北院、南院）协同部署；医院环境对施工的严格限制（噪音、灰尘、震动）；医疗信息内容审核要求；终端设备兼容性（不同品牌/型号电视）；与医院现有网络/系统的对接难点。并据此提出总体部署方案（含设备清单、施工计划、分区作业安排等）。</w:t>
            </w:r>
          </w:p>
          <w:p w14:paraId="7F4C381A">
            <w:pPr>
              <w:numPr>
                <w:ilvl w:val="0"/>
                <w:numId w:val="8"/>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线路调测与维护方案</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含对点位的线路巡检计划、综合布线保养检修、信号调测流程。</w:t>
            </w:r>
          </w:p>
          <w:p w14:paraId="55667C39">
            <w:pPr>
              <w:numPr>
                <w:ilvl w:val="0"/>
                <w:numId w:val="8"/>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质量保障措施</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含设备质量保障、施工质量保障、服务质量监督机制。</w:t>
            </w:r>
          </w:p>
          <w:p w14:paraId="53F28AC9">
            <w:pPr>
              <w:numPr>
                <w:ilvl w:val="0"/>
                <w:numId w:val="8"/>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应急服务方案</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含不同情景的应急流程（信号中断、设备批量故障、自然灾害等）、备用设备提供方案、48小时内恢复承诺、应急联系人及7×24h联系方式。</w:t>
            </w:r>
          </w:p>
          <w:p w14:paraId="29C71D64">
            <w:pPr>
              <w:numPr>
                <w:ilvl w:val="0"/>
                <w:numId w:val="8"/>
              </w:numPr>
              <w:jc w:val="left"/>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日常</w:t>
            </w:r>
            <w:r>
              <w:rPr>
                <w:rFonts w:hint="eastAsia" w:ascii="仿宋" w:hAnsi="仿宋" w:eastAsia="仿宋" w:cs="仿宋"/>
                <w:sz w:val="20"/>
                <w:szCs w:val="20"/>
                <w:highlight w:val="none"/>
              </w:rPr>
              <w:t>售后服务与培训方案</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含7×24h技术故障支持、专职售后团队、故障分级响应机制、全保服务（不另行收费）、对医院操作人员的培训计划（内容及频次）。</w:t>
            </w:r>
          </w:p>
          <w:p w14:paraId="1413B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lang w:val="en-US" w:eastAsia="zh-CN"/>
              </w:rPr>
            </w:pPr>
          </w:p>
          <w:p w14:paraId="7B5A1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：每提供1项且方案完善、</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具体、</w:t>
            </w:r>
            <w:r>
              <w:rPr>
                <w:rFonts w:hint="eastAsia" w:ascii="仿宋" w:hAnsi="仿宋" w:eastAsia="仿宋" w:cs="仿宋"/>
                <w:sz w:val="20"/>
                <w:szCs w:val="20"/>
                <w:highlight w:val="none"/>
              </w:rPr>
              <w:t>可行性强、完全契合医院实际场景</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，完全满足或优于采购需求的，</w:t>
            </w:r>
            <w:r>
              <w:rPr>
                <w:rFonts w:hint="eastAsia" w:ascii="仿宋" w:hAnsi="仿宋" w:eastAsia="仿宋" w:cs="仿宋"/>
                <w:sz w:val="20"/>
                <w:szCs w:val="20"/>
                <w:highlight w:val="none"/>
              </w:rPr>
              <w:t>得</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分；方案基本完整、具备一定可行性但细节不足，</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能满足采购需求的，</w:t>
            </w:r>
            <w:r>
              <w:rPr>
                <w:rFonts w:hint="eastAsia" w:ascii="仿宋" w:hAnsi="仿宋" w:eastAsia="仿宋" w:cs="仿宋"/>
                <w:sz w:val="20"/>
                <w:szCs w:val="20"/>
                <w:highlight w:val="none"/>
              </w:rPr>
              <w:t>得2</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分；方案较为片面或存在明显缺陷，</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部分满足采购需求的，</w:t>
            </w:r>
            <w:r>
              <w:rPr>
                <w:rFonts w:hint="eastAsia" w:ascii="仿宋" w:hAnsi="仿宋" w:eastAsia="仿宋" w:cs="仿宋"/>
                <w:sz w:val="20"/>
                <w:szCs w:val="20"/>
                <w:highlight w:val="none"/>
              </w:rPr>
              <w:t>得1分；未提供或内容严重偏离的不得分。满分</w:t>
            </w:r>
            <w:r>
              <w:rPr>
                <w:rFonts w:hint="eastAsia" w:ascii="仿宋" w:hAnsi="仿宋" w:eastAsia="仿宋" w:cs="仿宋"/>
                <w:sz w:val="20"/>
                <w:szCs w:val="20"/>
                <w:highlight w:val="none"/>
                <w:lang w:val="en-US" w:eastAsia="zh-CN"/>
              </w:rPr>
              <w:t>20</w:t>
            </w:r>
            <w:r>
              <w:rPr>
                <w:rFonts w:hint="eastAsia" w:ascii="仿宋" w:hAnsi="仿宋" w:eastAsia="仿宋" w:cs="仿宋"/>
                <w:sz w:val="20"/>
                <w:szCs w:val="20"/>
                <w:highlight w:val="none"/>
              </w:rPr>
              <w:t>分。</w:t>
            </w:r>
          </w:p>
        </w:tc>
      </w:tr>
      <w:tr w14:paraId="0DFF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5C9E9DC2">
            <w:pPr>
              <w:jc w:val="center"/>
              <w:rPr>
                <w:rFonts w:ascii="仿宋" w:hAnsi="仿宋" w:eastAsia="仿宋" w:cs="仿宋"/>
                <w:sz w:val="20"/>
                <w:szCs w:val="20"/>
                <w:highlight w:val="none"/>
              </w:rPr>
            </w:pPr>
            <w:r>
              <w:rPr>
                <w:rFonts w:hint="eastAsia" w:ascii="仿宋" w:hAnsi="仿宋" w:eastAsia="仿宋" w:cs="宋体"/>
                <w:color w:val="000000"/>
                <w:kern w:val="0"/>
                <w:sz w:val="20"/>
                <w:szCs w:val="20"/>
                <w:highlight w:val="none"/>
              </w:rPr>
              <w:t>IPTV系统技术方案</w:t>
            </w:r>
          </w:p>
        </w:tc>
        <w:tc>
          <w:tcPr>
            <w:tcW w:w="649" w:type="dxa"/>
            <w:vAlign w:val="center"/>
          </w:tcPr>
          <w:p w14:paraId="5A10C674">
            <w:pPr>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9</w:t>
            </w:r>
          </w:p>
        </w:tc>
        <w:tc>
          <w:tcPr>
            <w:tcW w:w="7477" w:type="dxa"/>
            <w:vAlign w:val="center"/>
          </w:tcPr>
          <w:p w14:paraId="02EF5FAB">
            <w:pPr>
              <w:jc w:val="left"/>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聚焦于系统架构、安全、扩展性等技术层面，不包含具体功能描述（功能由演示项验证）。包含以下</w:t>
            </w:r>
            <w:r>
              <w:rPr>
                <w:rFonts w:hint="eastAsia" w:ascii="仿宋" w:hAnsi="仿宋" w:eastAsia="仿宋" w:cs="宋体"/>
                <w:color w:val="000000"/>
                <w:kern w:val="0"/>
                <w:sz w:val="20"/>
                <w:szCs w:val="20"/>
                <w:highlight w:val="none"/>
                <w:lang w:val="en-US" w:eastAsia="zh-CN"/>
              </w:rPr>
              <w:t>3</w:t>
            </w:r>
            <w:r>
              <w:rPr>
                <w:rFonts w:hint="eastAsia" w:ascii="仿宋" w:hAnsi="仿宋" w:eastAsia="仿宋" w:cs="宋体"/>
                <w:color w:val="000000"/>
                <w:kern w:val="0"/>
                <w:sz w:val="20"/>
                <w:szCs w:val="20"/>
                <w:highlight w:val="none"/>
              </w:rPr>
              <w:t>项：</w:t>
            </w:r>
          </w:p>
          <w:p w14:paraId="742B9B9B">
            <w:pPr>
              <w:jc w:val="left"/>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 系统总体架构设计</w:t>
            </w:r>
            <w:r>
              <w:rPr>
                <w:rFonts w:hint="eastAsia" w:ascii="仿宋" w:hAnsi="仿宋" w:eastAsia="仿宋" w:cs="宋体"/>
                <w:color w:val="000000"/>
                <w:kern w:val="0"/>
                <w:sz w:val="20"/>
                <w:szCs w:val="20"/>
                <w:highlight w:val="none"/>
                <w:lang w:eastAsia="zh-CN"/>
              </w:rPr>
              <w:t>：</w:t>
            </w:r>
            <w:r>
              <w:rPr>
                <w:rFonts w:hint="eastAsia" w:ascii="仿宋" w:hAnsi="仿宋" w:eastAsia="仿宋" w:cs="宋体"/>
                <w:color w:val="000000"/>
                <w:kern w:val="0"/>
                <w:sz w:val="20"/>
                <w:szCs w:val="20"/>
                <w:highlight w:val="none"/>
              </w:rPr>
              <w:t>提供IPTV系统逻辑架构图与物理拓扑图，明确前端（内容管理、转码、存储）、传输网络（支持光纤/IP）、终端（机顶盒/智能电视）、管理后台四层架构，并说明各层数据流与控制流，以及如何支持911个点位并发播放。</w:t>
            </w:r>
          </w:p>
          <w:p w14:paraId="7BEDA014">
            <w:pPr>
              <w:jc w:val="left"/>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2. 数据安全与播出安全设计</w:t>
            </w:r>
            <w:r>
              <w:rPr>
                <w:rFonts w:hint="eastAsia" w:ascii="仿宋" w:hAnsi="仿宋" w:eastAsia="仿宋" w:cs="宋体"/>
                <w:color w:val="000000"/>
                <w:kern w:val="0"/>
                <w:sz w:val="20"/>
                <w:szCs w:val="20"/>
                <w:highlight w:val="none"/>
              </w:rPr>
              <w:tab/>
            </w:r>
            <w:r>
              <w:rPr>
                <w:rFonts w:hint="eastAsia" w:ascii="仿宋" w:hAnsi="仿宋" w:eastAsia="仿宋" w:cs="宋体"/>
                <w:color w:val="000000"/>
                <w:kern w:val="0"/>
                <w:sz w:val="20"/>
                <w:szCs w:val="20"/>
                <w:highlight w:val="none"/>
                <w:lang w:eastAsia="zh-CN"/>
              </w:rPr>
              <w:t>：</w:t>
            </w:r>
            <w:r>
              <w:rPr>
                <w:rFonts w:hint="eastAsia" w:ascii="仿宋" w:hAnsi="仿宋" w:eastAsia="仿宋" w:cs="宋体"/>
                <w:color w:val="000000"/>
                <w:kern w:val="0"/>
                <w:sz w:val="20"/>
                <w:szCs w:val="20"/>
                <w:highlight w:val="none"/>
              </w:rPr>
              <w:t>包括内容审核机制（视频/图文上传后经审核方可发布）；播出控制（防止非法内容插播）；用户隐私保护（不收集患者个人信息）；终端接入认证（防止非法终端接入）。</w:t>
            </w:r>
          </w:p>
          <w:p w14:paraId="04993E0A">
            <w:pPr>
              <w:jc w:val="left"/>
              <w:rPr>
                <w:rFonts w:hint="eastAsia"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3. 平台可扩展性与兼容性设计</w:t>
            </w:r>
            <w:r>
              <w:rPr>
                <w:rFonts w:hint="eastAsia" w:ascii="仿宋" w:hAnsi="仿宋" w:eastAsia="仿宋" w:cs="宋体"/>
                <w:color w:val="000000"/>
                <w:kern w:val="0"/>
                <w:sz w:val="20"/>
                <w:szCs w:val="20"/>
                <w:highlight w:val="none"/>
                <w:lang w:eastAsia="zh-CN"/>
              </w:rPr>
              <w:t>：</w:t>
            </w:r>
            <w:r>
              <w:rPr>
                <w:rFonts w:hint="eastAsia" w:ascii="仿宋" w:hAnsi="仿宋" w:eastAsia="仿宋" w:cs="宋体"/>
                <w:color w:val="000000"/>
                <w:kern w:val="0"/>
                <w:sz w:val="20"/>
                <w:szCs w:val="20"/>
                <w:highlight w:val="none"/>
              </w:rPr>
              <w:t>支持未来新增点位（光纤接入）的能力；适配不同品牌/型号电视终端的方案（多格式视频转码、自适应分辨率）；是否支持与第三方系统（如医院HIS）对接推送健康信息。</w:t>
            </w:r>
          </w:p>
          <w:p w14:paraId="09E3474F">
            <w:pPr>
              <w:jc w:val="left"/>
              <w:rPr>
                <w:rFonts w:hint="eastAsia" w:ascii="仿宋" w:hAnsi="仿宋" w:eastAsia="仿宋" w:cs="宋体"/>
                <w:color w:val="000000"/>
                <w:kern w:val="0"/>
                <w:sz w:val="20"/>
                <w:szCs w:val="20"/>
                <w:highlight w:val="none"/>
              </w:rPr>
            </w:pPr>
          </w:p>
          <w:p w14:paraId="7A7819F4">
            <w:pPr>
              <w:jc w:val="left"/>
              <w:rPr>
                <w:rFonts w:ascii="仿宋" w:hAnsi="仿宋" w:eastAsia="仿宋" w:cs="仿宋"/>
                <w:sz w:val="20"/>
                <w:szCs w:val="20"/>
                <w:highlight w:val="none"/>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：每提供1项且方案完善、可行性强、完全契合医院实际场景的，得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分；方案基本完整、具备一定可行性但细节不足的，得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分；方案较为片面或存在明显缺陷的，得1分；未提供或内容严重偏离的不得分。满分</w:t>
            </w:r>
            <w:r>
              <w:rPr>
                <w:rFonts w:hint="eastAsia" w:ascii="仿宋" w:hAnsi="仿宋" w:eastAsia="仿宋" w:cs="仿宋"/>
                <w:sz w:val="20"/>
                <w:szCs w:val="20"/>
                <w:highlight w:val="none"/>
                <w:lang w:val="en-US" w:eastAsia="zh-CN"/>
              </w:rPr>
              <w:t>9</w:t>
            </w:r>
            <w:r>
              <w:rPr>
                <w:rFonts w:hint="eastAsia" w:ascii="仿宋" w:hAnsi="仿宋" w:eastAsia="仿宋" w:cs="仿宋"/>
                <w:sz w:val="20"/>
                <w:szCs w:val="20"/>
                <w:highlight w:val="none"/>
              </w:rPr>
              <w:t>分。</w:t>
            </w:r>
          </w:p>
        </w:tc>
      </w:tr>
      <w:tr w14:paraId="3C5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1ED0EF62">
            <w:pPr>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个性化服务功能演示</w:t>
            </w:r>
          </w:p>
        </w:tc>
        <w:tc>
          <w:tcPr>
            <w:tcW w:w="649" w:type="dxa"/>
            <w:vAlign w:val="center"/>
          </w:tcPr>
          <w:p w14:paraId="14164B9A">
            <w:pPr>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13</w:t>
            </w:r>
          </w:p>
        </w:tc>
        <w:tc>
          <w:tcPr>
            <w:tcW w:w="7477" w:type="dxa"/>
            <w:vAlign w:val="center"/>
          </w:tcPr>
          <w:p w14:paraId="05AD96C3">
            <w:pPr>
              <w:jc w:val="left"/>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供应商需提供录制视频，动态演示以下功能。供应商</w:t>
            </w:r>
            <w:r>
              <w:rPr>
                <w:rFonts w:hint="eastAsia" w:ascii="仿宋" w:hAnsi="仿宋" w:eastAsia="仿宋" w:cs="宋体"/>
                <w:color w:val="000000"/>
                <w:kern w:val="0"/>
                <w:sz w:val="20"/>
                <w:szCs w:val="20"/>
                <w:highlight w:val="none"/>
              </w:rPr>
              <w:t>需采用系统或原型进行动态演示，</w:t>
            </w:r>
            <w:r>
              <w:rPr>
                <w:rFonts w:hint="eastAsia" w:ascii="仿宋" w:hAnsi="仿宋" w:eastAsia="仿宋" w:cs="宋体"/>
                <w:color w:val="000000"/>
                <w:kern w:val="0"/>
                <w:sz w:val="20"/>
                <w:szCs w:val="20"/>
                <w:highlight w:val="none"/>
                <w:lang w:val="en-US" w:eastAsia="zh-CN"/>
              </w:rPr>
              <w:t>演示系统页面须体现“孙逸仙纪念医院”logo，仅采用PPT、截图演示或不参与演示的，该项不得分。</w:t>
            </w:r>
          </w:p>
          <w:p w14:paraId="5565D80E">
            <w:pPr>
              <w:jc w:val="left"/>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1）电视开机画面定制演示（4分）：展示首页4大功能模块（医院介绍、就医指南、健康教育、电视直播）的定制设计；展示管理后台对终端界面样式、功能模块的自定义管控操作。两项均成功演示得4分，仅演示一项得2分。</w:t>
            </w:r>
          </w:p>
          <w:p w14:paraId="4ACAB6DA">
            <w:pPr>
              <w:jc w:val="left"/>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（2）视频上传操作演示（3分）：展示支持多个不同格式（MP4、AVI、MKV等）视频文件的上传，并能适配不同电视终端播放（模拟至少两种分辨率）。完整演示上传、转码（如有）及播放效果得3分。</w:t>
            </w:r>
          </w:p>
          <w:p w14:paraId="1C512DB8">
            <w:pPr>
              <w:jc w:val="left"/>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（3）图文内容上传发布演示（3分）：展示支持纯图片（JPG/PNG/BMP等）或“图片+文字”组合内容的上传，发布后在电视端正确显示图文排版。完整演示得3分。</w:t>
            </w:r>
          </w:p>
          <w:p w14:paraId="3BBC70D9">
            <w:pPr>
              <w:jc w:val="left"/>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4）内容播控管理及电视端EPG功能实景展示（3分）：展示后台按需求向病房电视推送信息（如健康提示），同时在电视端EPG界面实时同步显示该信息。需展示后台操作与电视端实景（可模拟或录屏）。完整演示得3分。</w:t>
            </w:r>
          </w:p>
          <w:p w14:paraId="245E307D">
            <w:pPr>
              <w:jc w:val="left"/>
              <w:rPr>
                <w:rFonts w:hint="eastAsia" w:ascii="仿宋" w:hAnsi="仿宋" w:eastAsia="仿宋" w:cs="宋体"/>
                <w:color w:val="000000"/>
                <w:kern w:val="0"/>
                <w:sz w:val="20"/>
                <w:szCs w:val="20"/>
                <w:highlight w:val="none"/>
                <w:lang w:val="en-US" w:eastAsia="zh-CN"/>
              </w:rPr>
            </w:pPr>
          </w:p>
          <w:p w14:paraId="22535F73">
            <w:pPr>
              <w:jc w:val="left"/>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lang w:val="en-US" w:eastAsia="zh-CN"/>
              </w:rPr>
              <w:t>演示要求：视频时长不超过15分钟，画面字体清晰、声音清楚、播放流畅，录制好的视频文件拷贝到U盘，单独封装与响应文件一并提交。</w:t>
            </w:r>
          </w:p>
          <w:p w14:paraId="59A4A18C">
            <w:pPr>
              <w:pStyle w:val="2"/>
              <w:rPr>
                <w:rFonts w:hint="eastAsia" w:ascii="仿宋" w:hAnsi="仿宋" w:eastAsia="仿宋" w:cs="宋体"/>
                <w:color w:val="000000"/>
                <w:kern w:val="0"/>
                <w:sz w:val="20"/>
                <w:szCs w:val="20"/>
                <w:highlight w:val="none"/>
                <w:lang w:val="en-US" w:eastAsia="zh-CN"/>
              </w:rPr>
            </w:pPr>
            <w:r>
              <w:rPr>
                <w:rFonts w:hint="eastAsia" w:ascii="仿宋" w:hAnsi="仿宋" w:eastAsia="仿宋" w:cs="宋体"/>
                <w:color w:val="000000"/>
                <w:kern w:val="0"/>
                <w:sz w:val="20"/>
                <w:szCs w:val="20"/>
                <w:highlight w:val="none"/>
              </w:rPr>
              <w:t>孙逸仙纪念医院logo</w:t>
            </w:r>
            <w:r>
              <w:rPr>
                <w:rFonts w:hint="eastAsia" w:ascii="仿宋" w:hAnsi="仿宋" w:eastAsia="仿宋" w:cs="宋体"/>
                <w:color w:val="000000"/>
                <w:kern w:val="0"/>
                <w:sz w:val="20"/>
                <w:szCs w:val="20"/>
                <w:highlight w:val="none"/>
                <w:lang w:val="en-US" w:eastAsia="zh-CN"/>
              </w:rPr>
              <w:t>如下：</w:t>
            </w:r>
          </w:p>
          <w:p w14:paraId="23210E9E">
            <w:pPr>
              <w:rPr>
                <w:rFonts w:hint="eastAsia"/>
                <w:sz w:val="20"/>
                <w:szCs w:val="20"/>
                <w:highlight w:val="none"/>
                <w:lang w:val="en-US" w:eastAsia="zh-CN"/>
              </w:rPr>
            </w:pPr>
            <w:r>
              <w:rPr>
                <w:rFonts w:hint="eastAsia"/>
                <w:sz w:val="20"/>
                <w:szCs w:val="20"/>
                <w:highlight w:val="none"/>
                <w:lang w:val="en-US" w:eastAsia="zh-CN"/>
              </w:rPr>
              <w:drawing>
                <wp:inline distT="0" distB="0" distL="114300" distR="114300">
                  <wp:extent cx="944245" cy="788035"/>
                  <wp:effectExtent l="0" t="0" r="8255" b="12065"/>
                  <wp:docPr id="1" name="图片 1" descr="二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院logo"/>
                          <pic:cNvPicPr>
                            <a:picLocks noChangeAspect="1"/>
                          </pic:cNvPicPr>
                        </pic:nvPicPr>
                        <pic:blipFill>
                          <a:blip r:embed="rId6"/>
                          <a:stretch>
                            <a:fillRect/>
                          </a:stretch>
                        </pic:blipFill>
                        <pic:spPr>
                          <a:xfrm>
                            <a:off x="0" y="0"/>
                            <a:ext cx="944245" cy="788035"/>
                          </a:xfrm>
                          <a:prstGeom prst="rect">
                            <a:avLst/>
                          </a:prstGeom>
                        </pic:spPr>
                      </pic:pic>
                    </a:graphicData>
                  </a:graphic>
                </wp:inline>
              </w:drawing>
            </w:r>
            <w:r>
              <w:rPr>
                <w:rFonts w:hint="eastAsia"/>
                <w:sz w:val="20"/>
                <w:szCs w:val="20"/>
                <w:highlight w:val="none"/>
                <w:lang w:val="en-US" w:eastAsia="zh-CN"/>
              </w:rPr>
              <w:drawing>
                <wp:inline distT="0" distB="0" distL="114300" distR="114300">
                  <wp:extent cx="3157220" cy="656590"/>
                  <wp:effectExtent l="0" t="0" r="5080" b="10160"/>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7"/>
                          <a:stretch>
                            <a:fillRect/>
                          </a:stretch>
                        </pic:blipFill>
                        <pic:spPr>
                          <a:xfrm>
                            <a:off x="0" y="0"/>
                            <a:ext cx="3157220" cy="656590"/>
                          </a:xfrm>
                          <a:prstGeom prst="rect">
                            <a:avLst/>
                          </a:prstGeom>
                        </pic:spPr>
                      </pic:pic>
                    </a:graphicData>
                  </a:graphic>
                </wp:inline>
              </w:drawing>
            </w:r>
          </w:p>
          <w:p w14:paraId="3BB8BB4F">
            <w:pPr>
              <w:pStyle w:val="2"/>
              <w:rPr>
                <w:rFonts w:hint="eastAsia"/>
                <w:sz w:val="20"/>
                <w:szCs w:val="20"/>
                <w:highlight w:val="none"/>
                <w:lang w:val="en-US" w:eastAsia="zh-CN"/>
              </w:rPr>
            </w:pPr>
            <w:r>
              <w:rPr>
                <w:rFonts w:hint="eastAsia"/>
                <w:sz w:val="20"/>
                <w:szCs w:val="20"/>
                <w:highlight w:val="none"/>
                <w:lang w:val="en-US" w:eastAsia="zh-CN"/>
              </w:rPr>
              <w:drawing>
                <wp:inline distT="0" distB="0" distL="114300" distR="114300">
                  <wp:extent cx="2642870" cy="323215"/>
                  <wp:effectExtent l="0" t="0" r="5080" b="635"/>
                  <wp:docPr id="3" name="图片 3" descr="院训电子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训电子版"/>
                          <pic:cNvPicPr>
                            <a:picLocks noChangeAspect="1"/>
                          </pic:cNvPicPr>
                        </pic:nvPicPr>
                        <pic:blipFill>
                          <a:blip r:embed="rId8"/>
                          <a:stretch>
                            <a:fillRect/>
                          </a:stretch>
                        </pic:blipFill>
                        <pic:spPr>
                          <a:xfrm>
                            <a:off x="0" y="0"/>
                            <a:ext cx="2642870" cy="323215"/>
                          </a:xfrm>
                          <a:prstGeom prst="rect">
                            <a:avLst/>
                          </a:prstGeom>
                        </pic:spPr>
                      </pic:pic>
                    </a:graphicData>
                  </a:graphic>
                </wp:inline>
              </w:drawing>
            </w:r>
          </w:p>
        </w:tc>
      </w:tr>
    </w:tbl>
    <w:p w14:paraId="05AE43E0">
      <w:pPr>
        <w:pStyle w:val="23"/>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tbl>
      <w:tblPr>
        <w:tblStyle w:val="17"/>
        <w:tblpPr w:leftFromText="180" w:rightFromText="180" w:vertAnchor="text" w:horzAnchor="page" w:tblpXSpec="center" w:tblpY="94"/>
        <w:tblOverlap w:val="never"/>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742"/>
        <w:gridCol w:w="6713"/>
      </w:tblGrid>
      <w:tr w14:paraId="64A8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7F57915D">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color w:val="000000"/>
                <w:sz w:val="20"/>
                <w:szCs w:val="20"/>
                <w:highlight w:val="none"/>
                <w:u w:val="none"/>
                <w:lang w:val="en-US" w:eastAsia="zh-CN"/>
              </w:rPr>
              <w:t>每月报价</w:t>
            </w:r>
          </w:p>
        </w:tc>
        <w:tc>
          <w:tcPr>
            <w:tcW w:w="742" w:type="dxa"/>
            <w:vAlign w:val="center"/>
          </w:tcPr>
          <w:p w14:paraId="1E4F70AE">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20</w:t>
            </w:r>
          </w:p>
        </w:tc>
        <w:tc>
          <w:tcPr>
            <w:tcW w:w="6713" w:type="dxa"/>
            <w:vAlign w:val="center"/>
          </w:tcPr>
          <w:p w14:paraId="4B0DC861">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本项目统一采用低价优先法计算，以作为价格评分的评审依据。</w:t>
            </w:r>
          </w:p>
          <w:p w14:paraId="5D0E1CBD">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sz w:val="20"/>
                <w:szCs w:val="20"/>
                <w:lang w:val="en-US" w:eastAsia="zh-CN"/>
              </w:rPr>
            </w:pPr>
            <w:r>
              <w:rPr>
                <w:rFonts w:hint="eastAsia" w:ascii="仿宋" w:hAnsi="仿宋" w:eastAsia="仿宋" w:cs="仿宋"/>
                <w:color w:val="000000"/>
                <w:sz w:val="20"/>
                <w:szCs w:val="20"/>
                <w:highlight w:val="none"/>
                <w:lang w:val="en-US" w:eastAsia="zh-CN"/>
              </w:rPr>
              <w:t>满足采购文件要求且</w:t>
            </w:r>
            <w:r>
              <w:rPr>
                <w:rFonts w:hint="eastAsia" w:ascii="仿宋" w:hAnsi="仿宋" w:eastAsia="仿宋" w:cs="仿宋"/>
                <w:color w:val="000000"/>
                <w:sz w:val="20"/>
                <w:szCs w:val="20"/>
                <w:highlight w:val="none"/>
                <w:u w:val="single"/>
                <w:lang w:val="en-US" w:eastAsia="zh-CN"/>
              </w:rPr>
              <w:t>最终每月报价</w:t>
            </w:r>
            <w:r>
              <w:rPr>
                <w:rFonts w:hint="eastAsia" w:ascii="仿宋" w:hAnsi="仿宋" w:eastAsia="仿宋" w:cs="仿宋"/>
                <w:color w:val="000000"/>
                <w:sz w:val="20"/>
                <w:szCs w:val="20"/>
                <w:highlight w:val="none"/>
                <w:lang w:val="en-US" w:eastAsia="zh-CN"/>
              </w:rPr>
              <w:t>最低的价格为评分基准价，价格得分＝（评分基准价/响应最终每月报价）*20，保留两位小数。</w:t>
            </w:r>
          </w:p>
        </w:tc>
      </w:tr>
      <w:tr w14:paraId="543E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1" w:type="dxa"/>
            <w:vAlign w:val="center"/>
          </w:tcPr>
          <w:p w14:paraId="525D2A9D">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新增点位报价</w:t>
            </w:r>
            <w:r>
              <w:rPr>
                <w:rFonts w:hint="eastAsia" w:ascii="仿宋" w:hAnsi="仿宋" w:eastAsia="仿宋" w:cs="仿宋"/>
                <w:sz w:val="20"/>
                <w:szCs w:val="20"/>
                <w:highlight w:val="none"/>
                <w:lang w:val="en-US" w:eastAsia="zh-CN"/>
              </w:rPr>
              <w:t>情况</w:t>
            </w:r>
          </w:p>
        </w:tc>
        <w:tc>
          <w:tcPr>
            <w:tcW w:w="742" w:type="dxa"/>
            <w:vAlign w:val="center"/>
          </w:tcPr>
          <w:p w14:paraId="17026227">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5</w:t>
            </w:r>
          </w:p>
        </w:tc>
        <w:tc>
          <w:tcPr>
            <w:tcW w:w="6713" w:type="dxa"/>
            <w:vAlign w:val="center"/>
          </w:tcPr>
          <w:p w14:paraId="4126222B">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对“病房新增收视点位（光纤接入）”的机顶盒、光调制解调器两项单价报价进行评审，该报价将作为本项目服务期内增补点位的结算依据。</w:t>
            </w:r>
          </w:p>
          <w:p w14:paraId="0F247276">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（1）评审委员会计算各供应商针对上述两项单价报价的合计金额（机顶盒单价＋光调制解调器单价）。</w:t>
            </w:r>
          </w:p>
          <w:p w14:paraId="216F7FD0">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（2）以有效合计金额中的最低值作为评分基准价（保留两位小数）。</w:t>
            </w:r>
          </w:p>
          <w:p w14:paraId="7D6D33CB">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（3）各供应商该项得分按以下公式计算：</w:t>
            </w:r>
          </w:p>
          <w:p w14:paraId="47744043">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得分＝（评分基准价/该供应商两项单价合计金额）×5，得分计算结果保留两位小数。</w:t>
            </w:r>
          </w:p>
          <w:p w14:paraId="5C173E14">
            <w:pPr>
              <w:rPr>
                <w:rFonts w:hint="default" w:ascii="仿宋" w:hAnsi="仿宋" w:eastAsia="仿宋" w:cs="仿宋"/>
                <w:sz w:val="20"/>
                <w:szCs w:val="20"/>
                <w:lang w:val="en-US" w:eastAsia="zh-CN"/>
              </w:rPr>
            </w:pPr>
            <w:r>
              <w:rPr>
                <w:rFonts w:hint="eastAsia" w:ascii="仿宋" w:hAnsi="仿宋" w:eastAsia="仿宋" w:cs="仿宋"/>
                <w:b/>
                <w:bCs/>
                <w:sz w:val="20"/>
                <w:szCs w:val="20"/>
                <w:lang w:val="en-US" w:eastAsia="zh-CN"/>
              </w:rPr>
              <w:t>注：供应商应如实填报“病房新增收视点位（光纤接入）费用报价”中的各项单价，不得出现合计金额为0的情形，否则该供应商的本项评审得分为0分。</w:t>
            </w:r>
          </w:p>
        </w:tc>
      </w:tr>
    </w:tbl>
    <w:p w14:paraId="2FFF7A80">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47D8F607">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0E8C017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51CB736">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0183C608">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E99AF16">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237247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4900A80E">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73A8935A">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拒绝签订采购合同的成交供应商不得参加对该项目重新开展的采购活动。</w:t>
      </w:r>
    </w:p>
    <w:p w14:paraId="3A8F7A63">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57B6B5F9">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F682E5F">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六、质疑与投诉</w:t>
      </w:r>
    </w:p>
    <w:p w14:paraId="5E064322">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60FE8167">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提出质疑的供应商应当是参与所质疑项目采购活动的供应商。</w:t>
      </w:r>
    </w:p>
    <w:p w14:paraId="58C4CC48">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供应商认为采购文件、采购过程及采购结果使其权益受到损害的：</w:t>
      </w:r>
    </w:p>
    <w:p w14:paraId="554D3D8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对采购文件的质疑，应当在获取采购文件规定时间内提出；</w:t>
      </w:r>
    </w:p>
    <w:p w14:paraId="418E338E">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对采购过程的质疑，应当在各采购程序环节结束之日前提出；</w:t>
      </w:r>
    </w:p>
    <w:p w14:paraId="07FCA34F">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对采购结果的质疑，应当在中标（成交）结果公告时间结束前提出。</w:t>
      </w:r>
    </w:p>
    <w:p w14:paraId="42E670C6">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质疑应当以书面形式由法定代表人或授权代表签字并加盖单位公章后，向采购人提出质疑。</w:t>
      </w:r>
    </w:p>
    <w:p w14:paraId="6CFF4817">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3553E16A">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及时</w:t>
      </w:r>
      <w:r>
        <w:rPr>
          <w:rFonts w:hint="eastAsia" w:ascii="仿宋" w:hAnsi="仿宋" w:eastAsia="仿宋" w:cs="仿宋"/>
          <w:color w:val="000000" w:themeColor="text1"/>
          <w:sz w:val="24"/>
          <w:szCs w:val="24"/>
          <w:highlight w:val="none"/>
          <w14:textFill>
            <w14:solidFill>
              <w14:schemeClr w14:val="tx1"/>
            </w14:solidFill>
          </w14:textFill>
        </w:rPr>
        <w:t>作出答复，并以书面形式通知质疑供应商和其他有关供应商。</w:t>
      </w:r>
    </w:p>
    <w:p w14:paraId="32F374F2">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5FC0FFA9">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05BE98E0">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0391CA48">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0B6E6759">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68CC84E4">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2957A9C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70C3A695">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5D37BA96">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5540413">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58C80A17">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702C4D">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C091E63">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1F26A9D">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00-12:00,14:30-17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w:t>
      </w:r>
    </w:p>
    <w:p w14:paraId="22F72FBD">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779C55E">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质疑供应商对质疑答复不满意的，认为其合法权益依然受到侵害的，可以在答复后3个工作日内向监督部门提出投诉。</w:t>
      </w:r>
    </w:p>
    <w:p w14:paraId="068E3587">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质疑、投诉应当有明确的请求和必要的证明材料；投诉的事项不得超出已质疑事项的范围。</w:t>
      </w:r>
    </w:p>
    <w:p w14:paraId="070F4B7B">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采购文件要求和成交供应商响应文件承诺签订采购合同，但不得超出采购文件和成交供应商响应文件的范围，也不得再行订立背离合同实质性内容的其他协议。</w:t>
      </w:r>
    </w:p>
    <w:p w14:paraId="7D8902DD">
      <w:pPr>
        <w:pStyle w:val="2"/>
        <w:rPr>
          <w:rFonts w:hint="eastAsia" w:ascii="微软雅黑" w:hAnsi="微软雅黑" w:eastAsia="微软雅黑" w:cs="微软雅黑"/>
          <w:color w:val="000000"/>
          <w:highlight w:val="none"/>
        </w:rPr>
      </w:pPr>
    </w:p>
    <w:p w14:paraId="6303019B">
      <w:pPr>
        <w:rPr>
          <w:rFonts w:hint="eastAsia" w:ascii="微软雅黑" w:hAnsi="微软雅黑" w:eastAsia="微软雅黑" w:cs="微软雅黑"/>
          <w:color w:val="000000"/>
          <w:highlight w:val="none"/>
        </w:rPr>
      </w:pPr>
    </w:p>
    <w:p w14:paraId="220DAABA">
      <w:pPr>
        <w:pStyle w:val="2"/>
        <w:rPr>
          <w:rFonts w:hint="eastAsia" w:ascii="微软雅黑" w:hAnsi="微软雅黑" w:eastAsia="微软雅黑" w:cs="微软雅黑"/>
          <w:color w:val="000000"/>
          <w:highlight w:val="none"/>
        </w:rPr>
      </w:pPr>
    </w:p>
    <w:p w14:paraId="742F370E">
      <w:pPr>
        <w:rPr>
          <w:rFonts w:hint="eastAsia" w:ascii="微软雅黑" w:hAnsi="微软雅黑" w:eastAsia="微软雅黑" w:cs="微软雅黑"/>
          <w:color w:val="000000"/>
          <w:highlight w:val="none"/>
        </w:rPr>
      </w:pPr>
    </w:p>
    <w:p w14:paraId="439A39D8">
      <w:pPr>
        <w:pStyle w:val="2"/>
        <w:rPr>
          <w:rFonts w:hint="eastAsia" w:ascii="微软雅黑" w:hAnsi="微软雅黑" w:eastAsia="微软雅黑" w:cs="微软雅黑"/>
          <w:color w:val="000000"/>
          <w:highlight w:val="none"/>
        </w:rPr>
      </w:pPr>
    </w:p>
    <w:p w14:paraId="4AB18958">
      <w:pPr>
        <w:rPr>
          <w:rFonts w:hint="eastAsia" w:ascii="微软雅黑" w:hAnsi="微软雅黑" w:eastAsia="微软雅黑" w:cs="微软雅黑"/>
          <w:color w:val="000000"/>
          <w:highlight w:val="none"/>
        </w:rPr>
      </w:pPr>
    </w:p>
    <w:p w14:paraId="7C415C3E">
      <w:pPr>
        <w:pStyle w:val="2"/>
        <w:rPr>
          <w:rFonts w:hint="eastAsia" w:ascii="微软雅黑" w:hAnsi="微软雅黑" w:eastAsia="微软雅黑" w:cs="微软雅黑"/>
          <w:color w:val="000000"/>
          <w:highlight w:val="none"/>
        </w:rPr>
      </w:pPr>
    </w:p>
    <w:p w14:paraId="50E2AC43">
      <w:pPr>
        <w:pStyle w:val="2"/>
        <w:rPr>
          <w:rFonts w:hint="eastAsia" w:ascii="微软雅黑" w:hAnsi="微软雅黑" w:eastAsia="微软雅黑" w:cs="微软雅黑"/>
          <w:color w:val="000000"/>
          <w:highlight w:val="none"/>
        </w:rPr>
      </w:pPr>
    </w:p>
    <w:p w14:paraId="14002FCE">
      <w:pPr>
        <w:rPr>
          <w:rFonts w:hint="eastAsia"/>
        </w:rPr>
      </w:pPr>
    </w:p>
    <w:p w14:paraId="146AE643">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E11A6E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35DC4303">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1DD18F8C">
      <w:pPr>
        <w:pStyle w:val="2"/>
        <w:rPr>
          <w:rFonts w:hint="eastAsia" w:ascii="仿宋" w:hAnsi="仿宋" w:eastAsia="仿宋" w:cs="仿宋"/>
          <w:color w:val="000000"/>
          <w:sz w:val="21"/>
          <w:szCs w:val="24"/>
          <w:highlight w:val="none"/>
          <w:shd w:val="clear" w:color="auto" w:fill="FFFFFF"/>
        </w:rPr>
      </w:pPr>
    </w:p>
    <w:p w14:paraId="3EEA6749">
      <w:pPr>
        <w:rPr>
          <w:rFonts w:hint="eastAsia"/>
        </w:rPr>
      </w:pPr>
    </w:p>
    <w:p w14:paraId="099CC093">
      <w:pPr>
        <w:pStyle w:val="21"/>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6"/>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1"/>
        <w:rPr>
          <w:rFonts w:hint="eastAsia"/>
          <w:highlight w:val="none"/>
        </w:rPr>
      </w:pPr>
    </w:p>
    <w:p w14:paraId="2730CA12">
      <w:pPr>
        <w:pStyle w:val="21"/>
        <w:rPr>
          <w:rFonts w:hint="eastAsia"/>
          <w:highlight w:val="none"/>
        </w:rPr>
      </w:pPr>
    </w:p>
    <w:p w14:paraId="33E3A88C">
      <w:pPr>
        <w:pStyle w:val="21"/>
        <w:rPr>
          <w:rFonts w:hint="eastAsia"/>
          <w:highlight w:val="none"/>
        </w:rPr>
      </w:pPr>
    </w:p>
    <w:p w14:paraId="27E0053E">
      <w:pPr>
        <w:pStyle w:val="23"/>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3B4A196C">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1E402387">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45BB9E57">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themeColor="text1"/>
          <w:sz w:val="24"/>
          <w:szCs w:val="24"/>
          <w:highlight w:val="none"/>
          <w14:textFill>
            <w14:solidFill>
              <w14:schemeClr w14:val="tx1"/>
            </w14:solidFill>
          </w14:textFill>
        </w:rPr>
        <w:t>采购方）：中山大学孙逸仙纪念医院</w:t>
      </w:r>
    </w:p>
    <w:p w14:paraId="5D63EEDE">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（成交方）：</w:t>
      </w:r>
    </w:p>
    <w:p w14:paraId="3A782EB7">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4F11CC10">
      <w:pPr>
        <w:adjustRightInd w:val="0"/>
        <w:snapToGrid w:val="0"/>
        <w:spacing w:line="360" w:lineRule="auto"/>
        <w:ind w:right="480" w:firstLine="480" w:firstLineChars="200"/>
        <w:rPr>
          <w:rFonts w:ascii="仿宋" w:hAnsi="仿宋" w:eastAsia="仿宋" w:cs="仿宋"/>
          <w:sz w:val="24"/>
          <w:szCs w:val="24"/>
        </w:rPr>
      </w:pPr>
      <w:r>
        <w:rPr>
          <w:rFonts w:hint="eastAsia" w:ascii="仿宋" w:hAnsi="仿宋" w:eastAsia="仿宋" w:cs="仿宋"/>
          <w:color w:val="000000" w:themeColor="text1"/>
          <w:sz w:val="24"/>
          <w:szCs w:val="24"/>
          <w:highlight w:val="none"/>
          <w14:textFill>
            <w14:solidFill>
              <w14:schemeClr w14:val="tx1"/>
            </w14:solidFill>
          </w14:textFill>
        </w:rPr>
        <w:t>根据《中华人民共和国民法典》</w:t>
      </w:r>
      <w:r>
        <w:rPr>
          <w:rFonts w:hint="eastAsia" w:ascii="仿宋" w:hAnsi="仿宋" w:eastAsia="仿宋" w:cs="仿宋"/>
          <w:sz w:val="24"/>
          <w:szCs w:val="24"/>
        </w:rPr>
        <w:t>等法律法规</w:t>
      </w:r>
      <w:r>
        <w:rPr>
          <w:rFonts w:hint="eastAsia" w:ascii="仿宋" w:hAnsi="仿宋" w:eastAsia="仿宋" w:cs="仿宋"/>
          <w:color w:val="000000" w:themeColor="text1"/>
          <w:sz w:val="24"/>
          <w:szCs w:val="24"/>
          <w:highlight w:val="none"/>
          <w14:textFill>
            <w14:solidFill>
              <w14:schemeClr w14:val="tx1"/>
            </w14:solidFill>
          </w14:textFill>
        </w:rPr>
        <w:t>及中山大学孙逸仙纪念医院</w:t>
      </w:r>
      <w:r>
        <w:rPr>
          <w:rFonts w:hint="eastAsia" w:ascii="仿宋" w:hAnsi="仿宋" w:eastAsia="仿宋" w:cs="仿宋"/>
          <w:color w:val="000000" w:themeColor="text1"/>
          <w:sz w:val="24"/>
          <w:szCs w:val="24"/>
          <w:highlight w:val="none"/>
          <w:lang w:eastAsia="zh-CN"/>
          <w14:textFill>
            <w14:solidFill>
              <w14:schemeClr w14:val="tx1"/>
            </w14:solidFill>
          </w14:textFill>
        </w:rPr>
        <w:t>病房电视服务套餐</w:t>
      </w:r>
      <w:r>
        <w:rPr>
          <w:rFonts w:hint="eastAsia" w:ascii="仿宋" w:hAnsi="仿宋" w:eastAsia="仿宋" w:cs="仿宋"/>
          <w:color w:val="000000" w:themeColor="text1"/>
          <w:sz w:val="24"/>
          <w:szCs w:val="24"/>
          <w:highlight w:val="none"/>
          <w14:textFill>
            <w14:solidFill>
              <w14:schemeClr w14:val="tx1"/>
            </w14:solidFill>
          </w14:textFill>
        </w:rPr>
        <w:t>采购项目（项目编号：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rPr>
        <w:t>的相关采购文件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rPr>
        <w:t>乙方向甲方提供如下服务。详细技术说明及其他有关合同项目的特定信息由合同附件予以说明，合同附件及本项目的相关采购文件均为本合同不可分割的部分,与本合同具有同等法律效力。双方同意就采购事项签订如下条款以兹共同遵守：</w:t>
      </w:r>
      <w:bookmarkStart w:id="17" w:name="_Toc307823123"/>
      <w:bookmarkStart w:id="18" w:name="_Toc309113764"/>
      <w:bookmarkStart w:id="19" w:name="_Toc307565067"/>
      <w:bookmarkStart w:id="20" w:name="_Toc307501162"/>
      <w:bookmarkStart w:id="21" w:name="_Toc309113425"/>
    </w:p>
    <w:bookmarkEnd w:id="17"/>
    <w:bookmarkEnd w:id="18"/>
    <w:bookmarkEnd w:id="19"/>
    <w:bookmarkEnd w:id="20"/>
    <w:bookmarkEnd w:id="21"/>
    <w:p w14:paraId="3656C84D">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项目基本情况</w:t>
      </w:r>
    </w:p>
    <w:p w14:paraId="5A372DE9">
      <w:pPr>
        <w:numPr>
          <w:ilvl w:val="0"/>
          <w:numId w:val="10"/>
        </w:numPr>
        <w:spacing w:line="360" w:lineRule="auto"/>
        <w:ind w:left="420" w:leftChars="0" w:hanging="420" w:firstLineChars="0"/>
        <w:rPr>
          <w:rFonts w:ascii="仿宋" w:hAnsi="仿宋" w:eastAsia="仿宋" w:cs="仿宋"/>
          <w:sz w:val="24"/>
          <w:szCs w:val="24"/>
        </w:rPr>
      </w:pPr>
      <w:r>
        <w:rPr>
          <w:rFonts w:hint="eastAsia" w:ascii="仿宋" w:hAnsi="仿宋" w:eastAsia="仿宋" w:cs="仿宋"/>
          <w:b/>
          <w:sz w:val="24"/>
          <w:szCs w:val="24"/>
        </w:rPr>
        <w:t>合同期限</w:t>
      </w:r>
    </w:p>
    <w:p w14:paraId="3BD7AE83">
      <w:pPr>
        <w:numPr>
          <w:ilvl w:val="0"/>
          <w:numId w:val="10"/>
        </w:numPr>
        <w:spacing w:line="360" w:lineRule="auto"/>
        <w:ind w:left="420" w:leftChars="0" w:hanging="420" w:firstLineChars="0"/>
        <w:rPr>
          <w:rFonts w:ascii="仿宋" w:hAnsi="仿宋" w:eastAsia="仿宋" w:cs="仿宋"/>
          <w:b/>
          <w:sz w:val="24"/>
          <w:szCs w:val="24"/>
        </w:rPr>
      </w:pPr>
      <w:bookmarkStart w:id="22" w:name="_Toc211911348"/>
      <w:bookmarkStart w:id="23" w:name="_Toc241833903"/>
      <w:bookmarkStart w:id="24" w:name="_Toc211854449"/>
      <w:bookmarkStart w:id="25" w:name="_Toc283019214"/>
      <w:bookmarkStart w:id="26" w:name="_Toc247334841"/>
      <w:bookmarkStart w:id="27" w:name="_Toc232492928"/>
      <w:bookmarkStart w:id="28" w:name="_Toc225670751"/>
      <w:bookmarkStart w:id="29" w:name="_Toc185395249"/>
      <w:bookmarkStart w:id="30" w:name="_Toc225654644"/>
      <w:bookmarkStart w:id="31" w:name="_Toc238984975"/>
      <w:bookmarkStart w:id="32" w:name="_Toc251768862"/>
      <w:bookmarkStart w:id="33" w:name="_Toc286993786"/>
      <w:bookmarkStart w:id="34" w:name="_Toc282696226"/>
      <w:bookmarkStart w:id="35" w:name="_Toc225244852"/>
      <w:bookmarkStart w:id="36" w:name="_Toc239568418"/>
      <w:bookmarkStart w:id="37" w:name="_Toc239233914"/>
      <w:bookmarkStart w:id="38" w:name="_Toc212019594"/>
      <w:bookmarkStart w:id="39" w:name="_Toc237145406"/>
      <w:r>
        <w:rPr>
          <w:rFonts w:hint="eastAsia" w:ascii="仿宋" w:hAnsi="仿宋" w:eastAsia="仿宋" w:cs="仿宋"/>
          <w:b/>
          <w:sz w:val="24"/>
          <w:szCs w:val="24"/>
        </w:rPr>
        <w:t>服务内容与质量标准</w:t>
      </w:r>
    </w:p>
    <w:p w14:paraId="671E4950">
      <w:pPr>
        <w:spacing w:line="360" w:lineRule="auto"/>
        <w:ind w:left="567"/>
        <w:rPr>
          <w:rFonts w:ascii="仿宋" w:hAnsi="仿宋" w:eastAsia="仿宋" w:cs="仿宋"/>
          <w:sz w:val="24"/>
          <w:szCs w:val="24"/>
        </w:rPr>
      </w:pPr>
      <w:r>
        <w:rPr>
          <w:rFonts w:hint="eastAsia" w:ascii="仿宋" w:hAnsi="仿宋" w:eastAsia="仿宋" w:cs="仿宋"/>
          <w:sz w:val="24"/>
          <w:szCs w:val="24"/>
        </w:rPr>
        <w:t>1、XXXX；</w:t>
      </w:r>
    </w:p>
    <w:p w14:paraId="69BCA457">
      <w:pPr>
        <w:spacing w:line="360" w:lineRule="auto"/>
        <w:ind w:left="567"/>
        <w:rPr>
          <w:rFonts w:ascii="仿宋" w:hAnsi="仿宋" w:eastAsia="仿宋" w:cs="仿宋"/>
          <w:sz w:val="24"/>
          <w:szCs w:val="24"/>
        </w:rPr>
      </w:pPr>
      <w:r>
        <w:rPr>
          <w:rFonts w:hint="eastAsia" w:ascii="仿宋" w:hAnsi="仿宋" w:eastAsia="仿宋" w:cs="仿宋"/>
          <w:sz w:val="24"/>
          <w:szCs w:val="24"/>
        </w:rPr>
        <w:t>2、XXXX；</w:t>
      </w:r>
    </w:p>
    <w:p w14:paraId="681B8A98">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服务费用及支付方式</w:t>
      </w:r>
    </w:p>
    <w:p w14:paraId="0F00D334">
      <w:pPr>
        <w:numPr>
          <w:ilvl w:val="0"/>
          <w:numId w:val="11"/>
        </w:numPr>
        <w:spacing w:line="360" w:lineRule="auto"/>
        <w:ind w:firstLine="567"/>
        <w:rPr>
          <w:rFonts w:ascii="仿宋" w:hAnsi="仿宋" w:eastAsia="仿宋" w:cs="仿宋"/>
          <w:b/>
          <w:sz w:val="24"/>
          <w:szCs w:val="24"/>
        </w:rPr>
      </w:pPr>
      <w:r>
        <w:rPr>
          <w:rFonts w:hint="eastAsia" w:ascii="仿宋" w:hAnsi="仿宋" w:eastAsia="仿宋" w:cs="仿宋"/>
          <w:b/>
          <w:sz w:val="24"/>
          <w:szCs w:val="24"/>
        </w:rPr>
        <w:t>本项目服务费用由以下组成：</w:t>
      </w:r>
    </w:p>
    <w:p w14:paraId="629BA4C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14:paraId="4D1B51C8">
      <w:pPr>
        <w:numPr>
          <w:ilvl w:val="0"/>
          <w:numId w:val="11"/>
        </w:numPr>
        <w:tabs>
          <w:tab w:val="left" w:pos="780"/>
        </w:tabs>
        <w:spacing w:line="360" w:lineRule="auto"/>
        <w:ind w:firstLine="567"/>
        <w:rPr>
          <w:rFonts w:ascii="仿宋" w:hAnsi="仿宋" w:eastAsia="仿宋" w:cs="仿宋"/>
          <w:b/>
          <w:sz w:val="24"/>
          <w:szCs w:val="24"/>
        </w:rPr>
      </w:pPr>
      <w:r>
        <w:rPr>
          <w:rFonts w:hint="eastAsia" w:ascii="仿宋" w:hAnsi="仿宋" w:eastAsia="仿宋" w:cs="仿宋"/>
          <w:b/>
          <w:sz w:val="24"/>
          <w:szCs w:val="24"/>
        </w:rPr>
        <w:t xml:space="preserve">服务费支付方式： </w:t>
      </w:r>
    </w:p>
    <w:p w14:paraId="510EADB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14:paraId="05F1FFEC">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知识产权</w:t>
      </w:r>
    </w:p>
    <w:p w14:paraId="21D058F5">
      <w:pPr>
        <w:tabs>
          <w:tab w:val="left" w:pos="144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乙方应保证所提供的服务或其任何一部分均不会侵犯任何第三方的专利权、商标权或著作权。</w:t>
      </w:r>
    </w:p>
    <w:p w14:paraId="407CADB1">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无产权瑕疵条款</w:t>
      </w:r>
    </w:p>
    <w:p w14:paraId="2870AA8A">
      <w:pPr>
        <w:tabs>
          <w:tab w:val="left" w:pos="144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乙方保证所提供的服务的所有权完全属于乙方且无任何抵押、查封等产权瑕疵。如有产权瑕疵的，视为乙方违约。乙方应负担由此而产生的一切损失。</w:t>
      </w:r>
    </w:p>
    <w:p w14:paraId="2885991A">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甲方的权利和义务</w:t>
      </w:r>
    </w:p>
    <w:p w14:paraId="584E8B5F">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06E28166">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2、甲方有权依据双方签订的考评办法对乙方提供的服务进行定期考评。当考评结果未达到标准时，有权依据相关办法对乙方进行管理。</w:t>
      </w:r>
    </w:p>
    <w:p w14:paraId="744D9B92">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3、负责检查监督乙方管理工作的实施及制度的执行情况。</w:t>
      </w:r>
    </w:p>
    <w:p w14:paraId="4E0EE5E4">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4、根据本合同规定，按时向乙方支付应付服务费用。</w:t>
      </w:r>
    </w:p>
    <w:p w14:paraId="20FE202B">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5、国家法律、法规所规定由甲方承担的其它责任。</w:t>
      </w:r>
    </w:p>
    <w:p w14:paraId="35283E39">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乙方的权利和义务</w:t>
      </w:r>
    </w:p>
    <w:p w14:paraId="16BB5CAA">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1、对本合同规定的委托服务范围内的项目享有管理权及服务义务。</w:t>
      </w:r>
    </w:p>
    <w:p w14:paraId="339AB677">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2、根据本合同的规定向甲方收取相关服务费用，并有权在本项目管理范围内管理及合理使用。</w:t>
      </w:r>
    </w:p>
    <w:p w14:paraId="39F0022C">
      <w:pPr>
        <w:adjustRightInd w:val="0"/>
        <w:spacing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3、及时向甲方通告本项目服务范围内有关服务的重大事项，及时配合处理投诉。</w:t>
      </w:r>
    </w:p>
    <w:p w14:paraId="6E03547A">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sz w:val="24"/>
          <w:szCs w:val="24"/>
        </w:rPr>
        <w:t>4、</w:t>
      </w:r>
      <w:r>
        <w:rPr>
          <w:rFonts w:hint="eastAsia" w:ascii="仿宋" w:hAnsi="仿宋" w:eastAsia="仿宋" w:cs="仿宋"/>
          <w:bCs/>
          <w:sz w:val="24"/>
          <w:szCs w:val="24"/>
        </w:rPr>
        <w:t>接受项目行业管理部门及有关部门的指导，接受甲方的监督。</w:t>
      </w:r>
    </w:p>
    <w:p w14:paraId="33B4F1CC">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5、国家法律、法规所规定由乙方承担的其它责任。</w:t>
      </w:r>
    </w:p>
    <w:p w14:paraId="6B6CD6F8">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违约责任</w:t>
      </w:r>
    </w:p>
    <w:p w14:paraId="5EF32E73">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1、甲乙双方必须遵守本合同并执行合同中的各项规定，保证本合同的正常履行。</w:t>
      </w:r>
    </w:p>
    <w:p w14:paraId="68C03DE2">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FC6A685">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不可抗力事件处理</w:t>
      </w:r>
    </w:p>
    <w:p w14:paraId="7691D74E">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1、在合同有效期内，任何一方因不可抗力事件导致不能履行合同，则合同履行期可延长，其延长期与不可抗力影响期相同。</w:t>
      </w:r>
    </w:p>
    <w:p w14:paraId="41C126EE">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14:paraId="6F76B3AC">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3、不可抗力事件延续XX天以上，双方应通过友好协商，确定是否继续履行合同。</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5885CB9A">
      <w:pPr>
        <w:numPr>
          <w:ilvl w:val="0"/>
          <w:numId w:val="10"/>
        </w:numPr>
        <w:spacing w:line="360" w:lineRule="auto"/>
        <w:ind w:left="420" w:leftChars="0" w:hanging="420" w:firstLineChars="0"/>
        <w:rPr>
          <w:rFonts w:ascii="仿宋" w:hAnsi="仿宋" w:eastAsia="仿宋" w:cs="仿宋"/>
          <w:b/>
          <w:sz w:val="24"/>
          <w:szCs w:val="24"/>
        </w:rPr>
      </w:pPr>
      <w:bookmarkStart w:id="40" w:name="_Toc212019599"/>
      <w:bookmarkStart w:id="41" w:name="_Toc238984980"/>
      <w:bookmarkStart w:id="42" w:name="_Toc251768867"/>
      <w:bookmarkStart w:id="43" w:name="_Toc286993792"/>
      <w:bookmarkStart w:id="44" w:name="_Toc211854454"/>
      <w:bookmarkStart w:id="45" w:name="_Toc247334846"/>
      <w:bookmarkStart w:id="46" w:name="_Toc211911353"/>
      <w:bookmarkStart w:id="47" w:name="_Toc241833908"/>
      <w:bookmarkStart w:id="48" w:name="_Toc225244857"/>
      <w:bookmarkStart w:id="49" w:name="_Toc185395254"/>
      <w:bookmarkStart w:id="50" w:name="_Toc232492933"/>
      <w:bookmarkStart w:id="51" w:name="_Toc225654649"/>
      <w:bookmarkStart w:id="52" w:name="_Toc239233919"/>
      <w:bookmarkStart w:id="53" w:name="_Toc225670756"/>
      <w:bookmarkStart w:id="54" w:name="_Toc237145411"/>
      <w:bookmarkStart w:id="55" w:name="_Toc239568423"/>
      <w:r>
        <w:rPr>
          <w:rFonts w:hint="eastAsia" w:ascii="仿宋" w:hAnsi="仿宋" w:eastAsia="仿宋" w:cs="仿宋"/>
          <w:b/>
          <w:sz w:val="24"/>
          <w:szCs w:val="24"/>
        </w:rPr>
        <w:t>解决合同纠纷的方式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C9BF95D">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合同履行期间,若双方发生争议，可协商或由有关部门调解解决，协商或调解不成的，任何一方均有权向</w:t>
      </w:r>
      <w:r>
        <w:rPr>
          <w:rFonts w:hint="eastAsia" w:ascii="仿宋" w:hAnsi="仿宋" w:eastAsia="仿宋" w:cs="仿宋"/>
          <w:sz w:val="24"/>
          <w:szCs w:val="24"/>
          <w:lang w:val="en-US" w:eastAsia="zh-CN"/>
        </w:rPr>
        <w:t>甲方所在地</w:t>
      </w:r>
      <w:r>
        <w:rPr>
          <w:rFonts w:hint="eastAsia" w:ascii="仿宋" w:hAnsi="仿宋" w:eastAsia="仿宋" w:cs="仿宋"/>
          <w:sz w:val="24"/>
          <w:szCs w:val="24"/>
        </w:rPr>
        <w:t>人民法院起诉。</w:t>
      </w:r>
    </w:p>
    <w:p w14:paraId="0F110138">
      <w:pPr>
        <w:numPr>
          <w:ilvl w:val="0"/>
          <w:numId w:val="10"/>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合同文件构成</w:t>
      </w:r>
    </w:p>
    <w:p w14:paraId="16D31AE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1、本采购合同与下列文件一起构成合同文件，组成合同的各项文件应互相解释，互为说明。</w:t>
      </w:r>
    </w:p>
    <w:p w14:paraId="2286F96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（1）合同协议书；（2）</w:t>
      </w:r>
      <w:r>
        <w:rPr>
          <w:rFonts w:hint="eastAsia" w:ascii="仿宋" w:hAnsi="仿宋" w:eastAsia="仿宋" w:cs="仿宋"/>
          <w:sz w:val="24"/>
          <w:szCs w:val="24"/>
          <w:lang w:val="en-US" w:eastAsia="zh-CN"/>
        </w:rPr>
        <w:t>成交</w:t>
      </w:r>
      <w:r>
        <w:rPr>
          <w:rFonts w:hint="eastAsia" w:ascii="仿宋" w:hAnsi="仿宋" w:eastAsia="仿宋" w:cs="仿宋"/>
          <w:sz w:val="24"/>
          <w:szCs w:val="24"/>
        </w:rPr>
        <w:t>通知书；（</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采购</w:t>
      </w:r>
      <w:r>
        <w:rPr>
          <w:rFonts w:hint="eastAsia" w:ascii="仿宋" w:hAnsi="仿宋" w:eastAsia="仿宋" w:cs="仿宋"/>
          <w:sz w:val="24"/>
          <w:szCs w:val="24"/>
        </w:rPr>
        <w:t>文件；（</w:t>
      </w:r>
      <w:r>
        <w:rPr>
          <w:rFonts w:hint="eastAsia" w:ascii="仿宋" w:hAnsi="仿宋" w:eastAsia="仿宋" w:cs="仿宋"/>
          <w:sz w:val="24"/>
          <w:szCs w:val="24"/>
          <w:lang w:val="en-US" w:eastAsia="zh-CN"/>
        </w:rPr>
        <w:t>4</w:t>
      </w:r>
      <w:r>
        <w:rPr>
          <w:rFonts w:hint="eastAsia" w:ascii="仿宋" w:hAnsi="仿宋" w:eastAsia="仿宋" w:cs="仿宋"/>
          <w:sz w:val="24"/>
          <w:szCs w:val="24"/>
        </w:rPr>
        <w:t>）响应文件；（</w:t>
      </w:r>
      <w:r>
        <w:rPr>
          <w:rFonts w:hint="eastAsia" w:ascii="仿宋" w:hAnsi="仿宋" w:eastAsia="仿宋" w:cs="仿宋"/>
          <w:sz w:val="24"/>
          <w:szCs w:val="24"/>
          <w:lang w:val="en-US" w:eastAsia="zh-CN"/>
        </w:rPr>
        <w:t>5</w:t>
      </w:r>
      <w:r>
        <w:rPr>
          <w:rFonts w:hint="eastAsia" w:ascii="仿宋" w:hAnsi="仿宋" w:eastAsia="仿宋" w:cs="仿宋"/>
          <w:sz w:val="24"/>
          <w:szCs w:val="24"/>
        </w:rPr>
        <w:t>）其他合同文件。在合同订立及履行过程中形成的与合同有关的文件均构成合同组成部分。</w:t>
      </w:r>
    </w:p>
    <w:p w14:paraId="611780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w:t>
      </w:r>
    </w:p>
    <w:p w14:paraId="0BEC4626">
      <w:pPr>
        <w:numPr>
          <w:ilvl w:val="0"/>
          <w:numId w:val="10"/>
        </w:numPr>
        <w:spacing w:line="360" w:lineRule="auto"/>
        <w:ind w:left="420" w:leftChars="0" w:hanging="420" w:firstLineChars="0"/>
        <w:rPr>
          <w:rFonts w:ascii="仿宋" w:hAnsi="仿宋" w:eastAsia="仿宋" w:cs="仿宋"/>
          <w:b/>
          <w:sz w:val="24"/>
          <w:szCs w:val="24"/>
        </w:rPr>
      </w:pPr>
      <w:bookmarkStart w:id="56" w:name="_Toc211911354"/>
      <w:bookmarkStart w:id="57" w:name="_Toc247334847"/>
      <w:bookmarkStart w:id="58" w:name="_Toc241833909"/>
      <w:bookmarkStart w:id="59" w:name="_Toc232492934"/>
      <w:bookmarkStart w:id="60" w:name="_Toc283019219"/>
      <w:bookmarkStart w:id="61" w:name="_Toc282696231"/>
      <w:bookmarkStart w:id="62" w:name="_Toc185395255"/>
      <w:bookmarkStart w:id="63" w:name="_Toc251768868"/>
      <w:bookmarkStart w:id="64" w:name="_Toc211854455"/>
      <w:bookmarkStart w:id="65" w:name="_Toc286993793"/>
      <w:bookmarkStart w:id="66" w:name="_Toc239233920"/>
      <w:bookmarkStart w:id="67" w:name="_Toc225244858"/>
      <w:bookmarkStart w:id="68" w:name="_Toc239568424"/>
      <w:bookmarkStart w:id="69" w:name="_Toc237145412"/>
      <w:bookmarkStart w:id="70" w:name="_Toc225654650"/>
      <w:bookmarkStart w:id="71" w:name="_Toc225670757"/>
      <w:bookmarkStart w:id="72" w:name="_Toc238984981"/>
      <w:bookmarkStart w:id="73" w:name="_Toc212019600"/>
      <w:r>
        <w:rPr>
          <w:rFonts w:hint="eastAsia" w:ascii="仿宋" w:hAnsi="仿宋" w:eastAsia="仿宋" w:cs="仿宋"/>
          <w:b/>
          <w:sz w:val="24"/>
          <w:szCs w:val="24"/>
        </w:rPr>
        <w:t>合同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hint="eastAsia" w:ascii="仿宋" w:hAnsi="仿宋" w:eastAsia="仿宋" w:cs="仿宋"/>
          <w:b/>
          <w:sz w:val="24"/>
          <w:szCs w:val="24"/>
        </w:rPr>
        <w:t>生效及其他</w:t>
      </w:r>
    </w:p>
    <w:p w14:paraId="7B99A6F1">
      <w:pPr>
        <w:pStyle w:val="27"/>
        <w:spacing w:line="360" w:lineRule="auto"/>
        <w:ind w:firstLine="480"/>
        <w:rPr>
          <w:rFonts w:ascii="仿宋" w:hAnsi="仿宋" w:eastAsia="仿宋"/>
          <w:sz w:val="24"/>
          <w:szCs w:val="24"/>
        </w:rPr>
      </w:pPr>
      <w:r>
        <w:rPr>
          <w:rFonts w:hint="eastAsia" w:ascii="仿宋" w:hAnsi="仿宋" w:eastAsia="仿宋"/>
          <w:sz w:val="24"/>
          <w:szCs w:val="24"/>
        </w:rPr>
        <w:t>1、如有未尽事宜，由双方依法订立补充合同。补充合同、附件为本合同的组成部分，与本合同具有同等法律效力。</w:t>
      </w:r>
    </w:p>
    <w:p w14:paraId="2AFC5839">
      <w:pPr>
        <w:pStyle w:val="27"/>
        <w:spacing w:line="360" w:lineRule="auto"/>
        <w:ind w:firstLine="480"/>
        <w:rPr>
          <w:rFonts w:ascii="仿宋" w:hAnsi="仿宋" w:eastAsia="仿宋" w:cs="仿宋"/>
          <w:sz w:val="24"/>
          <w:szCs w:val="24"/>
        </w:rPr>
      </w:pPr>
      <w:r>
        <w:rPr>
          <w:rFonts w:hint="eastAsia" w:ascii="仿宋" w:hAnsi="仿宋" w:eastAsia="仿宋"/>
          <w:sz w:val="24"/>
          <w:szCs w:val="24"/>
        </w:rPr>
        <w:t>2、本合同一式   份，自双方签章之日起生效。甲方</w:t>
      </w:r>
      <w:r>
        <w:rPr>
          <w:rFonts w:hint="eastAsia" w:ascii="仿宋" w:hAnsi="仿宋" w:eastAsia="仿宋"/>
          <w:sz w:val="24"/>
          <w:szCs w:val="24"/>
          <w:lang w:val="en-US" w:eastAsia="zh-CN"/>
        </w:rPr>
        <w:t>叁</w:t>
      </w:r>
      <w:r>
        <w:rPr>
          <w:rFonts w:hint="eastAsia" w:ascii="仿宋" w:hAnsi="仿宋" w:eastAsia="仿宋"/>
          <w:sz w:val="24"/>
          <w:szCs w:val="24"/>
        </w:rPr>
        <w:t>份，乙方  份。</w:t>
      </w:r>
    </w:p>
    <w:p w14:paraId="0363BD09">
      <w:pPr>
        <w:spacing w:line="500" w:lineRule="exact"/>
        <w:ind w:firstLine="480" w:firstLineChars="200"/>
        <w:rPr>
          <w:rFonts w:hint="eastAsia" w:ascii="仿宋" w:hAnsi="仿宋" w:eastAsia="仿宋" w:cs="仿宋"/>
          <w:sz w:val="24"/>
          <w:szCs w:val="24"/>
        </w:rPr>
      </w:pPr>
    </w:p>
    <w:p w14:paraId="74C595C6">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14:paraId="350DC8E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法定代表人(授权代表)：             法定代表人(授权代表)：</w:t>
      </w:r>
    </w:p>
    <w:p w14:paraId="5D5961D2">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地    址：                         地    址：</w:t>
      </w:r>
    </w:p>
    <w:p w14:paraId="3F452CB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开户银行：                         开户银行：</w:t>
      </w:r>
    </w:p>
    <w:p w14:paraId="2C0AD0C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账号：                             账号：</w:t>
      </w:r>
    </w:p>
    <w:p w14:paraId="5A7601D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电    话：                         电    话：</w:t>
      </w:r>
    </w:p>
    <w:p w14:paraId="2A94152B">
      <w:pPr>
        <w:pStyle w:val="5"/>
        <w:spacing w:line="500" w:lineRule="exact"/>
        <w:ind w:firstLineChars="175"/>
        <w:rPr>
          <w:rFonts w:ascii="仿宋" w:hAnsi="仿宋" w:eastAsia="仿宋" w:cs="仿宋"/>
          <w:b/>
          <w:bCs/>
          <w:szCs w:val="24"/>
        </w:rPr>
      </w:pPr>
      <w:r>
        <w:rPr>
          <w:rFonts w:hint="eastAsia" w:ascii="仿宋" w:hAnsi="仿宋" w:eastAsia="仿宋" w:cs="仿宋"/>
          <w:szCs w:val="24"/>
        </w:rPr>
        <w:t xml:space="preserve">签约日期：XX年XX月XX日 </w:t>
      </w:r>
      <w:r>
        <w:rPr>
          <w:rFonts w:hint="eastAsia" w:ascii="仿宋" w:hAnsi="仿宋" w:eastAsia="仿宋" w:cs="仿宋"/>
          <w:szCs w:val="24"/>
        </w:rPr>
        <w:tab/>
      </w:r>
      <w:r>
        <w:rPr>
          <w:rFonts w:hint="eastAsia" w:ascii="仿宋" w:hAnsi="仿宋" w:eastAsia="仿宋" w:cs="仿宋"/>
          <w:szCs w:val="24"/>
        </w:rPr>
        <w:tab/>
      </w:r>
      <w:r>
        <w:rPr>
          <w:rFonts w:hint="eastAsia" w:ascii="仿宋" w:hAnsi="仿宋" w:eastAsia="仿宋" w:cs="仿宋"/>
          <w:szCs w:val="24"/>
        </w:rPr>
        <w:tab/>
      </w:r>
      <w:r>
        <w:rPr>
          <w:rFonts w:hint="eastAsia" w:ascii="仿宋" w:hAnsi="仿宋" w:eastAsia="仿宋" w:cs="仿宋"/>
          <w:szCs w:val="24"/>
        </w:rPr>
        <w:t>签约日期：XX年XX月XX日</w:t>
      </w:r>
    </w:p>
    <w:p w14:paraId="5D51D381">
      <w:pPr>
        <w:spacing w:line="500" w:lineRule="exact"/>
        <w:rPr>
          <w:rFonts w:hint="eastAsia" w:ascii="仿宋" w:hAnsi="仿宋" w:eastAsia="仿宋" w:cs="仿宋"/>
          <w:b/>
          <w:bCs/>
          <w:sz w:val="24"/>
          <w:szCs w:val="24"/>
        </w:rPr>
      </w:pPr>
    </w:p>
    <w:p w14:paraId="688C7DB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注：以上合同条款采购人与成交人签订合同时可根据实际情况进行调整、修改或重新起草合同条款。</w:t>
      </w:r>
    </w:p>
    <w:p w14:paraId="49772D1C">
      <w:pPr>
        <w:spacing w:line="500" w:lineRule="exact"/>
        <w:rPr>
          <w:rFonts w:hint="eastAsia" w:ascii="仿宋" w:hAnsi="仿宋" w:eastAsia="仿宋" w:cs="仿宋"/>
          <w:b/>
          <w:bCs/>
          <w:sz w:val="24"/>
          <w:szCs w:val="24"/>
        </w:rPr>
      </w:pPr>
    </w:p>
    <w:p w14:paraId="741A1E54">
      <w:pPr>
        <w:spacing w:line="500" w:lineRule="exact"/>
        <w:rPr>
          <w:rFonts w:hint="eastAsia" w:ascii="仿宋" w:hAnsi="仿宋" w:eastAsia="仿宋" w:cs="仿宋"/>
          <w:b/>
          <w:bCs/>
          <w:sz w:val="24"/>
          <w:szCs w:val="24"/>
        </w:rPr>
      </w:pPr>
    </w:p>
    <w:p w14:paraId="498AA248">
      <w:pPr>
        <w:spacing w:line="500" w:lineRule="exact"/>
        <w:rPr>
          <w:rFonts w:hint="eastAsia" w:ascii="仿宋" w:hAnsi="仿宋" w:eastAsia="仿宋" w:cs="仿宋"/>
          <w:b/>
          <w:bCs/>
          <w:sz w:val="24"/>
          <w:szCs w:val="24"/>
        </w:rPr>
      </w:pPr>
    </w:p>
    <w:p w14:paraId="769BA432">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88D2B81">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F040CFE">
      <w:pPr>
        <w:rPr>
          <w:rFonts w:hint="eastAsia"/>
        </w:rPr>
      </w:pPr>
    </w:p>
    <w:p w14:paraId="2DC2BE06">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3"/>
        <w:rPr>
          <w:rFonts w:hint="eastAsia"/>
          <w:color w:val="000000"/>
          <w:highlight w:val="none"/>
        </w:rPr>
      </w:pPr>
    </w:p>
    <w:p w14:paraId="415C4B2C">
      <w:pPr>
        <w:pStyle w:val="23"/>
        <w:rPr>
          <w:rFonts w:hint="eastAsia"/>
          <w:color w:val="000000"/>
          <w:highlight w:val="none"/>
        </w:rPr>
      </w:pPr>
    </w:p>
    <w:p w14:paraId="6578C338">
      <w:pPr>
        <w:pStyle w:val="23"/>
        <w:rPr>
          <w:rFonts w:hint="eastAsia"/>
          <w:color w:val="000000"/>
          <w:highlight w:val="none"/>
        </w:rPr>
      </w:pPr>
    </w:p>
    <w:p w14:paraId="04A25E76">
      <w:pPr>
        <w:pStyle w:val="23"/>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3"/>
        <w:rPr>
          <w:rFonts w:hint="eastAsia"/>
          <w:color w:val="FF0000"/>
          <w:highlight w:val="none"/>
        </w:rPr>
      </w:pPr>
    </w:p>
    <w:p w14:paraId="2A6D30A5">
      <w:pPr>
        <w:pStyle w:val="23"/>
        <w:rPr>
          <w:rFonts w:hint="eastAsia"/>
          <w:color w:val="000000"/>
          <w:highlight w:val="none"/>
        </w:rPr>
      </w:pPr>
    </w:p>
    <w:p w14:paraId="338F8648">
      <w:pPr>
        <w:pStyle w:val="23"/>
        <w:rPr>
          <w:rFonts w:hint="eastAsia"/>
          <w:color w:val="000000"/>
          <w:highlight w:val="none"/>
        </w:rPr>
      </w:pPr>
    </w:p>
    <w:p w14:paraId="009DBEEE">
      <w:pPr>
        <w:pStyle w:val="23"/>
        <w:rPr>
          <w:rFonts w:hint="eastAsia"/>
          <w:color w:val="000000"/>
          <w:highlight w:val="none"/>
        </w:rPr>
      </w:pPr>
    </w:p>
    <w:p w14:paraId="2E5AB3A2">
      <w:pPr>
        <w:pStyle w:val="23"/>
        <w:rPr>
          <w:rFonts w:hint="eastAsia"/>
          <w:color w:val="000000"/>
          <w:highlight w:val="none"/>
        </w:rPr>
      </w:pPr>
    </w:p>
    <w:p w14:paraId="784A839B">
      <w:pPr>
        <w:pStyle w:val="23"/>
        <w:rPr>
          <w:rFonts w:hint="eastAsia"/>
          <w:color w:val="000000"/>
          <w:highlight w:val="none"/>
        </w:rPr>
      </w:pPr>
    </w:p>
    <w:p w14:paraId="66AE6B3B">
      <w:pPr>
        <w:pStyle w:val="23"/>
        <w:rPr>
          <w:rFonts w:hint="eastAsia"/>
          <w:color w:val="000000"/>
          <w:highlight w:val="none"/>
        </w:rPr>
      </w:pPr>
    </w:p>
    <w:p w14:paraId="09F24D49">
      <w:pPr>
        <w:pStyle w:val="23"/>
        <w:rPr>
          <w:rFonts w:hint="eastAsia"/>
          <w:color w:val="000000"/>
          <w:highlight w:val="none"/>
        </w:rPr>
      </w:pPr>
    </w:p>
    <w:p w14:paraId="728E76DB">
      <w:pPr>
        <w:pStyle w:val="23"/>
        <w:rPr>
          <w:rFonts w:hint="eastAsia"/>
          <w:color w:val="000000"/>
          <w:highlight w:val="none"/>
        </w:rPr>
      </w:pPr>
    </w:p>
    <w:p w14:paraId="2E4CE761">
      <w:pPr>
        <w:pStyle w:val="23"/>
        <w:rPr>
          <w:rFonts w:hint="eastAsia"/>
          <w:color w:val="000000"/>
          <w:highlight w:val="none"/>
        </w:rPr>
      </w:pPr>
    </w:p>
    <w:p w14:paraId="1CA83D2C">
      <w:pPr>
        <w:pStyle w:val="23"/>
        <w:rPr>
          <w:rFonts w:hint="eastAsia"/>
          <w:color w:val="000000"/>
          <w:highlight w:val="none"/>
        </w:rPr>
      </w:pPr>
    </w:p>
    <w:p w14:paraId="69B56E77">
      <w:pPr>
        <w:pStyle w:val="23"/>
        <w:rPr>
          <w:rFonts w:hint="eastAsia"/>
          <w:color w:val="000000"/>
          <w:highlight w:val="none"/>
        </w:rPr>
      </w:pPr>
    </w:p>
    <w:p w14:paraId="1E6D8BC8">
      <w:pPr>
        <w:pStyle w:val="23"/>
        <w:rPr>
          <w:rFonts w:hint="eastAsia"/>
          <w:color w:val="000000"/>
          <w:highlight w:val="none"/>
        </w:rPr>
      </w:pPr>
    </w:p>
    <w:p w14:paraId="7DF3A52C">
      <w:pPr>
        <w:pStyle w:val="23"/>
        <w:rPr>
          <w:rFonts w:hint="eastAsia"/>
          <w:color w:val="000000"/>
          <w:highlight w:val="none"/>
        </w:rPr>
      </w:pPr>
    </w:p>
    <w:p w14:paraId="63A1F1E3">
      <w:pPr>
        <w:pStyle w:val="23"/>
        <w:rPr>
          <w:rFonts w:hint="eastAsia"/>
          <w:color w:val="000000"/>
          <w:highlight w:val="none"/>
        </w:rPr>
      </w:pPr>
    </w:p>
    <w:p w14:paraId="7E245D88">
      <w:pPr>
        <w:pStyle w:val="23"/>
        <w:rPr>
          <w:rFonts w:hint="eastAsia"/>
          <w:color w:val="000000"/>
          <w:highlight w:val="none"/>
        </w:rPr>
      </w:pPr>
    </w:p>
    <w:p w14:paraId="7525BD9F">
      <w:pPr>
        <w:pStyle w:val="23"/>
        <w:rPr>
          <w:rFonts w:hint="eastAsia"/>
          <w:color w:val="000000"/>
          <w:highlight w:val="none"/>
        </w:rPr>
      </w:pPr>
    </w:p>
    <w:p w14:paraId="71AA9098">
      <w:pPr>
        <w:pStyle w:val="23"/>
        <w:rPr>
          <w:rFonts w:hint="eastAsia"/>
          <w:color w:val="000000"/>
          <w:highlight w:val="none"/>
        </w:rPr>
      </w:pPr>
    </w:p>
    <w:p w14:paraId="2CA06E4F">
      <w:pPr>
        <w:pStyle w:val="23"/>
        <w:rPr>
          <w:rFonts w:hint="eastAsia"/>
          <w:color w:val="000000"/>
          <w:highlight w:val="none"/>
        </w:rPr>
      </w:pPr>
    </w:p>
    <w:p w14:paraId="4FF379D8">
      <w:pPr>
        <w:pStyle w:val="23"/>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（本提示内容非采购</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lang w:val="en-US" w:eastAsia="zh-CN"/>
        </w:rPr>
        <w:t>的组成部分，仅为善意提醒。如有不一致，以采购</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lang w:val="en-US" w:eastAsia="zh-CN"/>
        </w:rPr>
        <w:t>为准。）</w:t>
      </w:r>
    </w:p>
    <w:p w14:paraId="24E7E8A6">
      <w:pPr>
        <w:pStyle w:val="23"/>
        <w:numPr>
          <w:ilvl w:val="0"/>
          <w:numId w:val="12"/>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采购文件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采购文件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3"/>
        <w:numPr>
          <w:ilvl w:val="0"/>
          <w:numId w:val="12"/>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采购文件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采购文件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3"/>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3"/>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3"/>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3"/>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报名并获取了采购</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竞谈邀请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3"/>
        <w:numPr>
          <w:ilvl w:val="0"/>
          <w:numId w:val="12"/>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6B8766A">
      <w:pPr>
        <w:spacing w:line="360" w:lineRule="auto"/>
        <w:jc w:val="center"/>
        <w:rPr>
          <w:rFonts w:hint="eastAsia" w:ascii="华文中宋" w:hAnsi="华文中宋" w:eastAsia="华文中宋" w:cs="华文中宋"/>
          <w:b/>
          <w:color w:val="000000"/>
          <w:sz w:val="52"/>
          <w:szCs w:val="32"/>
          <w:highlight w:val="none"/>
          <w:lang w:eastAsia="zh-CN"/>
        </w:rPr>
      </w:pPr>
    </w:p>
    <w:p w14:paraId="7151BC17">
      <w:pPr>
        <w:spacing w:line="360" w:lineRule="auto"/>
        <w:jc w:val="center"/>
        <w:rPr>
          <w:rFonts w:hint="eastAsia" w:ascii="华文中宋" w:hAnsi="华文中宋" w:eastAsia="华文中宋" w:cs="华文中宋"/>
          <w:b/>
          <w:color w:val="000000"/>
          <w:sz w:val="52"/>
          <w:szCs w:val="32"/>
          <w:highlight w:val="none"/>
          <w:lang w:eastAsia="zh-CN"/>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8"/>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8"/>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8"/>
        <w:pageBreakBefore w:val="0"/>
        <w:kinsoku/>
        <w:wordWrap/>
        <w:overflowPunct/>
        <w:topLinePunct w:val="0"/>
        <w:bidi w:val="0"/>
        <w:spacing w:line="360" w:lineRule="auto"/>
        <w:ind w:left="0" w:leftChars="0" w:right="0" w:rightChars="0" w:firstLine="639" w:firstLineChars="228"/>
        <w:jc w:val="both"/>
        <w:rPr>
          <w:rFonts w:hint="eastAsia" w:ascii="华文中宋" w:hAnsi="华文中宋" w:eastAsia="华文中宋" w:cs="华文中宋"/>
          <w:b/>
          <w:color w:val="000000"/>
          <w:sz w:val="28"/>
          <w:szCs w:val="28"/>
          <w:highlight w:val="none"/>
          <w:u w:val="single"/>
          <w:lang w:val="en-US" w:eastAsia="zh-CN"/>
        </w:rPr>
      </w:pPr>
      <w:bookmarkStart w:id="74" w:name="_Toc97049462"/>
      <w:bookmarkStart w:id="75"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8"/>
        <w:pageBreakBefore w:val="0"/>
        <w:kinsoku/>
        <w:wordWrap/>
        <w:overflowPunct/>
        <w:topLinePunct w:val="0"/>
        <w:bidi w:val="0"/>
        <w:spacing w:line="360" w:lineRule="auto"/>
        <w:ind w:left="0" w:leftChars="0" w:right="0" w:rightChars="0" w:firstLine="639" w:firstLineChars="22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8"/>
        <w:pageBreakBefore w:val="0"/>
        <w:kinsoku/>
        <w:wordWrap/>
        <w:overflowPunct/>
        <w:topLinePunct w:val="0"/>
        <w:bidi w:val="0"/>
        <w:spacing w:line="360" w:lineRule="auto"/>
        <w:ind w:left="0" w:leftChars="0" w:right="0" w:rightChars="0" w:firstLine="639" w:firstLineChars="22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8"/>
        <w:pageBreakBefore w:val="0"/>
        <w:kinsoku/>
        <w:wordWrap/>
        <w:overflowPunct/>
        <w:topLinePunct w:val="0"/>
        <w:bidi w:val="0"/>
        <w:spacing w:line="360" w:lineRule="auto"/>
        <w:ind w:left="0" w:leftChars="0" w:right="0" w:rightChars="0" w:firstLine="639" w:firstLineChars="22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74"/>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ind w:right="-733" w:rightChars="-349"/>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3"/>
        <w:spacing w:line="360" w:lineRule="auto"/>
        <w:ind w:left="0" w:leftChars="0" w:right="-733" w:rightChars="-349"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auto"/>
          <w:sz w:val="24"/>
          <w:szCs w:val="36"/>
          <w:highlight w:val="none"/>
          <w:lang w:val="en-US" w:eastAsia="zh-CN"/>
        </w:rPr>
        <w:t>首次</w:t>
      </w:r>
      <w:r>
        <w:rPr>
          <w:rFonts w:hint="eastAsia" w:ascii="仿宋" w:hAnsi="仿宋" w:eastAsia="仿宋" w:cs="仿宋"/>
          <w:color w:val="000000"/>
          <w:sz w:val="24"/>
          <w:szCs w:val="24"/>
          <w:highlight w:val="none"/>
          <w:lang w:val="en-US" w:eastAsia="zh-CN"/>
        </w:rPr>
        <w:t>报价一览表…………………………………………………………第（  ）页</w:t>
      </w:r>
    </w:p>
    <w:p w14:paraId="45A0E37D">
      <w:pPr>
        <w:pStyle w:val="23"/>
        <w:spacing w:line="360" w:lineRule="auto"/>
        <w:ind w:left="0" w:leftChars="0" w:right="-512" w:rightChars="-244"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（二）最终报价一览表…………………………………………………………第（  ）页</w:t>
      </w:r>
    </w:p>
    <w:p w14:paraId="4F27E05A">
      <w:pPr>
        <w:shd w:val="clear" w:color="auto" w:fill="FFFFFF"/>
        <w:spacing w:line="360" w:lineRule="auto"/>
        <w:ind w:right="-733" w:rightChars="-34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3"/>
        <w:spacing w:line="360" w:lineRule="auto"/>
        <w:ind w:left="0" w:leftChars="0" w:right="-733" w:rightChars="-349"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3"/>
        <w:spacing w:line="360" w:lineRule="auto"/>
        <w:ind w:left="0" w:leftChars="0" w:right="-733" w:rightChars="-349"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ind w:right="-733" w:rightChars="-34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3"/>
        <w:spacing w:line="360" w:lineRule="auto"/>
        <w:ind w:left="0" w:leftChars="0" w:right="-733" w:rightChars="-349"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3"/>
        <w:spacing w:line="360" w:lineRule="auto"/>
        <w:ind w:left="0" w:leftChars="0" w:right="-733" w:rightChars="-349"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ind w:right="-733" w:rightChars="-34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3"/>
        <w:spacing w:line="360" w:lineRule="auto"/>
        <w:ind w:left="0" w:leftChars="0" w:right="-733" w:rightChars="-349"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3"/>
        <w:spacing w:line="360" w:lineRule="auto"/>
        <w:ind w:left="0" w:leftChars="0" w:right="-733" w:rightChars="-349"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ind w:right="-733" w:rightChars="-34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23"/>
        <w:spacing w:line="360" w:lineRule="auto"/>
        <w:ind w:left="0" w:leftChars="0" w:right="-733" w:rightChars="-349"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23"/>
        <w:spacing w:line="360" w:lineRule="auto"/>
        <w:ind w:left="0" w:leftChars="0" w:right="-512" w:rightChars="-244"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3"/>
        <w:rPr>
          <w:rFonts w:hint="eastAsia" w:ascii="仿宋" w:hAnsi="仿宋" w:eastAsia="仿宋" w:cs="仿宋"/>
          <w:color w:val="000000"/>
          <w:highlight w:val="none"/>
        </w:rPr>
      </w:pPr>
    </w:p>
    <w:p w14:paraId="25D19A98">
      <w:pPr>
        <w:pStyle w:val="23"/>
        <w:ind w:left="0" w:leftChars="0" w:firstLine="0" w:firstLineChars="0"/>
        <w:rPr>
          <w:rFonts w:hint="eastAsia" w:ascii="仿宋" w:hAnsi="仿宋" w:eastAsia="仿宋" w:cs="仿宋"/>
          <w:color w:val="000000"/>
          <w:sz w:val="24"/>
          <w:szCs w:val="24"/>
          <w:highlight w:val="none"/>
        </w:rPr>
      </w:pPr>
    </w:p>
    <w:p w14:paraId="62C32D41">
      <w:pPr>
        <w:pStyle w:val="23"/>
        <w:ind w:left="0" w:leftChars="0" w:firstLine="0" w:firstLineChars="0"/>
        <w:rPr>
          <w:rFonts w:hint="eastAsia" w:ascii="仿宋" w:hAnsi="仿宋" w:eastAsia="仿宋" w:cs="仿宋"/>
          <w:color w:val="000000"/>
          <w:sz w:val="24"/>
          <w:szCs w:val="24"/>
          <w:highlight w:val="none"/>
        </w:rPr>
      </w:pPr>
    </w:p>
    <w:p w14:paraId="775CADAE">
      <w:pPr>
        <w:pStyle w:val="23"/>
        <w:ind w:firstLine="400"/>
        <w:rPr>
          <w:rFonts w:hint="eastAsia" w:ascii="仿宋" w:hAnsi="仿宋" w:eastAsia="仿宋" w:cs="仿宋"/>
          <w:color w:val="000000"/>
          <w:sz w:val="24"/>
          <w:szCs w:val="24"/>
          <w:highlight w:val="none"/>
        </w:rPr>
      </w:pPr>
    </w:p>
    <w:p w14:paraId="12BC972F">
      <w:pPr>
        <w:pStyle w:val="23"/>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3"/>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3"/>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3"/>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75"/>
    <w:p w14:paraId="0CA229B1">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首次</w:t>
      </w:r>
      <w:r>
        <w:rPr>
          <w:rFonts w:hint="eastAsia" w:ascii="仿宋" w:hAnsi="仿宋" w:eastAsia="仿宋" w:cs="仿宋"/>
          <w:b/>
          <w:bCs/>
          <w:color w:val="000000"/>
          <w:sz w:val="32"/>
          <w:szCs w:val="32"/>
          <w:highlight w:val="none"/>
          <w:lang w:eastAsia="zh-CN"/>
        </w:rPr>
        <w:t>报价一览表</w:t>
      </w:r>
    </w:p>
    <w:tbl>
      <w:tblPr>
        <w:tblStyle w:val="16"/>
        <w:tblW w:w="0" w:type="auto"/>
        <w:jc w:val="center"/>
        <w:tblLayout w:type="autofit"/>
        <w:tblCellMar>
          <w:top w:w="0" w:type="dxa"/>
          <w:left w:w="108" w:type="dxa"/>
          <w:bottom w:w="0" w:type="dxa"/>
          <w:right w:w="108" w:type="dxa"/>
        </w:tblCellMar>
      </w:tblPr>
      <w:tblGrid>
        <w:gridCol w:w="1548"/>
        <w:gridCol w:w="2560"/>
        <w:gridCol w:w="1506"/>
        <w:gridCol w:w="2908"/>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中山大学孙逸仙纪念医院南北院区病房电视服务套餐采购项目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549898F9">
      <w:pPr>
        <w:rPr>
          <w:highlight w:val="none"/>
        </w:rPr>
      </w:pPr>
    </w:p>
    <w:tbl>
      <w:tblPr>
        <w:tblStyle w:val="16"/>
        <w:tblpPr w:leftFromText="180" w:rightFromText="180" w:vertAnchor="text" w:horzAnchor="page" w:tblpXSpec="center" w:tblpY="295"/>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81"/>
        <w:gridCol w:w="1190"/>
        <w:gridCol w:w="690"/>
        <w:gridCol w:w="2331"/>
        <w:gridCol w:w="225"/>
        <w:gridCol w:w="2218"/>
      </w:tblGrid>
      <w:tr w14:paraId="5D47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7" w:type="dxa"/>
            <w:vAlign w:val="center"/>
          </w:tcPr>
          <w:p w14:paraId="33872B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序号</w:t>
            </w:r>
          </w:p>
        </w:tc>
        <w:tc>
          <w:tcPr>
            <w:tcW w:w="2671" w:type="dxa"/>
            <w:gridSpan w:val="2"/>
            <w:vAlign w:val="center"/>
          </w:tcPr>
          <w:p w14:paraId="20E1F9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套餐内容</w:t>
            </w:r>
          </w:p>
        </w:tc>
        <w:tc>
          <w:tcPr>
            <w:tcW w:w="3021" w:type="dxa"/>
            <w:gridSpan w:val="2"/>
          </w:tcPr>
          <w:p w14:paraId="4C89FC2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套餐单项报价</w:t>
            </w:r>
          </w:p>
        </w:tc>
        <w:tc>
          <w:tcPr>
            <w:tcW w:w="2443" w:type="dxa"/>
            <w:gridSpan w:val="2"/>
          </w:tcPr>
          <w:p w14:paraId="47D994C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收视点位数</w:t>
            </w:r>
          </w:p>
        </w:tc>
      </w:tr>
      <w:tr w14:paraId="2AE5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vAlign w:val="center"/>
          </w:tcPr>
          <w:p w14:paraId="2F8C6BE0">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w:t>
            </w:r>
          </w:p>
        </w:tc>
        <w:tc>
          <w:tcPr>
            <w:tcW w:w="2671" w:type="dxa"/>
            <w:gridSpan w:val="2"/>
            <w:vAlign w:val="center"/>
          </w:tcPr>
          <w:p w14:paraId="59F74C56">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病房电视收视服务</w:t>
            </w:r>
          </w:p>
        </w:tc>
        <w:tc>
          <w:tcPr>
            <w:tcW w:w="3021" w:type="dxa"/>
            <w:gridSpan w:val="2"/>
            <w:vAlign w:val="center"/>
          </w:tcPr>
          <w:p w14:paraId="3E23326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元/点位/月</w:t>
            </w:r>
          </w:p>
        </w:tc>
        <w:tc>
          <w:tcPr>
            <w:tcW w:w="2443" w:type="dxa"/>
            <w:gridSpan w:val="2"/>
            <w:vMerge w:val="restart"/>
            <w:vAlign w:val="center"/>
          </w:tcPr>
          <w:p w14:paraId="170AD40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8"/>
                <w:lang w:val="en-US" w:eastAsia="zh-CN"/>
              </w:rPr>
              <w:t>911</w:t>
            </w:r>
            <w:r>
              <w:rPr>
                <w:rFonts w:hint="eastAsia" w:ascii="仿宋" w:hAnsi="仿宋" w:eastAsia="仿宋" w:cs="仿宋"/>
                <w:sz w:val="24"/>
                <w:szCs w:val="28"/>
              </w:rPr>
              <w:t>个</w:t>
            </w:r>
          </w:p>
        </w:tc>
      </w:tr>
      <w:tr w14:paraId="5894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7" w:type="dxa"/>
            <w:vAlign w:val="center"/>
          </w:tcPr>
          <w:p w14:paraId="7FF90DFA">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2</w:t>
            </w:r>
          </w:p>
        </w:tc>
        <w:tc>
          <w:tcPr>
            <w:tcW w:w="2671" w:type="dxa"/>
            <w:gridSpan w:val="2"/>
            <w:vAlign w:val="center"/>
          </w:tcPr>
          <w:p w14:paraId="136AD9A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电视界面优化定制</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服务</w:t>
            </w:r>
          </w:p>
        </w:tc>
        <w:tc>
          <w:tcPr>
            <w:tcW w:w="3021" w:type="dxa"/>
            <w:gridSpan w:val="2"/>
            <w:vAlign w:val="center"/>
          </w:tcPr>
          <w:p w14:paraId="3A10C2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29" w:rightChars="-14"/>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元/月</w:t>
            </w:r>
          </w:p>
        </w:tc>
        <w:tc>
          <w:tcPr>
            <w:tcW w:w="2443" w:type="dxa"/>
            <w:gridSpan w:val="2"/>
            <w:vMerge w:val="continue"/>
            <w:vAlign w:val="center"/>
          </w:tcPr>
          <w:p w14:paraId="15BE073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6486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408" w:type="dxa"/>
            <w:gridSpan w:val="3"/>
            <w:vAlign w:val="center"/>
          </w:tcPr>
          <w:p w14:paraId="2CA68F21">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每月报</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价</w:t>
            </w:r>
          </w:p>
          <w:p w14:paraId="08A26EB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（单位：人民币）</w:t>
            </w:r>
          </w:p>
        </w:tc>
        <w:tc>
          <w:tcPr>
            <w:tcW w:w="5464" w:type="dxa"/>
            <w:gridSpan w:val="4"/>
            <w:vAlign w:val="center"/>
          </w:tcPr>
          <w:p w14:paraId="6289DA9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大写</w:t>
            </w: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w:t>
            </w:r>
          </w:p>
          <w:p w14:paraId="2B2501D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小写</w:t>
            </w: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w:t>
            </w:r>
          </w:p>
        </w:tc>
      </w:tr>
      <w:tr w14:paraId="2135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72" w:type="dxa"/>
            <w:gridSpan w:val="7"/>
            <w:vAlign w:val="center"/>
          </w:tcPr>
          <w:p w14:paraId="0EE951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bCs w:val="0"/>
                <w:color w:val="000000" w:themeColor="text1"/>
                <w:sz w:val="24"/>
                <w:szCs w:val="24"/>
                <w:highlight w:val="none"/>
                <w:vertAlign w:val="baseline"/>
                <w14:textFill>
                  <w14:solidFill>
                    <w14:schemeClr w14:val="tx1"/>
                  </w14:solidFill>
                </w14:textFill>
              </w:rPr>
              <w:t>新增点位报价情况（下列报价不列入报价总价内）</w:t>
            </w:r>
          </w:p>
        </w:tc>
      </w:tr>
      <w:tr w14:paraId="4600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Align w:val="center"/>
          </w:tcPr>
          <w:p w14:paraId="05037A9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分项</w:t>
            </w:r>
          </w:p>
        </w:tc>
        <w:tc>
          <w:tcPr>
            <w:tcW w:w="1880" w:type="dxa"/>
            <w:gridSpan w:val="2"/>
            <w:vAlign w:val="center"/>
          </w:tcPr>
          <w:p w14:paraId="1D8142F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名称</w:t>
            </w:r>
          </w:p>
        </w:tc>
        <w:tc>
          <w:tcPr>
            <w:tcW w:w="2556" w:type="dxa"/>
            <w:gridSpan w:val="2"/>
            <w:vAlign w:val="center"/>
          </w:tcPr>
          <w:p w14:paraId="2A99C6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品牌规格型号</w:t>
            </w:r>
          </w:p>
        </w:tc>
        <w:tc>
          <w:tcPr>
            <w:tcW w:w="2218" w:type="dxa"/>
            <w:vAlign w:val="center"/>
          </w:tcPr>
          <w:p w14:paraId="6F131FB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报价</w:t>
            </w:r>
          </w:p>
        </w:tc>
      </w:tr>
      <w:tr w14:paraId="7ED1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Merge w:val="restart"/>
            <w:vAlign w:val="center"/>
          </w:tcPr>
          <w:p w14:paraId="5385B0F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病房新增收视点位（光纤接入）费用</w:t>
            </w:r>
          </w:p>
        </w:tc>
        <w:tc>
          <w:tcPr>
            <w:tcW w:w="1880" w:type="dxa"/>
            <w:gridSpan w:val="2"/>
            <w:vAlign w:val="center"/>
          </w:tcPr>
          <w:p w14:paraId="0CF3F5E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设备机顶盒</w:t>
            </w:r>
          </w:p>
        </w:tc>
        <w:tc>
          <w:tcPr>
            <w:tcW w:w="2556" w:type="dxa"/>
            <w:gridSpan w:val="2"/>
            <w:vAlign w:val="center"/>
          </w:tcPr>
          <w:p w14:paraId="4316A43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6C962E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r w14:paraId="3624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Merge w:val="continue"/>
            <w:vAlign w:val="center"/>
          </w:tcPr>
          <w:p w14:paraId="749F183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880" w:type="dxa"/>
            <w:gridSpan w:val="2"/>
            <w:vAlign w:val="center"/>
          </w:tcPr>
          <w:p w14:paraId="7CCD9CF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光调制解调器</w:t>
            </w:r>
          </w:p>
        </w:tc>
        <w:tc>
          <w:tcPr>
            <w:tcW w:w="2556" w:type="dxa"/>
            <w:gridSpan w:val="2"/>
            <w:vAlign w:val="center"/>
          </w:tcPr>
          <w:p w14:paraId="58D1CA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46A1037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bl>
    <w:p w14:paraId="5747C601">
      <w:pPr>
        <w:pStyle w:val="23"/>
        <w:rPr>
          <w:rFonts w:hint="eastAsia" w:ascii="仿宋" w:hAnsi="仿宋" w:eastAsia="仿宋" w:cs="仿宋"/>
          <w:color w:val="000000"/>
          <w:sz w:val="21"/>
          <w:szCs w:val="21"/>
          <w:highlight w:val="none"/>
        </w:rPr>
      </w:pPr>
    </w:p>
    <w:p w14:paraId="6ADA619F">
      <w:pPr>
        <w:pStyle w:val="23"/>
        <w:rPr>
          <w:rFonts w:hint="eastAsia" w:ascii="仿宋" w:hAnsi="仿宋" w:eastAsia="仿宋" w:cs="仿宋"/>
          <w:color w:val="000000"/>
          <w:sz w:val="21"/>
          <w:szCs w:val="21"/>
          <w:highlight w:val="none"/>
        </w:rPr>
      </w:pPr>
    </w:p>
    <w:p w14:paraId="5BB77875">
      <w:pPr>
        <w:pStyle w:val="23"/>
        <w:rPr>
          <w:rFonts w:hint="eastAsia" w:ascii="仿宋" w:hAnsi="仿宋" w:eastAsia="仿宋" w:cs="仿宋"/>
          <w:color w:val="000000"/>
          <w:sz w:val="21"/>
          <w:szCs w:val="21"/>
          <w:highlight w:val="none"/>
        </w:rPr>
      </w:pPr>
    </w:p>
    <w:p w14:paraId="7AFB3EA7">
      <w:pPr>
        <w:pStyle w:val="23"/>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24D438CF">
      <w:pPr>
        <w:pStyle w:val="23"/>
        <w:rPr>
          <w:rFonts w:hint="eastAsia" w:ascii="仿宋" w:hAnsi="仿宋" w:eastAsia="仿宋" w:cs="仿宋"/>
          <w:color w:val="FF0000"/>
          <w:sz w:val="21"/>
          <w:szCs w:val="21"/>
          <w:highlight w:val="none"/>
        </w:rPr>
      </w:pPr>
      <w:r>
        <w:rPr>
          <w:rFonts w:hint="eastAsia" w:ascii="仿宋" w:hAnsi="仿宋" w:eastAsia="仿宋" w:cs="仿宋"/>
          <w:color w:val="FF0000"/>
          <w:sz w:val="21"/>
          <w:szCs w:val="21"/>
          <w:highlight w:val="none"/>
        </w:rPr>
        <w:t>2、</w:t>
      </w:r>
      <w:r>
        <w:rPr>
          <w:rFonts w:hint="eastAsia" w:ascii="仿宋" w:hAnsi="仿宋" w:eastAsia="仿宋" w:cs="仿宋"/>
          <w:b/>
          <w:bCs/>
          <w:color w:val="FF0000"/>
          <w:sz w:val="21"/>
          <w:szCs w:val="21"/>
          <w:highlight w:val="none"/>
          <w:lang w:val="en-US" w:eastAsia="zh-CN"/>
        </w:rPr>
        <w:t>本报价表的</w:t>
      </w:r>
      <w:r>
        <w:rPr>
          <w:rFonts w:hint="eastAsia" w:ascii="仿宋" w:hAnsi="仿宋" w:eastAsia="仿宋" w:cs="仿宋"/>
          <w:color w:val="FF0000"/>
          <w:sz w:val="21"/>
          <w:szCs w:val="21"/>
          <w:highlight w:val="none"/>
          <w:lang w:val="en-US" w:eastAsia="zh-CN"/>
        </w:rPr>
        <w:t>“</w:t>
      </w:r>
      <w:r>
        <w:rPr>
          <w:rFonts w:hint="eastAsia" w:ascii="仿宋" w:hAnsi="仿宋" w:eastAsia="仿宋" w:cs="仿宋"/>
          <w:b/>
          <w:bCs/>
          <w:color w:val="FF0000"/>
          <w:sz w:val="21"/>
          <w:szCs w:val="21"/>
          <w:highlight w:val="none"/>
          <w:lang w:val="en-US" w:eastAsia="zh-CN"/>
        </w:rPr>
        <w:t>每月报</w:t>
      </w:r>
      <w:r>
        <w:rPr>
          <w:rFonts w:hint="eastAsia" w:ascii="仿宋" w:hAnsi="仿宋" w:eastAsia="仿宋" w:cs="仿宋"/>
          <w:b/>
          <w:bCs/>
          <w:color w:val="FF0000"/>
          <w:sz w:val="21"/>
          <w:szCs w:val="21"/>
          <w:highlight w:val="none"/>
        </w:rPr>
        <w:t>价</w:t>
      </w:r>
      <w:r>
        <w:rPr>
          <w:rFonts w:hint="eastAsia" w:ascii="仿宋" w:hAnsi="仿宋" w:eastAsia="仿宋" w:cs="仿宋"/>
          <w:color w:val="FF0000"/>
          <w:sz w:val="21"/>
          <w:szCs w:val="21"/>
          <w:highlight w:val="none"/>
          <w:lang w:val="en-US" w:eastAsia="zh-CN"/>
        </w:rPr>
        <w:t>”</w:t>
      </w:r>
      <w:r>
        <w:rPr>
          <w:rFonts w:hint="eastAsia" w:ascii="仿宋" w:hAnsi="仿宋" w:eastAsia="仿宋" w:cs="仿宋"/>
          <w:b/>
          <w:bCs/>
          <w:color w:val="FF0000"/>
          <w:sz w:val="21"/>
          <w:szCs w:val="21"/>
          <w:highlight w:val="none"/>
        </w:rPr>
        <w:t>=病房电视收视服务</w:t>
      </w:r>
      <w:r>
        <w:rPr>
          <w:rFonts w:hint="eastAsia" w:ascii="仿宋" w:hAnsi="仿宋" w:eastAsia="仿宋" w:cs="仿宋"/>
          <w:b/>
          <w:bCs/>
          <w:color w:val="FF0000"/>
          <w:sz w:val="21"/>
          <w:szCs w:val="21"/>
          <w:highlight w:val="none"/>
          <w:lang w:val="en-US" w:eastAsia="zh-CN"/>
        </w:rPr>
        <w:t>单项</w:t>
      </w:r>
      <w:r>
        <w:rPr>
          <w:rFonts w:hint="eastAsia" w:ascii="仿宋" w:hAnsi="仿宋" w:eastAsia="仿宋" w:cs="仿宋"/>
          <w:b/>
          <w:bCs/>
          <w:color w:val="FF0000"/>
          <w:sz w:val="21"/>
          <w:szCs w:val="21"/>
          <w:highlight w:val="none"/>
        </w:rPr>
        <w:t>报价×</w:t>
      </w:r>
      <w:r>
        <w:rPr>
          <w:rFonts w:hint="eastAsia" w:ascii="仿宋" w:hAnsi="仿宋" w:eastAsia="仿宋" w:cs="仿宋"/>
          <w:b/>
          <w:bCs/>
          <w:color w:val="FF0000"/>
          <w:sz w:val="21"/>
          <w:szCs w:val="21"/>
          <w:highlight w:val="none"/>
          <w:lang w:val="en-US" w:eastAsia="zh-CN"/>
        </w:rPr>
        <w:t>911</w:t>
      </w:r>
      <w:r>
        <w:rPr>
          <w:rFonts w:hint="eastAsia" w:ascii="仿宋" w:hAnsi="仿宋" w:eastAsia="仿宋" w:cs="仿宋"/>
          <w:b/>
          <w:bCs/>
          <w:color w:val="FF0000"/>
          <w:sz w:val="21"/>
          <w:szCs w:val="21"/>
          <w:highlight w:val="none"/>
        </w:rPr>
        <w:t>个收视点位+电视界面优化定制服务</w:t>
      </w:r>
      <w:r>
        <w:rPr>
          <w:rFonts w:hint="eastAsia" w:ascii="仿宋" w:hAnsi="仿宋" w:eastAsia="仿宋" w:cs="仿宋"/>
          <w:b/>
          <w:bCs/>
          <w:color w:val="FF0000"/>
          <w:sz w:val="21"/>
          <w:szCs w:val="21"/>
          <w:highlight w:val="none"/>
          <w:lang w:val="en-US" w:eastAsia="zh-CN"/>
        </w:rPr>
        <w:t>单项</w:t>
      </w:r>
      <w:r>
        <w:rPr>
          <w:rFonts w:hint="eastAsia" w:ascii="仿宋" w:hAnsi="仿宋" w:eastAsia="仿宋" w:cs="仿宋"/>
          <w:b/>
          <w:bCs/>
          <w:color w:val="FF0000"/>
          <w:sz w:val="21"/>
          <w:szCs w:val="21"/>
          <w:highlight w:val="none"/>
        </w:rPr>
        <w:t>报价</w:t>
      </w:r>
      <w:r>
        <w:rPr>
          <w:rFonts w:hint="eastAsia" w:ascii="仿宋" w:hAnsi="仿宋" w:eastAsia="仿宋" w:cs="仿宋"/>
          <w:b/>
          <w:bCs/>
          <w:color w:val="FF0000"/>
          <w:sz w:val="21"/>
          <w:szCs w:val="21"/>
          <w:highlight w:val="none"/>
          <w:lang w:eastAsia="zh-CN"/>
        </w:rPr>
        <w:t>，</w:t>
      </w:r>
      <w:r>
        <w:rPr>
          <w:rFonts w:hint="eastAsia" w:ascii="仿宋" w:hAnsi="仿宋" w:eastAsia="仿宋" w:cs="仿宋"/>
          <w:b/>
          <w:bCs/>
          <w:color w:val="FF0000"/>
          <w:sz w:val="21"/>
          <w:szCs w:val="21"/>
          <w:highlight w:val="none"/>
          <w:lang w:val="en-US" w:eastAsia="zh-CN"/>
        </w:rPr>
        <w:t>本</w:t>
      </w:r>
      <w:r>
        <w:rPr>
          <w:rFonts w:hint="eastAsia" w:ascii="仿宋" w:hAnsi="仿宋" w:eastAsia="仿宋" w:cs="仿宋"/>
          <w:color w:val="FF0000"/>
          <w:sz w:val="21"/>
          <w:szCs w:val="21"/>
          <w:highlight w:val="none"/>
          <w:lang w:val="en-US" w:eastAsia="zh-CN"/>
        </w:rPr>
        <w:t>“</w:t>
      </w:r>
      <w:r>
        <w:rPr>
          <w:rFonts w:hint="eastAsia" w:ascii="仿宋" w:hAnsi="仿宋" w:eastAsia="仿宋" w:cs="仿宋"/>
          <w:b/>
          <w:bCs/>
          <w:color w:val="FF0000"/>
          <w:sz w:val="21"/>
          <w:szCs w:val="21"/>
          <w:highlight w:val="none"/>
          <w:lang w:val="en-US" w:eastAsia="zh-CN"/>
        </w:rPr>
        <w:t>每月报</w:t>
      </w:r>
      <w:r>
        <w:rPr>
          <w:rFonts w:hint="eastAsia" w:ascii="仿宋" w:hAnsi="仿宋" w:eastAsia="仿宋" w:cs="仿宋"/>
          <w:b/>
          <w:bCs/>
          <w:color w:val="FF0000"/>
          <w:sz w:val="21"/>
          <w:szCs w:val="21"/>
          <w:highlight w:val="none"/>
        </w:rPr>
        <w:t>价</w:t>
      </w:r>
      <w:r>
        <w:rPr>
          <w:rFonts w:hint="eastAsia" w:ascii="仿宋" w:hAnsi="仿宋" w:eastAsia="仿宋" w:cs="仿宋"/>
          <w:color w:val="FF0000"/>
          <w:sz w:val="21"/>
          <w:szCs w:val="21"/>
          <w:highlight w:val="none"/>
          <w:lang w:val="en-US" w:eastAsia="zh-CN"/>
        </w:rPr>
        <w:t>”</w:t>
      </w:r>
      <w:r>
        <w:rPr>
          <w:rFonts w:hint="eastAsia" w:ascii="仿宋" w:hAnsi="仿宋" w:eastAsia="仿宋" w:cs="仿宋"/>
          <w:b/>
          <w:bCs/>
          <w:color w:val="FF0000"/>
          <w:sz w:val="21"/>
          <w:szCs w:val="21"/>
          <w:highlight w:val="none"/>
          <w:lang w:val="en-US" w:eastAsia="zh-CN"/>
        </w:rPr>
        <w:t>仅作为价格评审之用</w:t>
      </w:r>
      <w:r>
        <w:rPr>
          <w:rFonts w:hint="eastAsia" w:ascii="仿宋" w:hAnsi="仿宋" w:eastAsia="仿宋" w:cs="仿宋"/>
          <w:b/>
          <w:bCs/>
          <w:color w:val="FF0000"/>
          <w:sz w:val="21"/>
          <w:szCs w:val="21"/>
          <w:highlight w:val="none"/>
        </w:rPr>
        <w:t>。</w:t>
      </w:r>
    </w:p>
    <w:p w14:paraId="70BD23D2">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3、报价应为响应人完成服务内容所需费用的含税价（包括但不限于人工、保险、伴随服务、拟投入设备及材料、各类税费以及合同包含的所有风险、责任等各项应有费用）。</w:t>
      </w:r>
    </w:p>
    <w:p w14:paraId="5ACCBCF1">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4、“新增点位报价情况”的报价作为本项目外的有偿服务内容的收费依据，纳入到合同附件之一。</w:t>
      </w:r>
    </w:p>
    <w:p w14:paraId="002CBBFC">
      <w:pPr>
        <w:pStyle w:val="23"/>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此表是响应文件的必要组成文件。</w:t>
      </w:r>
    </w:p>
    <w:p w14:paraId="09AC4C68">
      <w:pPr>
        <w:pStyle w:val="23"/>
        <w:rPr>
          <w:rFonts w:hint="eastAsia" w:ascii="仿宋" w:hAnsi="仿宋" w:eastAsia="仿宋" w:cs="仿宋"/>
          <w:color w:val="000000"/>
          <w:highlight w:val="none"/>
        </w:rPr>
      </w:pPr>
    </w:p>
    <w:p w14:paraId="0AD0154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93A5B53">
      <w:pPr>
        <w:pageBreakBefore w:val="0"/>
        <w:kinsoku/>
        <w:wordWrap/>
        <w:overflowPunct/>
        <w:topLinePunct w:val="0"/>
        <w:bidi w:val="0"/>
        <w:spacing w:line="360" w:lineRule="auto"/>
        <w:ind w:right="0" w:rightChars="0"/>
        <w:jc w:val="center"/>
        <w:rPr>
          <w:rFonts w:hint="eastAsia"/>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5B8C6AB5">
      <w:pPr>
        <w:widowControl w:val="0"/>
        <w:numPr>
          <w:ilvl w:val="0"/>
          <w:numId w:val="13"/>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最终报价一览</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14:paraId="47AC5DF0">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6"/>
        <w:tblW w:w="0" w:type="auto"/>
        <w:jc w:val="center"/>
        <w:tblLayout w:type="autofit"/>
        <w:tblCellMar>
          <w:top w:w="0" w:type="dxa"/>
          <w:left w:w="108" w:type="dxa"/>
          <w:bottom w:w="0" w:type="dxa"/>
          <w:right w:w="108" w:type="dxa"/>
        </w:tblCellMar>
      </w:tblPr>
      <w:tblGrid>
        <w:gridCol w:w="1535"/>
        <w:gridCol w:w="6987"/>
      </w:tblGrid>
      <w:tr w14:paraId="0701914C">
        <w:tblPrEx>
          <w:tblCellMar>
            <w:top w:w="0" w:type="dxa"/>
            <w:left w:w="108" w:type="dxa"/>
            <w:bottom w:w="0" w:type="dxa"/>
            <w:right w:w="108" w:type="dxa"/>
          </w:tblCellMar>
        </w:tblPrEx>
        <w:trPr>
          <w:jc w:val="center"/>
        </w:trPr>
        <w:tc>
          <w:tcPr>
            <w:tcW w:w="1560" w:type="dxa"/>
            <w:vAlign w:val="bottom"/>
          </w:tcPr>
          <w:p w14:paraId="0E67669D">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7182" w:type="dxa"/>
            <w:tcBorders>
              <w:top w:val="nil"/>
              <w:left w:val="nil"/>
              <w:bottom w:val="single" w:color="auto" w:sz="4" w:space="0"/>
              <w:right w:val="nil"/>
            </w:tcBorders>
            <w:vAlign w:val="bottom"/>
          </w:tcPr>
          <w:p w14:paraId="1CC5DACB">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sz w:val="24"/>
                <w:szCs w:val="32"/>
                <w:highlight w:val="none"/>
                <w:lang w:eastAsia="zh-CN"/>
              </w:rPr>
              <w:t>中山大学孙逸仙纪念医院南北院区病房电视服务套餐采购项目</w:t>
            </w:r>
          </w:p>
        </w:tc>
      </w:tr>
    </w:tbl>
    <w:p w14:paraId="651987A8">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14:paraId="36264DA7">
      <w:pPr>
        <w:rPr>
          <w:highlight w:val="none"/>
        </w:rPr>
      </w:pPr>
    </w:p>
    <w:tbl>
      <w:tblPr>
        <w:tblStyle w:val="16"/>
        <w:tblpPr w:leftFromText="180" w:rightFromText="180" w:vertAnchor="text" w:horzAnchor="page" w:tblpXSpec="center" w:tblpY="295"/>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81"/>
        <w:gridCol w:w="1190"/>
        <w:gridCol w:w="690"/>
        <w:gridCol w:w="2331"/>
        <w:gridCol w:w="225"/>
        <w:gridCol w:w="2218"/>
      </w:tblGrid>
      <w:tr w14:paraId="4C75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7" w:type="dxa"/>
            <w:vAlign w:val="center"/>
          </w:tcPr>
          <w:p w14:paraId="59B7D3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序号</w:t>
            </w:r>
          </w:p>
        </w:tc>
        <w:tc>
          <w:tcPr>
            <w:tcW w:w="2671" w:type="dxa"/>
            <w:gridSpan w:val="2"/>
            <w:vAlign w:val="center"/>
          </w:tcPr>
          <w:p w14:paraId="7B057EE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套餐内容</w:t>
            </w:r>
          </w:p>
        </w:tc>
        <w:tc>
          <w:tcPr>
            <w:tcW w:w="3021" w:type="dxa"/>
            <w:gridSpan w:val="2"/>
          </w:tcPr>
          <w:p w14:paraId="5516642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套餐单项报价</w:t>
            </w:r>
          </w:p>
        </w:tc>
        <w:tc>
          <w:tcPr>
            <w:tcW w:w="2443" w:type="dxa"/>
            <w:gridSpan w:val="2"/>
          </w:tcPr>
          <w:p w14:paraId="178121E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收视点位数</w:t>
            </w:r>
          </w:p>
        </w:tc>
      </w:tr>
      <w:tr w14:paraId="7A2D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vAlign w:val="center"/>
          </w:tcPr>
          <w:p w14:paraId="3E34DD32">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w:t>
            </w:r>
          </w:p>
        </w:tc>
        <w:tc>
          <w:tcPr>
            <w:tcW w:w="2671" w:type="dxa"/>
            <w:gridSpan w:val="2"/>
            <w:vAlign w:val="center"/>
          </w:tcPr>
          <w:p w14:paraId="3B839D3D">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病房电视收视服务</w:t>
            </w:r>
          </w:p>
        </w:tc>
        <w:tc>
          <w:tcPr>
            <w:tcW w:w="3021" w:type="dxa"/>
            <w:gridSpan w:val="2"/>
            <w:vAlign w:val="center"/>
          </w:tcPr>
          <w:p w14:paraId="086051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元/点位/月</w:t>
            </w:r>
          </w:p>
        </w:tc>
        <w:tc>
          <w:tcPr>
            <w:tcW w:w="2443" w:type="dxa"/>
            <w:gridSpan w:val="2"/>
            <w:vMerge w:val="restart"/>
            <w:vAlign w:val="center"/>
          </w:tcPr>
          <w:p w14:paraId="5EA5227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8"/>
                <w:lang w:val="en-US" w:eastAsia="zh-CN"/>
              </w:rPr>
              <w:t>911</w:t>
            </w:r>
            <w:r>
              <w:rPr>
                <w:rFonts w:hint="eastAsia" w:ascii="仿宋" w:hAnsi="仿宋" w:eastAsia="仿宋" w:cs="仿宋"/>
                <w:sz w:val="24"/>
                <w:szCs w:val="28"/>
              </w:rPr>
              <w:t>个</w:t>
            </w:r>
          </w:p>
        </w:tc>
      </w:tr>
      <w:tr w14:paraId="516B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7" w:type="dxa"/>
            <w:vAlign w:val="center"/>
          </w:tcPr>
          <w:p w14:paraId="083C2519">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2</w:t>
            </w:r>
          </w:p>
        </w:tc>
        <w:tc>
          <w:tcPr>
            <w:tcW w:w="2671" w:type="dxa"/>
            <w:gridSpan w:val="2"/>
            <w:vAlign w:val="center"/>
          </w:tcPr>
          <w:p w14:paraId="0F43EF47">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电视界面优化定制</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服务</w:t>
            </w:r>
          </w:p>
        </w:tc>
        <w:tc>
          <w:tcPr>
            <w:tcW w:w="3021" w:type="dxa"/>
            <w:gridSpan w:val="2"/>
            <w:vAlign w:val="center"/>
          </w:tcPr>
          <w:p w14:paraId="74300F1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29" w:rightChars="-14"/>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元/月</w:t>
            </w:r>
          </w:p>
        </w:tc>
        <w:tc>
          <w:tcPr>
            <w:tcW w:w="2443" w:type="dxa"/>
            <w:gridSpan w:val="2"/>
            <w:vMerge w:val="continue"/>
            <w:vAlign w:val="center"/>
          </w:tcPr>
          <w:p w14:paraId="4452EB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3AF0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408" w:type="dxa"/>
            <w:gridSpan w:val="3"/>
            <w:vAlign w:val="center"/>
          </w:tcPr>
          <w:p w14:paraId="106C50F0">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每月报</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价</w:t>
            </w:r>
          </w:p>
          <w:p w14:paraId="56FE60A4">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（单位：人民币）</w:t>
            </w:r>
          </w:p>
        </w:tc>
        <w:tc>
          <w:tcPr>
            <w:tcW w:w="5464" w:type="dxa"/>
            <w:gridSpan w:val="4"/>
            <w:vAlign w:val="center"/>
          </w:tcPr>
          <w:p w14:paraId="44942CE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大写</w:t>
            </w: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w:t>
            </w:r>
          </w:p>
          <w:p w14:paraId="24F214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小写</w:t>
            </w: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w:t>
            </w:r>
          </w:p>
        </w:tc>
      </w:tr>
      <w:tr w14:paraId="7FA1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72" w:type="dxa"/>
            <w:gridSpan w:val="7"/>
            <w:vAlign w:val="center"/>
          </w:tcPr>
          <w:p w14:paraId="38F805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bCs w:val="0"/>
                <w:color w:val="000000" w:themeColor="text1"/>
                <w:sz w:val="24"/>
                <w:szCs w:val="24"/>
                <w:highlight w:val="none"/>
                <w:vertAlign w:val="baseline"/>
                <w14:textFill>
                  <w14:solidFill>
                    <w14:schemeClr w14:val="tx1"/>
                  </w14:solidFill>
                </w14:textFill>
              </w:rPr>
              <w:t>新增点位报价情况（下列报价不列入报价总价内）</w:t>
            </w:r>
          </w:p>
        </w:tc>
      </w:tr>
      <w:tr w14:paraId="5467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Align w:val="center"/>
          </w:tcPr>
          <w:p w14:paraId="679EC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分项</w:t>
            </w:r>
          </w:p>
        </w:tc>
        <w:tc>
          <w:tcPr>
            <w:tcW w:w="1880" w:type="dxa"/>
            <w:gridSpan w:val="2"/>
            <w:vAlign w:val="center"/>
          </w:tcPr>
          <w:p w14:paraId="014BBBC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名称</w:t>
            </w:r>
          </w:p>
        </w:tc>
        <w:tc>
          <w:tcPr>
            <w:tcW w:w="2556" w:type="dxa"/>
            <w:gridSpan w:val="2"/>
            <w:vAlign w:val="center"/>
          </w:tcPr>
          <w:p w14:paraId="534AEC6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品牌规格型号</w:t>
            </w:r>
          </w:p>
        </w:tc>
        <w:tc>
          <w:tcPr>
            <w:tcW w:w="2218" w:type="dxa"/>
            <w:vAlign w:val="center"/>
          </w:tcPr>
          <w:p w14:paraId="06E957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报价</w:t>
            </w:r>
          </w:p>
        </w:tc>
      </w:tr>
      <w:tr w14:paraId="30A1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Merge w:val="restart"/>
            <w:vAlign w:val="center"/>
          </w:tcPr>
          <w:p w14:paraId="3A0FAF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病房新增收视点位（光纤接入）费用</w:t>
            </w:r>
          </w:p>
        </w:tc>
        <w:tc>
          <w:tcPr>
            <w:tcW w:w="1880" w:type="dxa"/>
            <w:gridSpan w:val="2"/>
            <w:vAlign w:val="center"/>
          </w:tcPr>
          <w:p w14:paraId="4C6B42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设备机顶盒</w:t>
            </w:r>
          </w:p>
        </w:tc>
        <w:tc>
          <w:tcPr>
            <w:tcW w:w="2556" w:type="dxa"/>
            <w:gridSpan w:val="2"/>
            <w:vAlign w:val="center"/>
          </w:tcPr>
          <w:p w14:paraId="6552213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2387580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r w14:paraId="37B5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Merge w:val="continue"/>
            <w:vAlign w:val="center"/>
          </w:tcPr>
          <w:p w14:paraId="2018187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880" w:type="dxa"/>
            <w:gridSpan w:val="2"/>
            <w:vAlign w:val="center"/>
          </w:tcPr>
          <w:p w14:paraId="202FEFA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光调制解调器</w:t>
            </w:r>
          </w:p>
        </w:tc>
        <w:tc>
          <w:tcPr>
            <w:tcW w:w="2556" w:type="dxa"/>
            <w:gridSpan w:val="2"/>
            <w:vAlign w:val="center"/>
          </w:tcPr>
          <w:p w14:paraId="3958F1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14:paraId="480F531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bl>
    <w:p w14:paraId="6B771FA8">
      <w:pPr>
        <w:pStyle w:val="23"/>
        <w:rPr>
          <w:rFonts w:hint="eastAsia" w:ascii="仿宋" w:hAnsi="仿宋" w:eastAsia="仿宋" w:cs="仿宋"/>
          <w:color w:val="000000"/>
          <w:sz w:val="21"/>
          <w:szCs w:val="21"/>
          <w:highlight w:val="none"/>
        </w:rPr>
      </w:pPr>
    </w:p>
    <w:p w14:paraId="07A6D272">
      <w:pPr>
        <w:pStyle w:val="23"/>
        <w:rPr>
          <w:rFonts w:hint="eastAsia" w:ascii="仿宋" w:hAnsi="仿宋" w:eastAsia="仿宋" w:cs="仿宋"/>
          <w:color w:val="000000"/>
          <w:sz w:val="21"/>
          <w:szCs w:val="21"/>
          <w:highlight w:val="none"/>
        </w:rPr>
      </w:pPr>
    </w:p>
    <w:p w14:paraId="30E96EBA">
      <w:pPr>
        <w:pStyle w:val="23"/>
        <w:rPr>
          <w:rFonts w:hint="eastAsia" w:ascii="仿宋" w:hAnsi="仿宋" w:eastAsia="仿宋" w:cs="仿宋"/>
          <w:color w:val="000000"/>
          <w:sz w:val="21"/>
          <w:szCs w:val="21"/>
          <w:highlight w:val="none"/>
        </w:rPr>
      </w:pPr>
    </w:p>
    <w:p w14:paraId="085BEF61">
      <w:pPr>
        <w:pStyle w:val="23"/>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3DDB4166">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734EAF14">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lang w:val="en-US" w:eastAsia="zh-CN"/>
        </w:rPr>
        <w:t>本报价表的</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lang w:val="en-US" w:eastAsia="zh-CN"/>
        </w:rPr>
        <w:t>每月报</w:t>
      </w:r>
      <w:r>
        <w:rPr>
          <w:rFonts w:hint="eastAsia" w:ascii="仿宋" w:hAnsi="仿宋" w:eastAsia="仿宋" w:cs="仿宋"/>
          <w:b/>
          <w:bCs/>
          <w:color w:val="auto"/>
          <w:sz w:val="21"/>
          <w:szCs w:val="21"/>
          <w:highlight w:val="none"/>
        </w:rPr>
        <w:t>价</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rPr>
        <w:t>=病房电视收视服务</w:t>
      </w:r>
      <w:r>
        <w:rPr>
          <w:rFonts w:hint="eastAsia" w:ascii="仿宋" w:hAnsi="仿宋" w:eastAsia="仿宋" w:cs="仿宋"/>
          <w:b/>
          <w:bCs/>
          <w:color w:val="auto"/>
          <w:sz w:val="21"/>
          <w:szCs w:val="21"/>
          <w:highlight w:val="none"/>
          <w:lang w:val="en-US" w:eastAsia="zh-CN"/>
        </w:rPr>
        <w:t>单项</w:t>
      </w:r>
      <w:r>
        <w:rPr>
          <w:rFonts w:hint="eastAsia" w:ascii="仿宋" w:hAnsi="仿宋" w:eastAsia="仿宋" w:cs="仿宋"/>
          <w:b/>
          <w:bCs/>
          <w:color w:val="auto"/>
          <w:sz w:val="21"/>
          <w:szCs w:val="21"/>
          <w:highlight w:val="none"/>
        </w:rPr>
        <w:t>报价×</w:t>
      </w:r>
      <w:r>
        <w:rPr>
          <w:rFonts w:hint="eastAsia" w:ascii="仿宋" w:hAnsi="仿宋" w:eastAsia="仿宋" w:cs="仿宋"/>
          <w:b/>
          <w:bCs/>
          <w:color w:val="auto"/>
          <w:sz w:val="21"/>
          <w:szCs w:val="21"/>
          <w:highlight w:val="none"/>
          <w:lang w:val="en-US" w:eastAsia="zh-CN"/>
        </w:rPr>
        <w:t>911</w:t>
      </w:r>
      <w:r>
        <w:rPr>
          <w:rFonts w:hint="eastAsia" w:ascii="仿宋" w:hAnsi="仿宋" w:eastAsia="仿宋" w:cs="仿宋"/>
          <w:b/>
          <w:bCs/>
          <w:color w:val="auto"/>
          <w:sz w:val="21"/>
          <w:szCs w:val="21"/>
          <w:highlight w:val="none"/>
        </w:rPr>
        <w:t>个收视点位月+电视界面优化定制服务</w:t>
      </w:r>
      <w:r>
        <w:rPr>
          <w:rFonts w:hint="eastAsia" w:ascii="仿宋" w:hAnsi="仿宋" w:eastAsia="仿宋" w:cs="仿宋"/>
          <w:b/>
          <w:bCs/>
          <w:color w:val="auto"/>
          <w:sz w:val="21"/>
          <w:szCs w:val="21"/>
          <w:highlight w:val="none"/>
          <w:lang w:val="en-US" w:eastAsia="zh-CN"/>
        </w:rPr>
        <w:t>单项</w:t>
      </w:r>
      <w:r>
        <w:rPr>
          <w:rFonts w:hint="eastAsia" w:ascii="仿宋" w:hAnsi="仿宋" w:eastAsia="仿宋" w:cs="仿宋"/>
          <w:b/>
          <w:bCs/>
          <w:color w:val="auto"/>
          <w:sz w:val="21"/>
          <w:szCs w:val="21"/>
          <w:highlight w:val="none"/>
        </w:rPr>
        <w:t>报价</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本</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lang w:val="en-US" w:eastAsia="zh-CN"/>
        </w:rPr>
        <w:t>每月报</w:t>
      </w:r>
      <w:r>
        <w:rPr>
          <w:rFonts w:hint="eastAsia" w:ascii="仿宋" w:hAnsi="仿宋" w:eastAsia="仿宋" w:cs="仿宋"/>
          <w:b/>
          <w:bCs/>
          <w:color w:val="auto"/>
          <w:sz w:val="21"/>
          <w:szCs w:val="21"/>
          <w:highlight w:val="none"/>
        </w:rPr>
        <w:t>价</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color w:val="auto"/>
          <w:sz w:val="21"/>
          <w:szCs w:val="21"/>
          <w:highlight w:val="none"/>
          <w:lang w:val="en-US" w:eastAsia="zh-CN"/>
        </w:rPr>
        <w:t>仅作为价格评审之用</w:t>
      </w:r>
      <w:r>
        <w:rPr>
          <w:rFonts w:hint="eastAsia" w:ascii="仿宋" w:hAnsi="仿宋" w:eastAsia="仿宋" w:cs="仿宋"/>
          <w:b/>
          <w:bCs/>
          <w:color w:val="auto"/>
          <w:sz w:val="21"/>
          <w:szCs w:val="21"/>
          <w:highlight w:val="none"/>
        </w:rPr>
        <w:t>。</w:t>
      </w:r>
    </w:p>
    <w:p w14:paraId="0C0EACB8">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3、报价应为响应人完成服务内容所需费用的含税价（包括但不限于人工、保险、伴随服务、拟投入设备及材料、各类税费以及合同包含的所有风险、责任等各项应有费用）。</w:t>
      </w:r>
    </w:p>
    <w:p w14:paraId="67705987">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4、“新增点位报价情况”的报价作为本项目外的有偿服务内容的收费依据，纳入到合同附件之一。</w:t>
      </w:r>
    </w:p>
    <w:p w14:paraId="1488E8E2">
      <w:pPr>
        <w:pStyle w:val="23"/>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此表是响应文件的必要组成文件。</w:t>
      </w:r>
    </w:p>
    <w:p w14:paraId="71CE1B47">
      <w:pPr>
        <w:pStyle w:val="23"/>
        <w:numPr>
          <w:ilvl w:val="0"/>
          <w:numId w:val="0"/>
        </w:numPr>
        <w:spacing w:line="240" w:lineRule="auto"/>
        <w:ind w:firstLine="442" w:firstLineChars="200"/>
        <w:rPr>
          <w:rFonts w:hint="eastAsia" w:ascii="仿宋" w:hAnsi="仿宋" w:eastAsia="仿宋" w:cs="仿宋"/>
          <w:b/>
          <w:bCs/>
          <w:i w:val="0"/>
          <w:iCs w:val="0"/>
          <w:color w:val="FF0000"/>
          <w:sz w:val="22"/>
          <w:szCs w:val="22"/>
          <w:highlight w:val="yellow"/>
          <w:lang w:val="en-US" w:eastAsia="zh-CN"/>
        </w:rPr>
      </w:pPr>
      <w:r>
        <w:rPr>
          <w:rFonts w:hint="eastAsia" w:ascii="仿宋" w:hAnsi="仿宋" w:eastAsia="仿宋" w:cs="仿宋"/>
          <w:b/>
          <w:bCs/>
          <w:i w:val="0"/>
          <w:iCs w:val="0"/>
          <w:color w:val="FF0000"/>
          <w:sz w:val="22"/>
          <w:szCs w:val="22"/>
          <w:highlight w:val="yellow"/>
          <w:lang w:val="en-US" w:eastAsia="zh-CN"/>
        </w:rPr>
        <w:t>6、此表无需密封在响应文件中，可准备盖好公章的空白表格，在评审当天提交。</w:t>
      </w:r>
    </w:p>
    <w:p w14:paraId="69E3B1EB">
      <w:pPr>
        <w:pStyle w:val="23"/>
        <w:rPr>
          <w:rFonts w:hint="eastAsia" w:ascii="仿宋" w:hAnsi="仿宋" w:eastAsia="仿宋" w:cs="仿宋"/>
          <w:color w:val="000000" w:themeColor="text1"/>
          <w:highlight w:val="none"/>
          <w14:textFill>
            <w14:solidFill>
              <w14:schemeClr w14:val="tx1"/>
            </w14:solidFill>
          </w14:textFill>
        </w:rPr>
      </w:pPr>
    </w:p>
    <w:p w14:paraId="7C793608">
      <w:pPr>
        <w:pStyle w:val="23"/>
        <w:rPr>
          <w:rFonts w:hint="eastAsia" w:ascii="仿宋" w:hAnsi="仿宋" w:eastAsia="仿宋" w:cs="仿宋"/>
          <w:color w:val="000000" w:themeColor="text1"/>
          <w:highlight w:val="none"/>
          <w14:textFill>
            <w14:solidFill>
              <w14:schemeClr w14:val="tx1"/>
            </w14:solidFill>
          </w14:textFill>
        </w:rPr>
      </w:pPr>
    </w:p>
    <w:p w14:paraId="07C03B4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B656E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8C56F0E">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3BFA191B">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val="en-US" w:eastAsia="zh-CN"/>
              </w:rPr>
              <w:t>采购</w:t>
            </w:r>
            <w:r>
              <w:rPr>
                <w:rFonts w:hint="eastAsia" w:ascii="仿宋" w:hAnsi="仿宋" w:eastAsia="仿宋" w:cs="仿宋"/>
                <w:bCs/>
                <w:szCs w:val="21"/>
                <w:highlight w:val="none"/>
                <w:lang w:eastAsia="zh-CN"/>
              </w:rPr>
              <w:t>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采购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3"/>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中山大学孙逸仙纪念医院南北院区病房电视服务套餐采购项目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本项目采购文件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B8FCA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(7)本公司（企业）承诺如若成交，绝不以任何方式转包或分包本项目。</w:t>
      </w:r>
    </w:p>
    <w:p w14:paraId="4DEDE1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8BD5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AEF39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3CC97A4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536E55A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1ACB5C8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38CDD2E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7ECC31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3"/>
        <w:rPr>
          <w:rFonts w:hint="eastAsia" w:ascii="宋体" w:hAnsi="宋体" w:cs="宋体"/>
          <w:color w:val="auto"/>
          <w:szCs w:val="21"/>
          <w:highlight w:val="none"/>
          <w:lang w:eastAsia="zh-CN"/>
        </w:rPr>
      </w:pPr>
    </w:p>
    <w:p w14:paraId="353A2C3B">
      <w:pPr>
        <w:pStyle w:val="23"/>
        <w:rPr>
          <w:rFonts w:hint="eastAsia" w:ascii="宋体" w:hAnsi="宋体" w:cs="宋体"/>
          <w:color w:val="auto"/>
          <w:szCs w:val="21"/>
          <w:highlight w:val="none"/>
          <w:lang w:eastAsia="zh-CN"/>
        </w:rPr>
      </w:pPr>
    </w:p>
    <w:p w14:paraId="597D2F6D">
      <w:pPr>
        <w:pStyle w:val="23"/>
        <w:rPr>
          <w:rFonts w:hint="eastAsia" w:ascii="宋体" w:hAnsi="宋体" w:cs="宋体"/>
          <w:color w:val="auto"/>
          <w:szCs w:val="21"/>
          <w:highlight w:val="none"/>
          <w:lang w:eastAsia="zh-CN"/>
        </w:rPr>
      </w:pPr>
    </w:p>
    <w:p w14:paraId="1C7B92FD">
      <w:pPr>
        <w:pStyle w:val="23"/>
        <w:rPr>
          <w:rFonts w:hint="eastAsia" w:ascii="宋体" w:hAnsi="宋体" w:cs="宋体"/>
          <w:color w:val="auto"/>
          <w:szCs w:val="21"/>
          <w:highlight w:val="none"/>
          <w:lang w:eastAsia="zh-CN"/>
        </w:rPr>
      </w:pPr>
    </w:p>
    <w:p w14:paraId="31B76AF5">
      <w:pPr>
        <w:pStyle w:val="23"/>
        <w:rPr>
          <w:rFonts w:hint="eastAsia" w:ascii="宋体" w:hAnsi="宋体" w:cs="宋体"/>
          <w:color w:val="auto"/>
          <w:szCs w:val="21"/>
          <w:highlight w:val="none"/>
          <w:lang w:eastAsia="zh-CN"/>
        </w:rPr>
      </w:pPr>
    </w:p>
    <w:p w14:paraId="26CFD62B">
      <w:pPr>
        <w:pStyle w:val="23"/>
        <w:rPr>
          <w:rFonts w:hint="eastAsia" w:ascii="宋体" w:hAnsi="宋体" w:cs="宋体"/>
          <w:color w:val="auto"/>
          <w:szCs w:val="21"/>
          <w:highlight w:val="none"/>
          <w:lang w:eastAsia="zh-CN"/>
        </w:rPr>
      </w:pPr>
    </w:p>
    <w:p w14:paraId="286D41B8">
      <w:pPr>
        <w:pStyle w:val="23"/>
        <w:rPr>
          <w:rFonts w:hint="eastAsia" w:ascii="宋体" w:hAnsi="宋体" w:cs="宋体"/>
          <w:color w:val="auto"/>
          <w:szCs w:val="21"/>
          <w:highlight w:val="none"/>
          <w:lang w:eastAsia="zh-CN"/>
        </w:rPr>
      </w:pPr>
    </w:p>
    <w:p w14:paraId="4B53192C">
      <w:pPr>
        <w:pStyle w:val="23"/>
        <w:rPr>
          <w:rFonts w:hint="eastAsia" w:ascii="宋体" w:hAnsi="宋体" w:cs="宋体"/>
          <w:color w:val="auto"/>
          <w:szCs w:val="21"/>
          <w:highlight w:val="none"/>
          <w:lang w:eastAsia="zh-CN"/>
        </w:rPr>
      </w:pPr>
    </w:p>
    <w:p w14:paraId="29A1E61B">
      <w:pPr>
        <w:pStyle w:val="23"/>
        <w:rPr>
          <w:rFonts w:hint="eastAsia" w:ascii="宋体" w:hAnsi="宋体" w:cs="宋体"/>
          <w:color w:val="auto"/>
          <w:szCs w:val="21"/>
          <w:highlight w:val="none"/>
          <w:lang w:eastAsia="zh-CN"/>
        </w:rPr>
      </w:pPr>
    </w:p>
    <w:p w14:paraId="6440A3C2">
      <w:pPr>
        <w:pStyle w:val="23"/>
        <w:rPr>
          <w:rFonts w:hint="eastAsia" w:ascii="宋体" w:hAnsi="宋体" w:cs="宋体"/>
          <w:color w:val="auto"/>
          <w:szCs w:val="21"/>
          <w:highlight w:val="none"/>
          <w:lang w:eastAsia="zh-CN"/>
        </w:rPr>
      </w:pPr>
    </w:p>
    <w:p w14:paraId="5A42CAD9">
      <w:pPr>
        <w:pStyle w:val="23"/>
        <w:rPr>
          <w:rFonts w:hint="eastAsia" w:ascii="宋体" w:hAnsi="宋体" w:cs="宋体"/>
          <w:color w:val="auto"/>
          <w:szCs w:val="21"/>
          <w:highlight w:val="none"/>
          <w:lang w:eastAsia="zh-CN"/>
        </w:rPr>
      </w:pPr>
    </w:p>
    <w:p w14:paraId="4DAF8320">
      <w:pPr>
        <w:pStyle w:val="23"/>
        <w:rPr>
          <w:rFonts w:hint="eastAsia" w:ascii="宋体" w:hAnsi="宋体" w:cs="宋体"/>
          <w:color w:val="auto"/>
          <w:szCs w:val="21"/>
          <w:highlight w:val="none"/>
          <w:lang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36"/>
          <w:szCs w:val="36"/>
          <w:highlight w:val="none"/>
          <w:lang w:val="en-US" w:eastAsia="zh-CN"/>
        </w:rPr>
      </w:pPr>
    </w:p>
    <w:p w14:paraId="0192CF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2562C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65C8A2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6"/>
        <w:tblW w:w="974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val="en-US" w:eastAsia="zh-CN"/>
              </w:rPr>
              <w:t>采购</w:t>
            </w:r>
            <w:r>
              <w:rPr>
                <w:rFonts w:hint="eastAsia" w:ascii="仿宋" w:hAnsi="仿宋" w:eastAsia="仿宋" w:cs="仿宋"/>
                <w:bCs/>
                <w:szCs w:val="21"/>
                <w:highlight w:val="none"/>
                <w:lang w:eastAsia="zh-CN"/>
              </w:rPr>
              <w:t>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jc w:val="center"/>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5CB8F31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4C9BA1D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CFDFDE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795F96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34BB93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1AE5A04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jc w:val="center"/>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rPr>
              <w:t>原件</w:t>
            </w:r>
            <w:r>
              <w:rPr>
                <w:rFonts w:hint="eastAsia" w:ascii="仿宋" w:hAnsi="仿宋" w:eastAsia="仿宋" w:cs="仿宋"/>
                <w:color w:val="000000"/>
                <w:sz w:val="20"/>
                <w:szCs w:val="20"/>
                <w:highlight w:val="none"/>
                <w:lang w:eastAsia="zh-CN"/>
              </w:rPr>
              <w:t>）</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3"/>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采购</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不得改动本采购文件中已明确要求不得擅自删改的部分，以及遵守采购文件中已列明必须遵照执行否则按无效响应处理的各类要求。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jc w:val="center"/>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val="en-US" w:eastAsia="zh-CN"/>
              </w:rPr>
              <w:t>采购</w:t>
            </w:r>
            <w:r>
              <w:rPr>
                <w:rFonts w:hint="eastAsia" w:ascii="仿宋" w:hAnsi="仿宋" w:eastAsia="仿宋" w:cs="仿宋"/>
                <w:szCs w:val="21"/>
                <w:highlight w:val="none"/>
                <w:lang w:eastAsia="zh-CN"/>
              </w:rPr>
              <w:t>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采购</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采购</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jc w:val="center"/>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627C5781">
      <w:pPr>
        <w:pStyle w:val="6"/>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6"/>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6"/>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6"/>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6"/>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6"/>
        <w:shd w:val="clear" w:color="auto" w:fill="FFFFFF"/>
        <w:rPr>
          <w:rFonts w:hint="eastAsia" w:ascii="仿宋" w:hAnsi="仿宋" w:eastAsia="仿宋" w:cs="仿宋"/>
          <w:sz w:val="21"/>
          <w:szCs w:val="21"/>
          <w:highlight w:val="none"/>
        </w:rPr>
      </w:pPr>
    </w:p>
    <w:p w14:paraId="11C090B5">
      <w:pPr>
        <w:pStyle w:val="6"/>
        <w:shd w:val="clear" w:color="auto" w:fill="FFFFFF"/>
        <w:rPr>
          <w:rFonts w:hint="eastAsia" w:ascii="仿宋" w:hAnsi="仿宋" w:eastAsia="仿宋" w:cs="仿宋"/>
          <w:sz w:val="21"/>
          <w:szCs w:val="21"/>
          <w:highlight w:val="none"/>
        </w:rPr>
      </w:pPr>
    </w:p>
    <w:p w14:paraId="77DB0D31">
      <w:pPr>
        <w:pStyle w:val="6"/>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7"/>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7"/>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7"/>
        <w:tabs>
          <w:tab w:val="left" w:pos="900"/>
        </w:tabs>
        <w:spacing w:line="400" w:lineRule="exact"/>
        <w:ind w:firstLine="0"/>
        <w:rPr>
          <w:rFonts w:hint="eastAsia" w:ascii="仿宋" w:hAnsi="仿宋" w:eastAsia="仿宋" w:cs="仿宋"/>
          <w:bCs/>
          <w:color w:val="000000"/>
          <w:highlight w:val="none"/>
          <w:lang w:val="en-US"/>
        </w:rPr>
      </w:pPr>
    </w:p>
    <w:p w14:paraId="419C2088">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right="-512" w:rightChars="-244"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932" w:rightChars="-444"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5" name="矩形 1"/>
                        <wps:cNvSpPr/>
                        <wps:spPr>
                          <a:xfrm>
                            <a:off x="7" y="7"/>
                            <a:ext cx="3905" cy="2514"/>
                          </a:xfrm>
                          <a:prstGeom prst="rect">
                            <a:avLst/>
                          </a:prstGeom>
                          <a:solidFill>
                            <a:srgbClr val="FFFFFF"/>
                          </a:solidFill>
                          <a:ln>
                            <a:noFill/>
                          </a:ln>
                        </wps:spPr>
                        <wps:bodyPr/>
                      </wps:wsp>
                      <wps:wsp>
                        <wps:cNvPr id="6"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zBJdBNUAAAAFAQAADwAAAAAAAAABACAAAAAiAAAAZHJzL2Rvd25yZXYueG1sUEsBAhQA&#10;FAAAAAgAh07iQNsvpqmgAgAAtwYAAA4AAAAAAAAAAQAgAAAAJAEAAGRycy9lMm9Eb2MueG1sUEsF&#10;BgAAAAAGAAYAWQEAADYGAAAAAA==&#10;">
                <o:lock v:ext="edit" aspectratio="f"/>
                <v:rect id="矩形 1" o:spid="_x0000_s1026" o:spt="1" style="position:absolute;left:7;top:7;height:2514;width:3905;" fillcolor="#FFFFFF" filled="t" stroked="f" coordsize="21600,21600" o:gfxdata="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d4IbsAAADa&#10;AAAADwAAAAAAAAABACAAAAAiAAAAZHJzL2Rvd25yZXYueG1sUEsBAhQAFAAAAAgAh07iQDMvBZ47&#10;AAAAOQAAABAAAAAAAAAAAQAgAAAACgEAAGRycy9zaGFwZXhtbC54bWxQSwUGAAAAAAYABgBbAQAA&#10;tAM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3"/>
        <w:ind w:left="0" w:leftChars="0" w:firstLine="0" w:firstLineChars="0"/>
        <w:rPr>
          <w:rFonts w:hint="eastAsia" w:ascii="仿宋" w:hAnsi="仿宋" w:eastAsia="仿宋" w:cs="仿宋"/>
          <w:highlight w:val="none"/>
          <w:lang w:eastAsia="zh-CN"/>
        </w:rPr>
      </w:pPr>
    </w:p>
    <w:p w14:paraId="159EE8F3">
      <w:pPr>
        <w:pStyle w:val="7"/>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7"/>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7"/>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7"/>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7"/>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7"/>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7"/>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7"/>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7"/>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932" w:rightChars="-444"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3"/>
        <w:ind w:left="0" w:leftChars="0" w:firstLine="0" w:firstLineChars="0"/>
        <w:rPr>
          <w:rFonts w:hint="eastAsia" w:ascii="宋体" w:hAnsi="宋体" w:eastAsia="宋体" w:cs="仿宋_GB2312"/>
          <w:bCs/>
          <w:color w:val="000000"/>
          <w:sz w:val="30"/>
          <w:szCs w:val="30"/>
          <w:highlight w:val="none"/>
          <w:lang w:val="en-US"/>
        </w:rPr>
      </w:pPr>
    </w:p>
    <w:p w14:paraId="505620DC">
      <w:pPr>
        <w:pStyle w:val="23"/>
        <w:ind w:left="0" w:leftChars="0" w:firstLine="0" w:firstLineChars="0"/>
        <w:rPr>
          <w:rFonts w:hint="eastAsia" w:ascii="宋体" w:hAnsi="宋体" w:eastAsia="宋体" w:cs="宋体"/>
          <w:b/>
          <w:bCs/>
          <w:sz w:val="28"/>
          <w:szCs w:val="36"/>
          <w:highlight w:val="none"/>
          <w:lang w:eastAsia="zh-CN"/>
        </w:rPr>
      </w:pPr>
    </w:p>
    <w:p w14:paraId="7E872A26">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3"/>
        <w:ind w:left="0" w:leftChars="0" w:firstLine="0" w:firstLineChars="0"/>
        <w:rPr>
          <w:rFonts w:hint="eastAsia" w:ascii="宋体" w:hAnsi="宋体" w:eastAsia="宋体" w:cs="仿宋_GB2312"/>
          <w:bCs/>
          <w:color w:val="000000"/>
          <w:sz w:val="30"/>
          <w:szCs w:val="30"/>
          <w:highlight w:val="none"/>
          <w:lang w:val="en-US"/>
        </w:rPr>
      </w:pPr>
    </w:p>
    <w:p w14:paraId="3CBA090E">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中山大学孙逸仙纪念医院</w:t>
      </w:r>
    </w:p>
    <w:p w14:paraId="03A3DD1F">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依据贵方（项目名称/项目编号：</w:t>
      </w:r>
      <w:r>
        <w:rPr>
          <w:rFonts w:hint="eastAsia" w:ascii="仿宋" w:hAnsi="仿宋" w:eastAsia="仿宋" w:cs="仿宋"/>
          <w:color w:val="auto"/>
          <w:sz w:val="24"/>
          <w:szCs w:val="24"/>
          <w:highlight w:val="none"/>
          <w:u w:val="single"/>
          <w:lang w:val="en-US" w:eastAsia="zh-CN"/>
        </w:rPr>
        <w:t xml:space="preserve"> 中山大学孙逸仙纪念医院南北院区病房电视服务套餐采购项目/</w:t>
      </w:r>
      <w:r>
        <w:rPr>
          <w:rFonts w:hint="eastAsia" w:ascii="仿宋" w:hAnsi="仿宋" w:eastAsia="仿宋" w:cs="仿宋"/>
          <w:color w:val="auto"/>
          <w:sz w:val="24"/>
          <w:szCs w:val="24"/>
          <w:highlight w:val="yellow"/>
          <w:u w:val="single"/>
          <w:lang w:val="en-US" w:eastAsia="zh-CN"/>
        </w:rPr>
        <w:t>ZCB-20260XX</w:t>
      </w:r>
      <w:r>
        <w:rPr>
          <w:rFonts w:hint="eastAsia" w:ascii="仿宋" w:hAnsi="仿宋" w:eastAsia="仿宋" w:cs="仿宋"/>
          <w:color w:val="auto"/>
          <w:sz w:val="24"/>
          <w:szCs w:val="24"/>
          <w:highlight w:val="none"/>
          <w:lang w:val="en-US" w:eastAsia="zh-CN"/>
        </w:rPr>
        <w:t>)的响应邀请，我方代表</w:t>
      </w:r>
      <w:r>
        <w:rPr>
          <w:rFonts w:hint="eastAsia" w:ascii="仿宋" w:hAnsi="仿宋" w:eastAsia="仿宋" w:cs="仿宋"/>
          <w:color w:val="auto"/>
          <w:sz w:val="24"/>
          <w:szCs w:val="24"/>
          <w:highlight w:val="none"/>
          <w:u w:val="single"/>
          <w:lang w:val="en-US" w:eastAsia="zh-CN"/>
        </w:rPr>
        <w:t>（姓名、职务）</w:t>
      </w:r>
      <w:r>
        <w:rPr>
          <w:rFonts w:hint="eastAsia" w:ascii="仿宋" w:hAnsi="仿宋" w:eastAsia="仿宋" w:cs="仿宋"/>
          <w:color w:val="auto"/>
          <w:sz w:val="24"/>
          <w:szCs w:val="24"/>
          <w:highlight w:val="none"/>
          <w:lang w:val="en-US" w:eastAsia="zh-CN"/>
        </w:rPr>
        <w:t>经正式授权并代表</w:t>
      </w:r>
      <w:r>
        <w:rPr>
          <w:rFonts w:hint="eastAsia" w:ascii="仿宋" w:hAnsi="仿宋" w:eastAsia="仿宋" w:cs="仿宋"/>
          <w:color w:val="auto"/>
          <w:sz w:val="24"/>
          <w:szCs w:val="24"/>
          <w:highlight w:val="none"/>
          <w:u w:val="single"/>
          <w:lang w:val="en-US" w:eastAsia="zh-CN"/>
        </w:rPr>
        <w:t>（响应人名称、地址）</w:t>
      </w:r>
      <w:r>
        <w:rPr>
          <w:rFonts w:hint="eastAsia" w:ascii="仿宋" w:hAnsi="仿宋" w:eastAsia="仿宋" w:cs="仿宋"/>
          <w:color w:val="auto"/>
          <w:sz w:val="24"/>
          <w:szCs w:val="24"/>
          <w:highlight w:val="none"/>
          <w:lang w:val="en-US" w:eastAsia="zh-CN"/>
        </w:rPr>
        <w:t>提交响应文件正本</w:t>
      </w:r>
      <w:r>
        <w:rPr>
          <w:rFonts w:hint="eastAsia" w:ascii="仿宋" w:hAnsi="仿宋" w:eastAsia="仿宋" w:cs="仿宋"/>
          <w:color w:val="auto"/>
          <w:sz w:val="24"/>
          <w:szCs w:val="24"/>
          <w:highlight w:val="none"/>
          <w:u w:val="single"/>
          <w:lang w:val="en-US" w:eastAsia="zh-CN"/>
        </w:rPr>
        <w:t xml:space="preserve"> 1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lang w:val="en-US" w:eastAsia="zh-CN"/>
        </w:rPr>
        <w:t>份。</w:t>
      </w:r>
    </w:p>
    <w:p w14:paraId="3E0BBF03">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在此，我方承诺如下：</w:t>
      </w:r>
    </w:p>
    <w:p w14:paraId="66315CBD">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1、同意并接受采购文件的各项要求，遵守采购文件中的各项规定，按采购文件的要求提供报价。</w:t>
      </w:r>
    </w:p>
    <w:p w14:paraId="35FF5F0C">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2、响应有效期为递交响应文件之日起</w:t>
      </w:r>
      <w:r>
        <w:rPr>
          <w:rFonts w:hint="eastAsia" w:ascii="仿宋" w:hAnsi="仿宋" w:eastAsia="仿宋" w:cs="仿宋"/>
          <w:color w:val="auto"/>
          <w:sz w:val="24"/>
          <w:szCs w:val="24"/>
          <w:highlight w:val="none"/>
          <w:u w:val="single"/>
          <w:lang w:val="en-US" w:eastAsia="zh-CN"/>
        </w:rPr>
        <w:t>九十天</w:t>
      </w:r>
      <w:r>
        <w:rPr>
          <w:rFonts w:hint="eastAsia" w:ascii="仿宋" w:hAnsi="仿宋" w:eastAsia="仿宋" w:cs="仿宋"/>
          <w:color w:val="auto"/>
          <w:sz w:val="24"/>
          <w:szCs w:val="24"/>
          <w:highlight w:val="none"/>
          <w:lang w:val="en-US" w:eastAsia="zh-CN"/>
        </w:rPr>
        <w:t>，成交供应商响应有效期延至合同验收之日。</w:t>
      </w:r>
    </w:p>
    <w:p w14:paraId="3B968A94">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2ED178D5">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4、如果我单位成交，我方将保证按照院方认可的条件，以本采购文件内写明的金额、方式和时间要求提交履约保证金（如有）。</w:t>
      </w:r>
    </w:p>
    <w:p w14:paraId="61E037D8">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5、我方已毫无保留地向贵方提供一切所需的证明材料。</w:t>
      </w:r>
    </w:p>
    <w:p w14:paraId="30FCA280">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color w:val="auto"/>
          <w:sz w:val="24"/>
          <w:szCs w:val="24"/>
          <w:highlight w:val="none"/>
          <w:lang w:val="en-US" w:eastAsia="zh-CN"/>
        </w:rPr>
        <w:t>6、我方承诺能够完全对采购文件所有带“</w:t>
      </w:r>
      <w:r>
        <w:rPr>
          <w:rFonts w:hint="eastAsia" w:ascii="仿宋" w:hAnsi="仿宋" w:eastAsia="仿宋" w:cs="仿宋"/>
          <w:sz w:val="24"/>
          <w:szCs w:val="24"/>
          <w:highlight w:val="none"/>
          <w:lang w:eastAsia="zh-CN"/>
        </w:rPr>
        <w:t>★</w:t>
      </w:r>
      <w:r>
        <w:rPr>
          <w:rFonts w:hint="eastAsia" w:ascii="仿宋" w:hAnsi="仿宋" w:eastAsia="仿宋" w:cs="仿宋"/>
          <w:color w:val="auto"/>
          <w:sz w:val="24"/>
          <w:szCs w:val="24"/>
          <w:highlight w:val="none"/>
          <w:lang w:val="en-US" w:eastAsia="zh-CN"/>
        </w:rPr>
        <w:t>”号条款（如有）作出响应</w:t>
      </w:r>
      <w:r>
        <w:rPr>
          <w:rFonts w:hint="eastAsia" w:ascii="仿宋" w:hAnsi="仿宋" w:eastAsia="仿宋" w:cs="仿宋"/>
          <w:b w:val="0"/>
          <w:bCs w:val="0"/>
          <w:color w:val="000000"/>
          <w:spacing w:val="10"/>
          <w:kern w:val="0"/>
          <w:sz w:val="24"/>
          <w:szCs w:val="24"/>
          <w:highlight w:val="none"/>
          <w:lang w:val="en-US" w:eastAsia="zh-CN" w:bidi="ar-SA"/>
          <w14:ligatures w14:val="standardContextual"/>
        </w:rPr>
        <w:t>。</w:t>
      </w:r>
    </w:p>
    <w:p w14:paraId="108C941F">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8、我方承诺响应文件未含有贵院不能接受的附加条件。</w:t>
      </w:r>
    </w:p>
    <w:p w14:paraId="55C681F2">
      <w:pPr>
        <w:pStyle w:val="2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lang w:val="en-US" w:eastAsia="zh-CN"/>
        </w:rPr>
        <w:t>承诺</w:t>
      </w:r>
      <w:r>
        <w:rPr>
          <w:rFonts w:hint="eastAsia" w:ascii="仿宋" w:hAnsi="仿宋" w:eastAsia="仿宋" w:cs="仿宋"/>
          <w:b/>
          <w:color w:val="auto"/>
          <w:sz w:val="24"/>
          <w:szCs w:val="24"/>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15B2C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36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6"/>
        <w:tblpPr w:leftFromText="180" w:rightFromText="180" w:vertAnchor="text" w:horzAnchor="page" w:tblpX="868" w:tblpY="260"/>
        <w:tblOverlap w:val="never"/>
        <w:tblW w:w="1064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878"/>
        <w:gridCol w:w="2429"/>
        <w:gridCol w:w="1510"/>
        <w:gridCol w:w="2098"/>
        <w:gridCol w:w="1081"/>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307"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081"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3" w:hRule="atLeast"/>
        </w:trPr>
        <w:tc>
          <w:tcPr>
            <w:tcW w:w="647" w:type="dxa"/>
            <w:vMerge w:val="restart"/>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878" w:type="dxa"/>
            <w:vAlign w:val="center"/>
          </w:tcPr>
          <w:p w14:paraId="18A64B40">
            <w:pPr>
              <w:rPr>
                <w:rFonts w:hint="eastAsia" w:ascii="仿宋" w:hAnsi="仿宋" w:eastAsia="仿宋" w:cs="仿宋"/>
                <w:sz w:val="21"/>
                <w:szCs w:val="21"/>
                <w:highlight w:val="none"/>
                <w:lang w:val="en-US" w:eastAsia="zh-CN"/>
              </w:rPr>
            </w:pPr>
            <w:r>
              <w:rPr>
                <w:rFonts w:hint="eastAsia" w:ascii="仿宋" w:hAnsi="仿宋" w:eastAsia="仿宋" w:cs="仿宋"/>
                <w:sz w:val="20"/>
                <w:szCs w:val="20"/>
                <w:highlight w:val="none"/>
              </w:rPr>
              <w:t>1.供应商具有有效期内的信息技术服务相关认证证书（如信息技术服务体系认证证书、信息技术售后服务体系认证证书、信息技术服务能力认证证书等），认证依据符合GB/T 37961-2019《信息技术服务 服务基本要求》标准，得2分。</w:t>
            </w:r>
          </w:p>
        </w:tc>
        <w:tc>
          <w:tcPr>
            <w:tcW w:w="2429" w:type="dxa"/>
            <w:vMerge w:val="restart"/>
            <w:vAlign w:val="center"/>
          </w:tcPr>
          <w:p w14:paraId="5A7194A6">
            <w:pP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①响应文件中须提供有效的认证证书扫描件；</w:t>
            </w:r>
          </w:p>
          <w:p w14:paraId="53A4A749">
            <w:pPr>
              <w:rPr>
                <w:rFonts w:hint="eastAsia" w:ascii="仿宋" w:hAnsi="仿宋" w:eastAsia="仿宋" w:cs="仿宋"/>
                <w:sz w:val="20"/>
                <w:szCs w:val="20"/>
                <w:highlight w:val="none"/>
              </w:rPr>
            </w:pPr>
            <w:r>
              <w:rPr>
                <w:rFonts w:hint="eastAsia" w:ascii="仿宋" w:hAnsi="仿宋" w:eastAsia="仿宋" w:cs="仿宋"/>
                <w:sz w:val="20"/>
                <w:szCs w:val="20"/>
                <w:highlight w:val="none"/>
              </w:rPr>
              <w:t>②须同时提供国家认证认可监督管理委员会官网（www.cnca.gov.cn）或全国认证认可信息公共服务平台（cx.cnca.cn）的查询截图，证书须在有效期内；</w:t>
            </w:r>
          </w:p>
          <w:p w14:paraId="6A9546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20"/>
                <w:szCs w:val="20"/>
                <w:highlight w:val="none"/>
              </w:rPr>
              <w:t>③以上资料均加盖供应商公章，未提供或提供无效的不得分。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059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4" w:hRule="atLeast"/>
        </w:trPr>
        <w:tc>
          <w:tcPr>
            <w:tcW w:w="647" w:type="dxa"/>
            <w:vMerge w:val="continue"/>
            <w:vAlign w:val="center"/>
          </w:tcPr>
          <w:p w14:paraId="6812BE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p>
        </w:tc>
        <w:tc>
          <w:tcPr>
            <w:tcW w:w="2878" w:type="dxa"/>
            <w:vAlign w:val="center"/>
          </w:tcPr>
          <w:p w14:paraId="6679C5AF">
            <w:pPr>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highlight w:val="none"/>
              </w:rPr>
              <w:t>2.供应商具有有效期内的ISO 9001质量管理体系认证认证，得2分。</w:t>
            </w:r>
          </w:p>
        </w:tc>
        <w:tc>
          <w:tcPr>
            <w:tcW w:w="2429" w:type="dxa"/>
            <w:vMerge w:val="continue"/>
            <w:vAlign w:val="center"/>
          </w:tcPr>
          <w:p w14:paraId="22DF99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p>
        </w:tc>
        <w:tc>
          <w:tcPr>
            <w:tcW w:w="1510" w:type="dxa"/>
            <w:vAlign w:val="center"/>
          </w:tcPr>
          <w:p w14:paraId="03453F4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1356D0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351D40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46856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3" w:hRule="atLeast"/>
        </w:trPr>
        <w:tc>
          <w:tcPr>
            <w:tcW w:w="647" w:type="dxa"/>
            <w:vMerge w:val="continue"/>
            <w:vAlign w:val="center"/>
          </w:tcPr>
          <w:p w14:paraId="78BAA2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p>
        </w:tc>
        <w:tc>
          <w:tcPr>
            <w:tcW w:w="2878" w:type="dxa"/>
            <w:vAlign w:val="center"/>
          </w:tcPr>
          <w:p w14:paraId="59045D10">
            <w:pPr>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供应商具有有效期内的设备维护保养服务认证证书，认证依据符合SJ/T 31002-2016《企业设备维护保养通则》标准，得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分。</w:t>
            </w:r>
          </w:p>
        </w:tc>
        <w:tc>
          <w:tcPr>
            <w:tcW w:w="2429" w:type="dxa"/>
            <w:vMerge w:val="continue"/>
            <w:vAlign w:val="center"/>
          </w:tcPr>
          <w:p w14:paraId="43CCF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p>
        </w:tc>
        <w:tc>
          <w:tcPr>
            <w:tcW w:w="1510" w:type="dxa"/>
            <w:vAlign w:val="center"/>
          </w:tcPr>
          <w:p w14:paraId="6D4479F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5C6370A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34961B4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1D44C9A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878" w:type="dxa"/>
            <w:vAlign w:val="center"/>
          </w:tcPr>
          <w:p w14:paraId="3F008F78">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供应商自202</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年1月1日以来（以合同签订时间为准）承接过类似项目业绩的，按以下标准计分：</w:t>
            </w:r>
          </w:p>
          <w:p w14:paraId="0BB8AF16">
            <w:pPr>
              <w:keepNext w:val="0"/>
              <w:keepLines w:val="0"/>
              <w:suppressLineNumbers w:val="0"/>
              <w:spacing w:before="0" w:beforeAutospacing="0" w:after="0" w:afterAutospacing="0"/>
              <w:ind w:left="0" w:right="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highlight w:val="none"/>
              </w:rPr>
              <w:t>具有团体机构（如医院、康养机构、政府机关、酒店、公寓、学校宿舍等）电视收视服务业绩的，每提供一项得2分，最高得10分。</w:t>
            </w:r>
          </w:p>
        </w:tc>
        <w:tc>
          <w:tcPr>
            <w:tcW w:w="2429" w:type="dxa"/>
            <w:vAlign w:val="center"/>
          </w:tcPr>
          <w:p w14:paraId="05919421">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sz w:val="20"/>
                <w:szCs w:val="20"/>
                <w:highlight w:val="none"/>
                <w:lang w:val="en-US" w:eastAsia="zh-CN"/>
              </w:rPr>
            </w:pPr>
            <w:r>
              <w:rPr>
                <w:rFonts w:hint="eastAsia" w:ascii="仿宋" w:hAnsi="仿宋" w:eastAsia="仿宋" w:cs="仿宋"/>
                <w:bCs/>
                <w:color w:val="000000"/>
                <w:sz w:val="20"/>
                <w:szCs w:val="20"/>
                <w:highlight w:val="none"/>
                <w:lang w:val="en-US" w:eastAsia="zh-CN"/>
              </w:rPr>
              <w:t>注：</w:t>
            </w:r>
            <w:r>
              <w:rPr>
                <w:rFonts w:hint="eastAsia" w:ascii="仿宋" w:hAnsi="仿宋" w:eastAsia="仿宋" w:cs="仿宋"/>
                <w:bCs/>
                <w:color w:val="000000"/>
                <w:kern w:val="2"/>
                <w:sz w:val="20"/>
                <w:szCs w:val="20"/>
                <w:highlight w:val="none"/>
                <w:lang w:val="en-US" w:eastAsia="zh-CN" w:bidi="ar-SA"/>
              </w:rPr>
              <w:t>1.</w:t>
            </w:r>
            <w:r>
              <w:rPr>
                <w:rFonts w:hint="eastAsia" w:ascii="仿宋" w:hAnsi="仿宋" w:eastAsia="仿宋" w:cs="仿宋"/>
                <w:bCs/>
                <w:color w:val="000000"/>
                <w:sz w:val="20"/>
                <w:szCs w:val="20"/>
                <w:highlight w:val="none"/>
                <w:lang w:val="en-US" w:eastAsia="zh-CN"/>
              </w:rPr>
              <w:t>须提供合同关键页复印件（含双方名称、项目内容、落款盖章）并加盖响应人公章。若合同内容未明确体现电视收视服务的，须另附客户单位或客户单位业务部门盖章的履约内容证明。</w:t>
            </w:r>
          </w:p>
          <w:p w14:paraId="2B8F57BE">
            <w:pPr>
              <w:keepNext w:val="0"/>
              <w:keepLines w:val="0"/>
              <w:numPr>
                <w:ilvl w:val="0"/>
                <w:numId w:val="0"/>
              </w:numPr>
              <w:suppressLineNumbers w:val="0"/>
              <w:spacing w:before="0" w:beforeAutospacing="0" w:after="0" w:afterAutospacing="0"/>
              <w:ind w:left="0" w:leftChars="0" w:right="0" w:rightChars="0" w:firstLine="0" w:firstLineChars="0"/>
              <w:rPr>
                <w:rFonts w:hint="eastAsia" w:ascii="仿宋" w:hAnsi="仿宋" w:eastAsia="仿宋" w:cs="仿宋"/>
                <w:bCs/>
                <w:color w:val="000000"/>
                <w:sz w:val="20"/>
                <w:szCs w:val="20"/>
                <w:highlight w:val="none"/>
                <w:lang w:val="en-US" w:eastAsia="zh-CN"/>
              </w:rPr>
            </w:pPr>
            <w:r>
              <w:rPr>
                <w:rFonts w:hint="eastAsia" w:ascii="仿宋" w:hAnsi="仿宋" w:eastAsia="仿宋" w:cs="仿宋"/>
                <w:bCs/>
                <w:color w:val="000000"/>
                <w:kern w:val="2"/>
                <w:sz w:val="20"/>
                <w:szCs w:val="20"/>
                <w:highlight w:val="none"/>
                <w:lang w:val="en-US" w:eastAsia="zh-CN" w:bidi="ar-SA"/>
              </w:rPr>
              <w:t>2.</w:t>
            </w:r>
            <w:r>
              <w:rPr>
                <w:rFonts w:hint="eastAsia" w:ascii="仿宋" w:hAnsi="仿宋" w:eastAsia="仿宋" w:cs="仿宋"/>
                <w:bCs/>
                <w:color w:val="000000"/>
                <w:sz w:val="20"/>
                <w:szCs w:val="20"/>
                <w:highlight w:val="none"/>
                <w:lang w:val="en-US" w:eastAsia="zh-CN"/>
              </w:rPr>
              <w:t>单纯设备供货、线路施工或与本服务内容无关的合同不予认定。转包、分包及联合体非牵头方业绩均不计分。</w:t>
            </w:r>
          </w:p>
          <w:p w14:paraId="06149E80">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sz w:val="20"/>
                <w:szCs w:val="20"/>
                <w:highlight w:val="none"/>
                <w:lang w:val="en-US" w:eastAsia="zh-CN"/>
              </w:rPr>
            </w:pPr>
            <w:r>
              <w:rPr>
                <w:rFonts w:hint="eastAsia" w:ascii="仿宋" w:hAnsi="仿宋" w:eastAsia="仿宋" w:cs="仿宋"/>
                <w:bCs/>
                <w:color w:val="000000"/>
                <w:sz w:val="20"/>
                <w:szCs w:val="20"/>
                <w:highlight w:val="none"/>
                <w:lang w:val="en-US" w:eastAsia="zh-CN"/>
              </w:rPr>
              <w:t>3.同一客户单位不重复计分。</w:t>
            </w:r>
          </w:p>
          <w:p w14:paraId="776F407D">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sz w:val="20"/>
                <w:szCs w:val="20"/>
                <w:highlight w:val="none"/>
                <w:lang w:val="en-US" w:eastAsia="zh-CN"/>
              </w:rPr>
            </w:pPr>
            <w:r>
              <w:rPr>
                <w:rFonts w:hint="eastAsia" w:ascii="仿宋" w:hAnsi="仿宋" w:eastAsia="仿宋" w:cs="仿宋"/>
                <w:bCs/>
                <w:color w:val="000000"/>
                <w:sz w:val="20"/>
                <w:szCs w:val="20"/>
                <w:highlight w:val="none"/>
                <w:lang w:val="en-US" w:eastAsia="zh-CN"/>
              </w:rPr>
              <w:t>4.合同公章名称应与响应人名称一致，但以下情形除外：（1）响应人依法变更名称且附具变更证明的；（2）本规则第5条允许的关联公司业绩。</w:t>
            </w:r>
          </w:p>
          <w:p w14:paraId="2FC71E94">
            <w:pPr>
              <w:keepNext w:val="0"/>
              <w:keepLines w:val="0"/>
              <w:suppressLineNumbers w:val="0"/>
              <w:spacing w:before="0" w:beforeAutospacing="0" w:after="0" w:afterAutospacing="0"/>
              <w:ind w:left="0" w:right="0" w:firstLine="0" w:firstLineChars="0"/>
              <w:rPr>
                <w:rFonts w:hint="eastAsia" w:ascii="仿宋" w:hAnsi="仿宋" w:eastAsia="仿宋" w:cs="仿宋"/>
                <w:bCs/>
                <w:color w:val="000000"/>
                <w:sz w:val="20"/>
                <w:szCs w:val="20"/>
                <w:highlight w:val="none"/>
                <w:lang w:val="en-US" w:eastAsia="zh-CN"/>
              </w:rPr>
            </w:pPr>
            <w:r>
              <w:rPr>
                <w:rFonts w:hint="eastAsia" w:ascii="仿宋" w:hAnsi="仿宋" w:eastAsia="仿宋" w:cs="仿宋"/>
                <w:bCs/>
                <w:color w:val="000000"/>
                <w:sz w:val="20"/>
                <w:szCs w:val="20"/>
                <w:highlight w:val="none"/>
                <w:lang w:val="en-US" w:eastAsia="zh-CN"/>
              </w:rPr>
              <w:t>5.分公司参加响应的可使用总公司业绩，总公司参加响应的可使用其非独立法人分公司业绩，均须提供关系证明。</w:t>
            </w:r>
          </w:p>
          <w:p w14:paraId="543220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bCs/>
                <w:color w:val="000000"/>
                <w:sz w:val="20"/>
                <w:szCs w:val="20"/>
                <w:highlight w:val="none"/>
                <w:lang w:val="en-US" w:eastAsia="zh-CN"/>
              </w:rPr>
              <w:t>6.未按要求提供完整证明材料的，对应业绩不得分。</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69AC94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0" w:hRule="atLeast"/>
        </w:trPr>
        <w:tc>
          <w:tcPr>
            <w:tcW w:w="647" w:type="dxa"/>
            <w:vMerge w:val="restart"/>
            <w:vAlign w:val="center"/>
          </w:tcPr>
          <w:p w14:paraId="7B5CF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878" w:type="dxa"/>
            <w:vAlign w:val="center"/>
          </w:tcPr>
          <w:p w14:paraId="2830359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①</w:t>
            </w:r>
            <w:r>
              <w:rPr>
                <w:rFonts w:hint="eastAsia" w:ascii="仿宋" w:hAnsi="仿宋" w:eastAsia="仿宋" w:cs="仿宋"/>
                <w:sz w:val="20"/>
                <w:szCs w:val="20"/>
                <w:highlight w:val="none"/>
                <w:lang w:eastAsia="zh-CN"/>
              </w:rPr>
              <w:t>项目经理（限</w:t>
            </w:r>
            <w:r>
              <w:rPr>
                <w:rFonts w:hint="eastAsia" w:ascii="仿宋" w:hAnsi="仿宋" w:eastAsia="仿宋" w:cs="仿宋"/>
                <w:sz w:val="20"/>
                <w:szCs w:val="20"/>
                <w:highlight w:val="none"/>
                <w:lang w:val="en-US" w:eastAsia="zh-CN"/>
              </w:rPr>
              <w:t>1人</w:t>
            </w:r>
            <w:r>
              <w:rPr>
                <w:rFonts w:hint="eastAsia" w:ascii="仿宋" w:hAnsi="仿宋" w:eastAsia="仿宋" w:cs="仿宋"/>
                <w:sz w:val="20"/>
                <w:szCs w:val="20"/>
                <w:highlight w:val="none"/>
                <w:lang w:eastAsia="zh-CN"/>
              </w:rPr>
              <w:t>）：</w:t>
            </w:r>
          </w:p>
          <w:p w14:paraId="29BE4D4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具有计算机、电子信息、通信工程、软件工程等相关专业的硕士及以上学位或研究生学历毕业证书，得1分；</w:t>
            </w:r>
          </w:p>
          <w:p w14:paraId="18850DB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具有网络工程师或网络规划设计师证书，得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w:t>
            </w:r>
          </w:p>
          <w:p w14:paraId="61708906">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highlight w:val="none"/>
                <w:lang w:eastAsia="zh-CN"/>
              </w:rPr>
              <w:t>具有信息系统项目管理师证书，得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w:t>
            </w:r>
          </w:p>
        </w:tc>
        <w:tc>
          <w:tcPr>
            <w:tcW w:w="2429" w:type="dxa"/>
            <w:vMerge w:val="restart"/>
            <w:vAlign w:val="center"/>
          </w:tcPr>
          <w:p w14:paraId="285298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highlight w:val="none"/>
              </w:rPr>
              <w:t>注：</w:t>
            </w:r>
            <w:r>
              <w:rPr>
                <w:rFonts w:hint="eastAsia" w:ascii="仿宋" w:hAnsi="仿宋" w:eastAsia="仿宋" w:cs="仿宋"/>
                <w:sz w:val="20"/>
                <w:szCs w:val="20"/>
                <w:highlight w:val="none"/>
                <w:lang w:val="en-US" w:eastAsia="zh-CN"/>
              </w:rPr>
              <w:t>须提供以上相关人员有效期内的证书复印件及2025年10月以来至今任意1个月的</w:t>
            </w:r>
            <w:r>
              <w:rPr>
                <w:rFonts w:hint="eastAsia" w:ascii="仿宋" w:hAnsi="仿宋" w:eastAsia="仿宋" w:cs="仿宋"/>
                <w:b w:val="0"/>
                <w:bCs w:val="0"/>
                <w:color w:val="auto"/>
                <w:sz w:val="20"/>
                <w:szCs w:val="20"/>
                <w:highlight w:val="none"/>
                <w:lang w:val="en-US" w:eastAsia="zh-CN"/>
              </w:rPr>
              <w:t>响应供应商为其缴纳的社保证明材料复印件</w:t>
            </w:r>
            <w:r>
              <w:rPr>
                <w:rFonts w:hint="eastAsia" w:ascii="仿宋" w:hAnsi="仿宋" w:eastAsia="仿宋" w:cs="仿宋"/>
                <w:sz w:val="20"/>
                <w:szCs w:val="20"/>
                <w:highlight w:val="none"/>
                <w:lang w:val="en-US" w:eastAsia="zh-CN"/>
              </w:rPr>
              <w:t>，加盖供应商公章，否则不得分。</w:t>
            </w:r>
            <w:r>
              <w:rPr>
                <w:rFonts w:hint="eastAsia" w:ascii="仿宋" w:hAnsi="仿宋" w:eastAsia="仿宋" w:cs="仿宋"/>
                <w:sz w:val="20"/>
                <w:szCs w:val="20"/>
                <w:highlight w:val="none"/>
              </w:rPr>
              <w:t>分公司可使用总公司人员证书及社保（需提供隶属关系证明）。项目经理与技术团队成员不得为同一人。</w:t>
            </w:r>
            <w:r>
              <w:rPr>
                <w:rFonts w:hint="eastAsia" w:ascii="仿宋" w:hAnsi="仿宋" w:eastAsia="仿宋" w:cs="仿宋"/>
                <w:sz w:val="20"/>
                <w:szCs w:val="20"/>
                <w:highlight w:val="none"/>
                <w:lang w:eastAsia="zh-CN"/>
              </w:rPr>
              <w:t>技术团队成员</w:t>
            </w:r>
            <w:r>
              <w:rPr>
                <w:rFonts w:hint="eastAsia" w:ascii="仿宋" w:hAnsi="仿宋" w:eastAsia="仿宋" w:cs="仿宋"/>
                <w:sz w:val="20"/>
                <w:szCs w:val="20"/>
                <w:highlight w:val="none"/>
                <w:lang w:val="en-US" w:eastAsia="zh-CN"/>
              </w:rPr>
              <w:t>中同一人持多个证书不重复计分。</w:t>
            </w:r>
          </w:p>
        </w:tc>
        <w:tc>
          <w:tcPr>
            <w:tcW w:w="1510" w:type="dxa"/>
            <w:vAlign w:val="center"/>
          </w:tcPr>
          <w:p w14:paraId="6C5A99A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A08AA3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289D2838">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69DB5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0" w:hRule="atLeast"/>
        </w:trPr>
        <w:tc>
          <w:tcPr>
            <w:tcW w:w="647" w:type="dxa"/>
            <w:vMerge w:val="continue"/>
            <w:vAlign w:val="center"/>
          </w:tcPr>
          <w:p w14:paraId="190CB29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878" w:type="dxa"/>
            <w:vAlign w:val="center"/>
          </w:tcPr>
          <w:p w14:paraId="24D78E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②</w:t>
            </w:r>
            <w:r>
              <w:rPr>
                <w:rFonts w:hint="eastAsia" w:ascii="仿宋" w:hAnsi="仿宋" w:eastAsia="仿宋" w:cs="仿宋"/>
                <w:sz w:val="20"/>
                <w:szCs w:val="20"/>
                <w:highlight w:val="none"/>
                <w:lang w:eastAsia="zh-CN"/>
              </w:rPr>
              <w:t>技术团队成员（项目经理除外）：</w:t>
            </w:r>
          </w:p>
          <w:p w14:paraId="3125E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每提供1名网络工程师或网络规划设计师证书人员，得1分，最高2分；</w:t>
            </w:r>
          </w:p>
          <w:p w14:paraId="230A8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0"/>
                <w:szCs w:val="20"/>
                <w:highlight w:val="none"/>
                <w:lang w:val="en-US" w:eastAsia="zh-CN"/>
              </w:rPr>
              <w:t>每提供1名通信工程行业中级及以上职称证书人员，得1分，最高2分。</w:t>
            </w:r>
          </w:p>
        </w:tc>
        <w:tc>
          <w:tcPr>
            <w:tcW w:w="2429" w:type="dxa"/>
            <w:vMerge w:val="continue"/>
            <w:vAlign w:val="center"/>
          </w:tcPr>
          <w:p w14:paraId="7F0FF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color w:val="auto"/>
                <w:sz w:val="21"/>
                <w:szCs w:val="21"/>
                <w:highlight w:val="none"/>
                <w:lang w:val="en-US" w:eastAsia="zh-CN"/>
              </w:rPr>
            </w:pPr>
          </w:p>
        </w:tc>
        <w:tc>
          <w:tcPr>
            <w:tcW w:w="1510" w:type="dxa"/>
            <w:vAlign w:val="center"/>
          </w:tcPr>
          <w:p w14:paraId="5D79C6D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5288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5E9DB5B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3"/>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3"/>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3"/>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3"/>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3"/>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5FB2D5F">
      <w:pPr>
        <w:pStyle w:val="2"/>
        <w:rPr>
          <w:rFonts w:hint="eastAsia" w:ascii="仿宋" w:hAnsi="仿宋" w:eastAsia="仿宋" w:cs="仿宋"/>
          <w:b/>
          <w:bCs/>
          <w:sz w:val="36"/>
          <w:szCs w:val="36"/>
          <w:highlight w:val="none"/>
          <w:lang w:eastAsia="zh-CN"/>
        </w:rPr>
      </w:pPr>
    </w:p>
    <w:p w14:paraId="4A03CB6E">
      <w:pPr>
        <w:rPr>
          <w:rFonts w:hint="eastAsia"/>
          <w:lang w:eastAsia="zh-CN"/>
        </w:rPr>
      </w:pPr>
    </w:p>
    <w:p w14:paraId="7200CB72">
      <w:pPr>
        <w:rPr>
          <w:rFonts w:hint="eastAsia"/>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1"/>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3"/>
        <w:jc w:val="center"/>
        <w:rPr>
          <w:rFonts w:hint="eastAsia" w:ascii="宋体" w:hAnsi="宋体" w:eastAsia="宋体" w:cs="宋体"/>
          <w:b/>
          <w:bCs w:val="0"/>
          <w:sz w:val="32"/>
          <w:szCs w:val="32"/>
          <w:highlight w:val="none"/>
          <w:lang w:val="en-US" w:eastAsia="zh-CN"/>
        </w:rPr>
      </w:pPr>
    </w:p>
    <w:p w14:paraId="3113D7CD">
      <w:pPr>
        <w:pStyle w:val="23"/>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3"/>
        <w:rPr>
          <w:rFonts w:hint="eastAsia" w:ascii="宋体" w:hAnsi="宋体" w:eastAsia="宋体" w:cs="宋体"/>
          <w:b/>
          <w:bCs w:val="0"/>
          <w:sz w:val="32"/>
          <w:szCs w:val="32"/>
          <w:highlight w:val="none"/>
          <w:lang w:val="en-US" w:eastAsia="zh-CN"/>
        </w:rPr>
      </w:pPr>
    </w:p>
    <w:p w14:paraId="0A8ECA02">
      <w:pPr>
        <w:pStyle w:val="23"/>
        <w:jc w:val="center"/>
        <w:rPr>
          <w:rFonts w:hint="eastAsia" w:ascii="宋体" w:hAnsi="宋体" w:eastAsia="宋体" w:cs="宋体"/>
          <w:b/>
          <w:bCs w:val="0"/>
          <w:sz w:val="32"/>
          <w:szCs w:val="32"/>
          <w:highlight w:val="none"/>
          <w:lang w:val="en-US" w:eastAsia="zh-CN"/>
        </w:rPr>
      </w:pPr>
    </w:p>
    <w:p w14:paraId="10AA99AD">
      <w:pPr>
        <w:pStyle w:val="23"/>
        <w:jc w:val="center"/>
        <w:rPr>
          <w:rFonts w:hint="eastAsia" w:ascii="宋体" w:hAnsi="宋体" w:eastAsia="宋体" w:cs="宋体"/>
          <w:b/>
          <w:bCs w:val="0"/>
          <w:sz w:val="32"/>
          <w:szCs w:val="32"/>
          <w:highlight w:val="none"/>
          <w:lang w:val="en-US" w:eastAsia="zh-CN"/>
        </w:rPr>
      </w:pPr>
    </w:p>
    <w:p w14:paraId="670B031C">
      <w:pPr>
        <w:pStyle w:val="23"/>
        <w:jc w:val="center"/>
        <w:rPr>
          <w:rFonts w:hint="eastAsia" w:ascii="宋体" w:hAnsi="宋体" w:eastAsia="宋体" w:cs="宋体"/>
          <w:b/>
          <w:bCs w:val="0"/>
          <w:sz w:val="32"/>
          <w:szCs w:val="32"/>
          <w:highlight w:val="none"/>
          <w:lang w:val="en-US" w:eastAsia="zh-CN"/>
        </w:rPr>
      </w:pPr>
    </w:p>
    <w:p w14:paraId="0FBDBB4C">
      <w:pPr>
        <w:pStyle w:val="23"/>
        <w:jc w:val="center"/>
        <w:rPr>
          <w:rFonts w:hint="eastAsia" w:ascii="宋体" w:hAnsi="宋体" w:eastAsia="宋体" w:cs="宋体"/>
          <w:b/>
          <w:bCs w:val="0"/>
          <w:sz w:val="32"/>
          <w:szCs w:val="32"/>
          <w:highlight w:val="none"/>
          <w:lang w:val="en-US" w:eastAsia="zh-CN"/>
        </w:rPr>
      </w:pPr>
    </w:p>
    <w:p w14:paraId="6DED8C5D">
      <w:pPr>
        <w:pStyle w:val="23"/>
        <w:jc w:val="center"/>
        <w:rPr>
          <w:rFonts w:hint="eastAsia" w:ascii="宋体" w:hAnsi="宋体" w:eastAsia="宋体" w:cs="宋体"/>
          <w:b/>
          <w:bCs w:val="0"/>
          <w:sz w:val="32"/>
          <w:szCs w:val="32"/>
          <w:highlight w:val="none"/>
          <w:lang w:val="en-US" w:eastAsia="zh-CN"/>
        </w:rPr>
      </w:pPr>
    </w:p>
    <w:p w14:paraId="4CCD971A">
      <w:pPr>
        <w:pStyle w:val="23"/>
        <w:ind w:left="0" w:leftChars="0" w:firstLine="0" w:firstLineChars="0"/>
        <w:jc w:val="both"/>
        <w:rPr>
          <w:rFonts w:hint="eastAsia" w:ascii="宋体" w:hAnsi="宋体" w:eastAsia="宋体" w:cs="宋体"/>
          <w:b/>
          <w:bCs w:val="0"/>
          <w:sz w:val="32"/>
          <w:szCs w:val="32"/>
          <w:highlight w:val="none"/>
          <w:lang w:val="en-US" w:eastAsia="zh-CN"/>
        </w:rPr>
      </w:pPr>
    </w:p>
    <w:p w14:paraId="4BEA607E">
      <w:pPr>
        <w:pStyle w:val="12"/>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3"/>
        <w:rPr>
          <w:rFonts w:hint="eastAsia" w:ascii="仿宋" w:hAnsi="仿宋" w:eastAsia="仿宋" w:cs="仿宋"/>
          <w:highlight w:val="none"/>
        </w:rPr>
      </w:pPr>
    </w:p>
    <w:p w14:paraId="07CF9398">
      <w:pPr>
        <w:pStyle w:val="23"/>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3"/>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3"/>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3"/>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3"/>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3"/>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6"/>
        <w:tblpPr w:leftFromText="180" w:rightFromText="180" w:vertAnchor="text" w:horzAnchor="page" w:tblpXSpec="center" w:tblpY="19"/>
        <w:tblOverlap w:val="never"/>
        <w:tblW w:w="101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027"/>
        <w:gridCol w:w="1242"/>
        <w:gridCol w:w="1260"/>
        <w:gridCol w:w="1938"/>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828" w:type="dxa"/>
            <w:tcBorders>
              <w:bottom w:val="single" w:color="000000" w:sz="6" w:space="0"/>
              <w:right w:val="single" w:color="000000" w:sz="6" w:space="0"/>
            </w:tcBorders>
          </w:tcPr>
          <w:p w14:paraId="3B66C671">
            <w:pPr>
              <w:pStyle w:val="28"/>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027" w:type="dxa"/>
            <w:tcBorders>
              <w:left w:val="single" w:color="000000" w:sz="6" w:space="0"/>
              <w:bottom w:val="single" w:color="000000" w:sz="6" w:space="0"/>
              <w:right w:val="single" w:color="000000" w:sz="6" w:space="0"/>
            </w:tcBorders>
          </w:tcPr>
          <w:p w14:paraId="619D6C54">
            <w:pPr>
              <w:pStyle w:val="28"/>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242" w:type="dxa"/>
            <w:tcBorders>
              <w:left w:val="single" w:color="000000" w:sz="6" w:space="0"/>
              <w:bottom w:val="single" w:color="000000" w:sz="6" w:space="0"/>
              <w:right w:val="single" w:color="000000" w:sz="6" w:space="0"/>
            </w:tcBorders>
          </w:tcPr>
          <w:p w14:paraId="38DD7FD6">
            <w:pPr>
              <w:pStyle w:val="28"/>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28"/>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1938" w:type="dxa"/>
            <w:tcBorders>
              <w:left w:val="single" w:color="000000" w:sz="6" w:space="0"/>
              <w:bottom w:val="single" w:color="000000" w:sz="6" w:space="0"/>
            </w:tcBorders>
          </w:tcPr>
          <w:p w14:paraId="65AD1FCB">
            <w:pPr>
              <w:pStyle w:val="28"/>
              <w:keepNext w:val="0"/>
              <w:keepLines w:val="0"/>
              <w:suppressLineNumbers w:val="0"/>
              <w:spacing w:before="105" w:beforeAutospacing="0" w:after="0" w:afterAutospacing="0"/>
              <w:ind w:right="0"/>
              <w:jc w:val="center"/>
              <w:rPr>
                <w:rFonts w:hint="default" w:ascii="仿宋" w:hAnsi="仿宋" w:eastAsia="仿宋" w:cs="仿宋"/>
                <w:b/>
                <w:sz w:val="21"/>
                <w:highlight w:val="none"/>
                <w:lang w:val="en-US" w:eastAsia="zh-CN"/>
              </w:rPr>
            </w:pPr>
            <w:r>
              <w:rPr>
                <w:rFonts w:hint="eastAsia" w:ascii="仿宋" w:hAnsi="仿宋" w:eastAsia="仿宋" w:cs="仿宋"/>
                <w:b/>
                <w:sz w:val="21"/>
                <w:highlight w:val="none"/>
                <w:lang w:val="en-US" w:eastAsia="zh-CN"/>
              </w:rPr>
              <w:t>联系人及联系方式</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828" w:type="dxa"/>
            <w:tcBorders>
              <w:top w:val="single" w:color="000000" w:sz="6" w:space="0"/>
              <w:bottom w:val="single" w:color="000000" w:sz="6" w:space="0"/>
              <w:right w:val="single" w:color="000000" w:sz="6" w:space="0"/>
            </w:tcBorders>
          </w:tcPr>
          <w:p w14:paraId="046588A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28"/>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027" w:type="dxa"/>
            <w:tcBorders>
              <w:top w:val="single" w:color="000000" w:sz="6" w:space="0"/>
              <w:left w:val="single" w:color="000000" w:sz="6" w:space="0"/>
              <w:bottom w:val="single" w:color="000000" w:sz="6" w:space="0"/>
              <w:right w:val="single" w:color="000000" w:sz="6" w:space="0"/>
            </w:tcBorders>
          </w:tcPr>
          <w:p w14:paraId="292778C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42" w:type="dxa"/>
            <w:tcBorders>
              <w:top w:val="single" w:color="000000" w:sz="6" w:space="0"/>
              <w:left w:val="single" w:color="000000" w:sz="6" w:space="0"/>
              <w:bottom w:val="single" w:color="000000" w:sz="6" w:space="0"/>
              <w:right w:val="single" w:color="000000" w:sz="6" w:space="0"/>
            </w:tcBorders>
          </w:tcPr>
          <w:p w14:paraId="2357640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938" w:type="dxa"/>
            <w:tcBorders>
              <w:top w:val="single" w:color="000000" w:sz="6" w:space="0"/>
              <w:left w:val="single" w:color="000000" w:sz="6" w:space="0"/>
              <w:bottom w:val="single" w:color="000000" w:sz="6" w:space="0"/>
            </w:tcBorders>
          </w:tcPr>
          <w:p w14:paraId="0F49320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828" w:type="dxa"/>
            <w:tcBorders>
              <w:top w:val="single" w:color="000000" w:sz="6" w:space="0"/>
              <w:bottom w:val="single" w:color="000000" w:sz="6" w:space="0"/>
              <w:right w:val="single" w:color="000000" w:sz="6" w:space="0"/>
            </w:tcBorders>
          </w:tcPr>
          <w:p w14:paraId="115054F7">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27" w:type="dxa"/>
            <w:tcBorders>
              <w:top w:val="single" w:color="000000" w:sz="6" w:space="0"/>
              <w:left w:val="single" w:color="000000" w:sz="6" w:space="0"/>
              <w:bottom w:val="single" w:color="000000" w:sz="6" w:space="0"/>
              <w:right w:val="single" w:color="000000" w:sz="6" w:space="0"/>
            </w:tcBorders>
          </w:tcPr>
          <w:p w14:paraId="498709A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42" w:type="dxa"/>
            <w:tcBorders>
              <w:top w:val="single" w:color="000000" w:sz="6" w:space="0"/>
              <w:left w:val="single" w:color="000000" w:sz="6" w:space="0"/>
              <w:bottom w:val="single" w:color="000000" w:sz="6" w:space="0"/>
              <w:right w:val="single" w:color="000000" w:sz="6" w:space="0"/>
            </w:tcBorders>
          </w:tcPr>
          <w:p w14:paraId="7FCD0E4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938" w:type="dxa"/>
            <w:tcBorders>
              <w:top w:val="single" w:color="000000" w:sz="6" w:space="0"/>
              <w:left w:val="single" w:color="000000" w:sz="6" w:space="0"/>
              <w:bottom w:val="single" w:color="000000" w:sz="6" w:space="0"/>
            </w:tcBorders>
          </w:tcPr>
          <w:p w14:paraId="6B258F4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28" w:type="dxa"/>
            <w:tcBorders>
              <w:top w:val="single" w:color="000000" w:sz="6" w:space="0"/>
              <w:bottom w:val="single" w:color="000000" w:sz="6" w:space="0"/>
              <w:right w:val="single" w:color="000000" w:sz="6" w:space="0"/>
            </w:tcBorders>
          </w:tcPr>
          <w:p w14:paraId="5DD07A1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27" w:type="dxa"/>
            <w:tcBorders>
              <w:top w:val="single" w:color="000000" w:sz="6" w:space="0"/>
              <w:left w:val="single" w:color="000000" w:sz="6" w:space="0"/>
              <w:bottom w:val="single" w:color="000000" w:sz="6" w:space="0"/>
              <w:right w:val="single" w:color="000000" w:sz="6" w:space="0"/>
            </w:tcBorders>
          </w:tcPr>
          <w:p w14:paraId="4B5DF386">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42" w:type="dxa"/>
            <w:tcBorders>
              <w:top w:val="single" w:color="000000" w:sz="6" w:space="0"/>
              <w:left w:val="single" w:color="000000" w:sz="6" w:space="0"/>
              <w:bottom w:val="single" w:color="000000" w:sz="6" w:space="0"/>
              <w:right w:val="single" w:color="000000" w:sz="6" w:space="0"/>
            </w:tcBorders>
          </w:tcPr>
          <w:p w14:paraId="01C06C6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938" w:type="dxa"/>
            <w:tcBorders>
              <w:top w:val="single" w:color="000000" w:sz="6" w:space="0"/>
              <w:left w:val="single" w:color="000000" w:sz="6" w:space="0"/>
              <w:bottom w:val="single" w:color="000000" w:sz="6" w:space="0"/>
            </w:tcBorders>
          </w:tcPr>
          <w:p w14:paraId="5FD82ECF">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28" w:type="dxa"/>
            <w:tcBorders>
              <w:top w:val="single" w:color="000000" w:sz="6" w:space="0"/>
              <w:bottom w:val="single" w:color="000000" w:sz="6" w:space="0"/>
              <w:right w:val="single" w:color="000000" w:sz="6" w:space="0"/>
            </w:tcBorders>
          </w:tcPr>
          <w:p w14:paraId="22E2DE37">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27" w:type="dxa"/>
            <w:tcBorders>
              <w:top w:val="single" w:color="000000" w:sz="6" w:space="0"/>
              <w:left w:val="single" w:color="000000" w:sz="6" w:space="0"/>
              <w:bottom w:val="single" w:color="000000" w:sz="6" w:space="0"/>
              <w:right w:val="single" w:color="000000" w:sz="6" w:space="0"/>
            </w:tcBorders>
          </w:tcPr>
          <w:p w14:paraId="3ECF80C0">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42" w:type="dxa"/>
            <w:tcBorders>
              <w:top w:val="single" w:color="000000" w:sz="6" w:space="0"/>
              <w:left w:val="single" w:color="000000" w:sz="6" w:space="0"/>
              <w:bottom w:val="single" w:color="000000" w:sz="6" w:space="0"/>
              <w:right w:val="single" w:color="000000" w:sz="6" w:space="0"/>
            </w:tcBorders>
          </w:tcPr>
          <w:p w14:paraId="50199002">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938" w:type="dxa"/>
            <w:tcBorders>
              <w:top w:val="single" w:color="000000" w:sz="6" w:space="0"/>
              <w:left w:val="single" w:color="000000" w:sz="6" w:space="0"/>
              <w:bottom w:val="single" w:color="000000" w:sz="6" w:space="0"/>
            </w:tcBorders>
          </w:tcPr>
          <w:p w14:paraId="2A0AB421">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28" w:type="dxa"/>
            <w:tcBorders>
              <w:top w:val="single" w:color="000000" w:sz="6" w:space="0"/>
              <w:bottom w:val="single" w:color="000000" w:sz="6" w:space="0"/>
              <w:right w:val="single" w:color="000000" w:sz="6" w:space="0"/>
            </w:tcBorders>
          </w:tcPr>
          <w:p w14:paraId="5070AEFA">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27" w:type="dxa"/>
            <w:tcBorders>
              <w:top w:val="single" w:color="000000" w:sz="6" w:space="0"/>
              <w:left w:val="single" w:color="000000" w:sz="6" w:space="0"/>
              <w:bottom w:val="single" w:color="000000" w:sz="6" w:space="0"/>
              <w:right w:val="single" w:color="000000" w:sz="6" w:space="0"/>
            </w:tcBorders>
          </w:tcPr>
          <w:p w14:paraId="3BFF9386">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42" w:type="dxa"/>
            <w:tcBorders>
              <w:top w:val="single" w:color="000000" w:sz="6" w:space="0"/>
              <w:left w:val="single" w:color="000000" w:sz="6" w:space="0"/>
              <w:bottom w:val="single" w:color="000000" w:sz="6" w:space="0"/>
              <w:right w:val="single" w:color="000000" w:sz="6" w:space="0"/>
            </w:tcBorders>
          </w:tcPr>
          <w:p w14:paraId="2E6206E5">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938" w:type="dxa"/>
            <w:tcBorders>
              <w:top w:val="single" w:color="000000" w:sz="6" w:space="0"/>
              <w:left w:val="single" w:color="000000" w:sz="6" w:space="0"/>
              <w:bottom w:val="single" w:color="000000" w:sz="6" w:space="0"/>
            </w:tcBorders>
          </w:tcPr>
          <w:p w14:paraId="2CEA5BE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28" w:type="dxa"/>
            <w:tcBorders>
              <w:top w:val="single" w:color="000000" w:sz="6" w:space="0"/>
              <w:right w:val="single" w:color="000000" w:sz="6" w:space="0"/>
            </w:tcBorders>
          </w:tcPr>
          <w:p w14:paraId="287E3449">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027" w:type="dxa"/>
            <w:tcBorders>
              <w:top w:val="single" w:color="000000" w:sz="6" w:space="0"/>
              <w:left w:val="single" w:color="000000" w:sz="6" w:space="0"/>
              <w:right w:val="single" w:color="000000" w:sz="6" w:space="0"/>
            </w:tcBorders>
          </w:tcPr>
          <w:p w14:paraId="09A7268D">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42" w:type="dxa"/>
            <w:tcBorders>
              <w:top w:val="single" w:color="000000" w:sz="6" w:space="0"/>
              <w:left w:val="single" w:color="000000" w:sz="6" w:space="0"/>
              <w:right w:val="single" w:color="000000" w:sz="6" w:space="0"/>
            </w:tcBorders>
          </w:tcPr>
          <w:p w14:paraId="4439D3AC">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938" w:type="dxa"/>
            <w:tcBorders>
              <w:top w:val="single" w:color="000000" w:sz="6" w:space="0"/>
              <w:left w:val="single" w:color="000000" w:sz="6" w:space="0"/>
            </w:tcBorders>
          </w:tcPr>
          <w:p w14:paraId="63B8D508">
            <w:pPr>
              <w:pStyle w:val="28"/>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29"/>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3"/>
        <w:numPr>
          <w:ilvl w:val="0"/>
          <w:numId w:val="0"/>
        </w:numPr>
        <w:jc w:val="both"/>
        <w:rPr>
          <w:rFonts w:hint="eastAsia" w:ascii="仿宋" w:hAnsi="仿宋" w:eastAsia="仿宋" w:cs="仿宋"/>
          <w:b/>
          <w:bCs w:val="0"/>
          <w:sz w:val="32"/>
          <w:szCs w:val="32"/>
          <w:highlight w:val="none"/>
          <w:lang w:val="en-US" w:eastAsia="zh-CN"/>
        </w:rPr>
      </w:pPr>
    </w:p>
    <w:p w14:paraId="7EAFB0B2">
      <w:pPr>
        <w:pStyle w:val="23"/>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3"/>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7EEF13B4">
      <w:pPr>
        <w:pStyle w:val="2"/>
        <w:spacing w:line="240" w:lineRule="auto"/>
        <w:ind w:right="706" w:rightChars="0"/>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中山大学孙逸仙纪念医院南北院区病房电视服务套餐采购项目</w:t>
      </w:r>
    </w:p>
    <w:tbl>
      <w:tblPr>
        <w:tblStyle w:val="16"/>
        <w:tblW w:w="770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1574"/>
      </w:tblGrid>
      <w:tr w14:paraId="098884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30"/>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职称证书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c>
          <w:tcPr>
            <w:tcW w:w="1574" w:type="dxa"/>
            <w:tcBorders>
              <w:top w:val="single" w:color="auto" w:sz="12" w:space="0"/>
              <w:left w:val="single" w:color="auto" w:sz="2" w:space="0"/>
              <w:bottom w:val="single" w:color="auto" w:sz="2" w:space="0"/>
              <w:right w:val="single" w:color="auto" w:sz="2" w:space="0"/>
            </w:tcBorders>
            <w:vAlign w:val="center"/>
          </w:tcPr>
          <w:p w14:paraId="77708E05">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职务</w:t>
            </w:r>
          </w:p>
        </w:tc>
      </w:tr>
      <w:tr w14:paraId="4A2D2B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4E0BD13C">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项目经理</w:t>
            </w:r>
          </w:p>
        </w:tc>
      </w:tr>
      <w:tr w14:paraId="215FD5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3816B102">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lang w:val="en-US" w:eastAsia="zh-CN"/>
              </w:rPr>
            </w:pPr>
            <w:r>
              <w:rPr>
                <w:rFonts w:hint="eastAsia" w:ascii="仿宋" w:hAnsi="仿宋" w:eastAsia="仿宋" w:cs="仿宋"/>
                <w:color w:val="auto"/>
                <w:sz w:val="21"/>
                <w:szCs w:val="21"/>
                <w:highlight w:val="none"/>
                <w:lang w:val="en-US" w:eastAsia="zh-CN"/>
              </w:rPr>
              <w:t>技术团队成员</w:t>
            </w:r>
          </w:p>
        </w:tc>
      </w:tr>
      <w:tr w14:paraId="2D5728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30185A89">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rPr>
            </w:pPr>
            <w:r>
              <w:rPr>
                <w:rFonts w:hint="eastAsia" w:ascii="仿宋" w:hAnsi="仿宋" w:eastAsia="仿宋" w:cs="仿宋"/>
                <w:color w:val="auto"/>
                <w:sz w:val="21"/>
                <w:szCs w:val="21"/>
                <w:highlight w:val="none"/>
                <w:lang w:val="en-US" w:eastAsia="zh-CN"/>
              </w:rPr>
              <w:t>技术团队成员</w:t>
            </w:r>
          </w:p>
        </w:tc>
      </w:tr>
      <w:tr w14:paraId="3C6B11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4281D263">
            <w:pPr>
              <w:keepNext w:val="0"/>
              <w:keepLines w:val="0"/>
              <w:suppressLineNumbers w:val="0"/>
              <w:spacing w:before="0" w:beforeAutospacing="0" w:after="0" w:afterAutospacing="0" w:line="360" w:lineRule="auto"/>
              <w:ind w:right="0"/>
              <w:jc w:val="center"/>
              <w:rPr>
                <w:rFonts w:hint="eastAsia" w:ascii="仿宋" w:hAnsi="仿宋" w:eastAsia="仿宋" w:cs="仿宋"/>
                <w:highlight w:val="none"/>
              </w:rPr>
            </w:pPr>
            <w:r>
              <w:rPr>
                <w:rFonts w:hint="eastAsia" w:ascii="仿宋" w:hAnsi="仿宋" w:eastAsia="仿宋" w:cs="仿宋"/>
                <w:color w:val="auto"/>
                <w:sz w:val="21"/>
                <w:szCs w:val="21"/>
                <w:highlight w:val="none"/>
                <w:lang w:val="en-US" w:eastAsia="zh-CN"/>
              </w:rPr>
              <w:t>技术团队成员</w:t>
            </w:r>
          </w:p>
        </w:tc>
      </w:tr>
      <w:tr w14:paraId="507C11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2372F3D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3CB08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7176D1F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A2AE56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1C976F8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574" w:type="dxa"/>
            <w:tcBorders>
              <w:top w:val="single" w:color="auto" w:sz="2" w:space="0"/>
              <w:left w:val="single" w:color="auto" w:sz="2" w:space="0"/>
              <w:bottom w:val="single" w:color="auto" w:sz="2" w:space="0"/>
              <w:right w:val="single" w:color="auto" w:sz="2" w:space="0"/>
            </w:tcBorders>
            <w:vAlign w:val="center"/>
          </w:tcPr>
          <w:p w14:paraId="7BC8027D">
            <w:pPr>
              <w:keepNext w:val="0"/>
              <w:keepLines w:val="0"/>
              <w:suppressLineNumbers w:val="0"/>
              <w:spacing w:before="0" w:beforeAutospacing="0" w:after="0" w:afterAutospacing="0" w:line="360" w:lineRule="auto"/>
              <w:ind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4888154D">
      <w:pPr>
        <w:pStyle w:val="23"/>
        <w:ind w:left="0" w:leftChars="0" w:firstLine="0" w:firstLineChars="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186D7645">
      <w:pPr>
        <w:pStyle w:val="23"/>
        <w:ind w:left="0" w:leftChars="0" w:firstLine="400" w:firstLineChars="200"/>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须提供以上相关人员有效期内的证书复印件及2025年10月以来至今任意1个月的响应供应商为其缴纳的社保证明材料复印件，加盖供应商公章，否则不得分。分公司可使用总公司人员证书及社保（需提供隶属关系证明）。项目经理与技术团队成员不得为同一人。技术团队成员中同一人持多个证书不重复计分。</w:t>
      </w:r>
    </w:p>
    <w:p w14:paraId="76151BB9">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23"/>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5、企业体系认证情况</w:t>
      </w:r>
      <w:r>
        <w:rPr>
          <w:rFonts w:hint="eastAsia" w:ascii="仿宋" w:hAnsi="仿宋" w:eastAsia="仿宋" w:cs="仿宋"/>
          <w:b/>
          <w:bCs w:val="0"/>
          <w:sz w:val="22"/>
          <w:szCs w:val="22"/>
          <w:highlight w:val="none"/>
          <w:lang w:val="en-US" w:eastAsia="zh-CN"/>
        </w:rPr>
        <w:t>（如有）</w:t>
      </w:r>
    </w:p>
    <w:tbl>
      <w:tblPr>
        <w:tblStyle w:val="16"/>
        <w:tblW w:w="7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273"/>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28"/>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273" w:type="dxa"/>
          </w:tcPr>
          <w:p w14:paraId="12AA4836">
            <w:pPr>
              <w:pStyle w:val="28"/>
              <w:keepNext w:val="0"/>
              <w:keepLines w:val="0"/>
              <w:suppressLineNumbers w:val="0"/>
              <w:spacing w:before="81" w:beforeAutospacing="0" w:after="0" w:afterAutospacing="0"/>
              <w:ind w:right="-57" w:rightChars="0"/>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28"/>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28"/>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28"/>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273" w:type="dxa"/>
          </w:tcPr>
          <w:p w14:paraId="2020A1E6">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4A66DDDD">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28"/>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273" w:type="dxa"/>
          </w:tcPr>
          <w:p w14:paraId="420E43FC">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B34BFD0">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28"/>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273" w:type="dxa"/>
          </w:tcPr>
          <w:p w14:paraId="7FB10930">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B981092">
            <w:pPr>
              <w:pStyle w:val="28"/>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28"/>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3"/>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3F156556">
      <w:pPr>
        <w:pStyle w:val="23"/>
        <w:rPr>
          <w:rFonts w:hint="eastAsia" w:ascii="仿宋" w:hAnsi="仿宋" w:eastAsia="仿宋" w:cs="仿宋"/>
          <w:b/>
          <w:bCs w:val="0"/>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请在上表后提供：</w:t>
      </w:r>
    </w:p>
    <w:p w14:paraId="14FBD7D5">
      <w:pPr>
        <w:pStyle w:val="23"/>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①响应文件中须提供有效的认证证书扫描件；②须同时提供国家认证认可监督管理委员会官网（www.cnca.gov.cn）或全国认证认可信息公共服务平台（cx.cnca.cn）的查询截图，证书须在有效期内；③以上资料均加盖供应商公章，未提供或提供无效的不得分；</w:t>
      </w:r>
    </w:p>
    <w:p w14:paraId="47006AF1">
      <w:pPr>
        <w:pStyle w:val="23"/>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9D2A826">
      <w:pPr>
        <w:pStyle w:val="21"/>
        <w:rPr>
          <w:rFonts w:hint="eastAsia" w:ascii="仿宋" w:hAnsi="仿宋" w:eastAsia="仿宋" w:cs="仿宋"/>
          <w:color w:val="auto"/>
          <w:sz w:val="24"/>
          <w:szCs w:val="24"/>
          <w:highlight w:val="none"/>
        </w:rPr>
      </w:pPr>
    </w:p>
    <w:p w14:paraId="691A4D9A">
      <w:pPr>
        <w:pStyle w:val="21"/>
        <w:rPr>
          <w:rFonts w:hint="eastAsia" w:ascii="仿宋" w:hAnsi="仿宋" w:eastAsia="仿宋" w:cs="仿宋"/>
          <w:color w:val="auto"/>
          <w:sz w:val="24"/>
          <w:szCs w:val="24"/>
          <w:highlight w:val="none"/>
        </w:rPr>
      </w:pPr>
    </w:p>
    <w:p w14:paraId="4D8056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55B79B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2DD9D93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455C3C6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696C1D96">
      <w:pPr>
        <w:pStyle w:val="2"/>
        <w:rPr>
          <w:rFonts w:hint="eastAsia" w:ascii="黑体" w:hAnsi="黑体" w:eastAsia="黑体" w:cs="黑体"/>
          <w:b/>
          <w:bCs/>
          <w:sz w:val="40"/>
          <w:szCs w:val="40"/>
          <w:highlight w:val="none"/>
          <w:lang w:val="en-US" w:eastAsia="zh-CN"/>
        </w:rPr>
      </w:pPr>
    </w:p>
    <w:p w14:paraId="45FAF1C0">
      <w:pPr>
        <w:rPr>
          <w:rFonts w:hint="eastAsia" w:ascii="黑体" w:hAnsi="黑体" w:eastAsia="黑体" w:cs="黑体"/>
          <w:b/>
          <w:bCs/>
          <w:sz w:val="40"/>
          <w:szCs w:val="40"/>
          <w:highlight w:val="none"/>
          <w:lang w:val="en-US" w:eastAsia="zh-CN"/>
        </w:rPr>
      </w:pPr>
    </w:p>
    <w:p w14:paraId="5D3A7B1D">
      <w:pPr>
        <w:pStyle w:val="2"/>
        <w:rPr>
          <w:rFonts w:hint="eastAsia" w:ascii="黑体" w:hAnsi="黑体" w:eastAsia="黑体" w:cs="黑体"/>
          <w:b/>
          <w:bCs/>
          <w:sz w:val="40"/>
          <w:szCs w:val="40"/>
          <w:highlight w:val="none"/>
          <w:lang w:val="en-US" w:eastAsia="zh-CN"/>
        </w:rPr>
      </w:pPr>
    </w:p>
    <w:p w14:paraId="7C116F8C">
      <w:pPr>
        <w:rPr>
          <w:rFonts w:hint="eastAsia" w:ascii="黑体" w:hAnsi="黑体" w:eastAsia="黑体" w:cs="黑体"/>
          <w:b/>
          <w:bCs/>
          <w:sz w:val="40"/>
          <w:szCs w:val="40"/>
          <w:highlight w:val="none"/>
          <w:lang w:val="en-US" w:eastAsia="zh-CN"/>
        </w:rPr>
      </w:pPr>
    </w:p>
    <w:p w14:paraId="0B8C4AF0">
      <w:pPr>
        <w:pStyle w:val="2"/>
        <w:rPr>
          <w:rFonts w:hint="eastAsia" w:ascii="黑体" w:hAnsi="黑体" w:eastAsia="黑体" w:cs="黑体"/>
          <w:b/>
          <w:bCs/>
          <w:sz w:val="40"/>
          <w:szCs w:val="40"/>
          <w:highlight w:val="none"/>
          <w:lang w:val="en-US" w:eastAsia="zh-CN"/>
        </w:rPr>
      </w:pPr>
    </w:p>
    <w:p w14:paraId="6FA2A275">
      <w:pPr>
        <w:rPr>
          <w:rFonts w:hint="eastAsia"/>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16"/>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szCs w:val="21"/>
                <w:lang w:val="en-US" w:eastAsia="zh-CN"/>
              </w:rPr>
              <w:t>▲号重要条款响应情况</w:t>
            </w:r>
          </w:p>
        </w:tc>
        <w:tc>
          <w:tcPr>
            <w:tcW w:w="5221" w:type="dxa"/>
            <w:vAlign w:val="top"/>
          </w:tcPr>
          <w:p w14:paraId="06918E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根据供应商对《用户需求书》中标注“▲”的条款响应情况进行评审。本项目▲条款共4项：每响应一项（响应为“正偏离”或“</w:t>
            </w:r>
            <w:r>
              <w:rPr>
                <w:rFonts w:hint="eastAsia" w:ascii="仿宋" w:hAnsi="仿宋" w:eastAsia="仿宋" w:cs="仿宋"/>
                <w:color w:val="auto"/>
                <w:sz w:val="20"/>
                <w:szCs w:val="20"/>
                <w:highlight w:val="none"/>
                <w:lang w:val="en-US" w:eastAsia="zh-CN"/>
              </w:rPr>
              <w:t>完全</w:t>
            </w:r>
            <w:r>
              <w:rPr>
                <w:rFonts w:hint="eastAsia" w:ascii="仿宋" w:hAnsi="仿宋" w:eastAsia="仿宋" w:cs="仿宋"/>
                <w:color w:val="auto"/>
                <w:sz w:val="20"/>
                <w:szCs w:val="20"/>
                <w:highlight w:val="none"/>
                <w:lang w:eastAsia="zh-CN"/>
              </w:rPr>
              <w:t>符合”或“无偏离”）得2分；响应为“负偏离”的，该项不得分，满分8分。</w:t>
            </w:r>
          </w:p>
          <w:p w14:paraId="0AA23C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auto"/>
                <w:sz w:val="20"/>
                <w:szCs w:val="20"/>
                <w:highlight w:val="none"/>
                <w:lang w:eastAsia="zh-CN"/>
              </w:rPr>
              <w:t>注：提供承诺函，加盖公章。</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项目实施与保障方案</w:t>
            </w:r>
          </w:p>
        </w:tc>
        <w:tc>
          <w:tcPr>
            <w:tcW w:w="5221" w:type="dxa"/>
            <w:vAlign w:val="center"/>
          </w:tcPr>
          <w:p w14:paraId="66C62F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聚焦项目实施部署、运维保障、售后服务等“执行层面”，不包含系统架构设计。包含以下5项内容：</w:t>
            </w:r>
          </w:p>
          <w:p w14:paraId="24086A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1.项目重点难点分析及总体部署</w:t>
            </w:r>
            <w:r>
              <w:rPr>
                <w:rFonts w:hint="eastAsia" w:ascii="仿宋" w:hAnsi="仿宋" w:eastAsia="仿宋" w:cs="仿宋"/>
                <w:color w:val="000000"/>
                <w:sz w:val="20"/>
                <w:szCs w:val="20"/>
                <w:lang w:val="en-US" w:eastAsia="zh-CN"/>
              </w:rPr>
              <w:tab/>
            </w:r>
            <w:r>
              <w:rPr>
                <w:rFonts w:hint="eastAsia" w:ascii="仿宋" w:hAnsi="仿宋" w:eastAsia="仿宋" w:cs="仿宋"/>
                <w:color w:val="000000"/>
                <w:sz w:val="20"/>
                <w:szCs w:val="20"/>
                <w:lang w:val="en-US" w:eastAsia="zh-CN"/>
              </w:rPr>
              <w:t>：分析三甲医院病房电视服务的特殊难点，包括但不限于：多院区（北院、南院）协同部署；医院环境对施工的严格限制（噪音、灰尘、震动）；医疗信息内容审核要求；终端设备兼容性（不同品牌/型号电视）；与医院现有网络/系统的对接难点。并据此提出总体部署方案（含设备清单、施工计划、分区作业安排等）。</w:t>
            </w:r>
          </w:p>
          <w:p w14:paraId="6240C54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2.线路调测与维护方案：含对点位的线路巡检计划、综合布线保养检修、信号调测流程。</w:t>
            </w:r>
          </w:p>
          <w:p w14:paraId="1129E35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3.质量保障措施：含设备质量保障、施工质量保障、服务质量监督机制。</w:t>
            </w:r>
          </w:p>
          <w:p w14:paraId="0B9D86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4.应急服务方案：含不同情景的应急流程（信号中断、设备批量故障、自然灾害等）、备用设备提供方案、48小时内恢复承诺、应急联系人及7×24h联系方式。</w:t>
            </w:r>
          </w:p>
          <w:p w14:paraId="01353FF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5.日常售后服务与培训方案：含7×24h技术故障支持、专职售后团队、故障分级响应机制、全保服务（不另行收费）、对医院操作人员的培训计划（内容及频次）。</w:t>
            </w:r>
          </w:p>
          <w:p w14:paraId="4570A2B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000000"/>
                <w:sz w:val="20"/>
                <w:szCs w:val="20"/>
                <w:lang w:val="en-US" w:eastAsia="zh-CN"/>
              </w:rPr>
            </w:pPr>
          </w:p>
          <w:p w14:paraId="7BD36A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lang w:val="en-US" w:eastAsia="zh-CN"/>
              </w:rPr>
              <w:t>注：每提供1项且方案完善、具体、可行性强、完全契合医院实际场景，完全满足或优于采购需求的，得4分；方案基本完整、具备一定可行性但细节不足，能满足采购需求的，得2.5分；方案较为片面或存在明显缺陷，部分满足采购需求的，得1分；未提供或内容严重偏离的不得分。满分20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D4E0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9FD0FA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5C49BA3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highlight w:val="none"/>
              </w:rPr>
            </w:pPr>
            <w: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t>IPTV系统技术方案</w:t>
            </w:r>
          </w:p>
        </w:tc>
        <w:tc>
          <w:tcPr>
            <w:tcW w:w="5221" w:type="dxa"/>
            <w:vAlign w:val="center"/>
          </w:tcPr>
          <w:p w14:paraId="638E18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聚焦于系统架构、安全、扩展性等技术层面，不包含具体功能描述（功能由演示项验证）。包含以下3项：</w:t>
            </w:r>
          </w:p>
          <w:p w14:paraId="5BD140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 系统总体架构设计：提供IPTV系统逻辑架构图与物理拓扑图，明确前端（内容管理、转码、存储）、传输网络（支持光纤/IP）、终端（机顶盒/智能电视）、管理后台四层架构，并说明各层数据流与控制流，以及如何支持911个点位并发播放。</w:t>
            </w:r>
          </w:p>
          <w:p w14:paraId="42B4EC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 数据安全与播出安全设计</w:t>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ab/>
            </w: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：包括内容审核机制（视频/图文上传后经审核方可发布）；播出控制（防止非法内容插播）；用户隐私保护（不收集患者个人信息）；终端接入认证（防止非法终端接入）。</w:t>
            </w:r>
          </w:p>
          <w:p w14:paraId="53F340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 平台可扩展性与兼容性设计：支持未来新增点位（光纤接入）的能力；适配不同品牌/型号电视终端的方案（多格式视频转码、自适应分辨率）；是否支持与第三方系统（如医院HIS）对接推送健康信息。</w:t>
            </w:r>
          </w:p>
          <w:p w14:paraId="11EC80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p>
          <w:p w14:paraId="486425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注：每提供1项且方案完善、可行性强、完全契合医院实际场景的，得3分；方案基本完整、具备一定可行性但细节不足的，得2分；方案较为片面或存在明显缺陷的，得1分；未提供或内容严重偏离的不得分。满分9分。</w:t>
            </w:r>
          </w:p>
        </w:tc>
        <w:tc>
          <w:tcPr>
            <w:tcW w:w="1373" w:type="dxa"/>
            <w:vAlign w:val="center"/>
          </w:tcPr>
          <w:p w14:paraId="2DCED9E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4832E6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19408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5D5F27E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14:paraId="1D24CAB1">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themeColor="text1"/>
                <w:kern w:val="2"/>
                <w:sz w:val="21"/>
                <w:szCs w:val="21"/>
                <w:highlight w:val="none"/>
                <w:lang w:val="en-US" w:eastAsia="zh-CN" w:bidi="ar"/>
                <w14:textFill>
                  <w14:solidFill>
                    <w14:schemeClr w14:val="tx1"/>
                  </w14:solidFill>
                </w14:textFill>
              </w:rPr>
            </w:pPr>
            <w:r>
              <w:rPr>
                <w:rFonts w:hint="eastAsia" w:ascii="仿宋" w:hAnsi="仿宋" w:eastAsia="仿宋" w:cs="仿宋"/>
                <w:color w:val="000000"/>
                <w:szCs w:val="21"/>
                <w:lang w:val="en-US" w:eastAsia="zh-CN"/>
              </w:rPr>
              <w:t>个性化服务功能演示</w:t>
            </w:r>
          </w:p>
        </w:tc>
        <w:tc>
          <w:tcPr>
            <w:tcW w:w="5221" w:type="dxa"/>
            <w:shd w:val="clear" w:color="auto" w:fill="auto"/>
            <w:vAlign w:val="center"/>
          </w:tcPr>
          <w:p w14:paraId="08DFEAC6">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供应商需提供录制视频，动态演示以下功能。供应商需采用系统或原型进行动态演示，演示系统页面须体现“孙逸仙纪念医院”logo，仅采用PPT、截图演示或不参与演示的，该项不得分。</w:t>
            </w:r>
          </w:p>
          <w:p w14:paraId="3B47F368">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1）电视开机画面定制演示（4分）：展示首页4大功能模块（医院介绍、就医指南、健康教育、电视直播）的定制设计；展示管理后台对终端界面样式、功能模块的自定义管控操作。两项均成功演示得4分，仅演示一项得2分。</w:t>
            </w:r>
          </w:p>
          <w:p w14:paraId="35E07CCE">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（2）视频上传操作演示（3分）：展示支持多个不同格式（MP4、AVI、MKV等）视频文件的上传，并能适配不同电视终端播放（模拟至少两种分辨率）。完整演示上传、转码（如有）及播放效果得3分。</w:t>
            </w:r>
          </w:p>
          <w:p w14:paraId="47C39953">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（3）图文内容上传发布演示（3分）：展示支持纯图片（JPG/PNG/BMP等）或“图片+文字”组合内容的上传，发布后在电视端正确显示图文排版。完整演示得3分。</w:t>
            </w:r>
          </w:p>
          <w:p w14:paraId="0D3CA7B0">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4）内容播控管理及电视端EPG功能实景展示（3分）：展示后台按需求向病房电视推送信息（如健康提示），同时在电视端EPG界面实时同步显示该信息。需展示后台操作与电视端实景（可模拟或录屏）。完整演示得3分。</w:t>
            </w:r>
          </w:p>
          <w:p w14:paraId="4C10D1A4">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p>
          <w:p w14:paraId="464E1266">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演示要求：视频时长不超过15分钟，画面字体清晰、声音清楚、播放流畅，录制好的视频文件拷贝到U盘，单独封装与响应文件一并提交。</w:t>
            </w:r>
          </w:p>
          <w:p w14:paraId="0EAA7BA4">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孙逸仙纪念医院logo如下：</w:t>
            </w:r>
          </w:p>
          <w:p w14:paraId="713BBEB1">
            <w:pPr>
              <w:rPr>
                <w:rFonts w:hint="eastAsia"/>
                <w:sz w:val="20"/>
                <w:szCs w:val="20"/>
                <w:highlight w:val="none"/>
                <w:lang w:val="en-US" w:eastAsia="zh-CN"/>
              </w:rPr>
            </w:pPr>
            <w:r>
              <w:rPr>
                <w:rFonts w:hint="eastAsia"/>
                <w:sz w:val="20"/>
                <w:szCs w:val="20"/>
                <w:highlight w:val="none"/>
                <w:lang w:val="en-US" w:eastAsia="zh-CN"/>
              </w:rPr>
              <w:drawing>
                <wp:inline distT="0" distB="0" distL="114300" distR="114300">
                  <wp:extent cx="944245" cy="788035"/>
                  <wp:effectExtent l="0" t="0" r="8255" b="12065"/>
                  <wp:docPr id="8" name="图片 8" descr="二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二院logo"/>
                          <pic:cNvPicPr>
                            <a:picLocks noChangeAspect="1"/>
                          </pic:cNvPicPr>
                        </pic:nvPicPr>
                        <pic:blipFill>
                          <a:blip r:embed="rId6"/>
                          <a:stretch>
                            <a:fillRect/>
                          </a:stretch>
                        </pic:blipFill>
                        <pic:spPr>
                          <a:xfrm>
                            <a:off x="0" y="0"/>
                            <a:ext cx="944245" cy="788035"/>
                          </a:xfrm>
                          <a:prstGeom prst="rect">
                            <a:avLst/>
                          </a:prstGeom>
                        </pic:spPr>
                      </pic:pic>
                    </a:graphicData>
                  </a:graphic>
                </wp:inline>
              </w:drawing>
            </w:r>
            <w:r>
              <w:rPr>
                <w:rFonts w:hint="eastAsia"/>
                <w:sz w:val="20"/>
                <w:szCs w:val="20"/>
                <w:highlight w:val="none"/>
                <w:lang w:val="en-US" w:eastAsia="zh-CN"/>
              </w:rPr>
              <w:drawing>
                <wp:inline distT="0" distB="0" distL="114300" distR="114300">
                  <wp:extent cx="3157220" cy="656590"/>
                  <wp:effectExtent l="0" t="0" r="5080" b="10160"/>
                  <wp:docPr id="9" name="图片 9"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11"/>
                          <pic:cNvPicPr>
                            <a:picLocks noChangeAspect="1"/>
                          </pic:cNvPicPr>
                        </pic:nvPicPr>
                        <pic:blipFill>
                          <a:blip r:embed="rId7"/>
                          <a:stretch>
                            <a:fillRect/>
                          </a:stretch>
                        </pic:blipFill>
                        <pic:spPr>
                          <a:xfrm>
                            <a:off x="0" y="0"/>
                            <a:ext cx="3157220" cy="656590"/>
                          </a:xfrm>
                          <a:prstGeom prst="rect">
                            <a:avLst/>
                          </a:prstGeom>
                        </pic:spPr>
                      </pic:pic>
                    </a:graphicData>
                  </a:graphic>
                </wp:inline>
              </w:drawing>
            </w:r>
          </w:p>
          <w:p w14:paraId="23F0CD28">
            <w:pPr>
              <w:pStyle w:val="2"/>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000000"/>
                <w:kern w:val="2"/>
                <w:sz w:val="20"/>
                <w:szCs w:val="20"/>
                <w:lang w:val="en-US" w:eastAsia="zh-CN" w:bidi="ar-SA"/>
              </w:rPr>
            </w:pPr>
            <w:r>
              <w:rPr>
                <w:rFonts w:hint="eastAsia"/>
                <w:sz w:val="20"/>
                <w:szCs w:val="20"/>
                <w:highlight w:val="none"/>
                <w:lang w:val="en-US" w:eastAsia="zh-CN"/>
              </w:rPr>
              <w:drawing>
                <wp:inline distT="0" distB="0" distL="114300" distR="114300">
                  <wp:extent cx="2642870" cy="323215"/>
                  <wp:effectExtent l="0" t="0" r="5080" b="635"/>
                  <wp:docPr id="10" name="图片 10" descr="院训电子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院训电子版"/>
                          <pic:cNvPicPr>
                            <a:picLocks noChangeAspect="1"/>
                          </pic:cNvPicPr>
                        </pic:nvPicPr>
                        <pic:blipFill>
                          <a:blip r:embed="rId8"/>
                          <a:stretch>
                            <a:fillRect/>
                          </a:stretch>
                        </pic:blipFill>
                        <pic:spPr>
                          <a:xfrm>
                            <a:off x="0" y="0"/>
                            <a:ext cx="2642870" cy="323215"/>
                          </a:xfrm>
                          <a:prstGeom prst="rect">
                            <a:avLst/>
                          </a:prstGeom>
                        </pic:spPr>
                      </pic:pic>
                    </a:graphicData>
                  </a:graphic>
                </wp:inline>
              </w:drawing>
            </w:r>
          </w:p>
        </w:tc>
        <w:tc>
          <w:tcPr>
            <w:tcW w:w="1373" w:type="dxa"/>
            <w:vAlign w:val="center"/>
          </w:tcPr>
          <w:p w14:paraId="0B88FFE9">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9B4DC9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3"/>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F942A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37020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E6A8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FE97F2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F5FB3B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ADA5B6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5381BE0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E6B64F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9C781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EAE8E4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33F2A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C28DD4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81D314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847B8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2DE10A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505B6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2A17D7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D7B78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0C567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14:paraId="1B406540">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1、▲号重要条款响应情况</w:t>
      </w:r>
    </w:p>
    <w:p w14:paraId="65B659B4">
      <w:pPr>
        <w:pStyle w:val="2"/>
        <w:spacing w:line="364" w:lineRule="auto"/>
        <w:ind w:right="86" w:rightChars="0"/>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中山大学孙逸仙纪念医院南北院区病房电视服务套餐采购项目</w:t>
      </w:r>
    </w:p>
    <w:tbl>
      <w:tblPr>
        <w:tblStyle w:val="16"/>
        <w:tblW w:w="8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5951"/>
        <w:gridCol w:w="1819"/>
      </w:tblGrid>
      <w:tr w14:paraId="5849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A5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59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带“▲”号的重要条款</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B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实际响应情况</w:t>
            </w:r>
          </w:p>
        </w:tc>
      </w:tr>
      <w:tr w14:paraId="2AFF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A4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064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供应商为采购人提供符合国家标准的高清机顶盒、遥控器等收看数字电视必备的配套设备，并且配套设备能与原机匹配正常使用。采购人提供高清机顶盒、遥控器等配套设备需求后，供应商需按采购人要求的数量在规定时间内送达。该项服务及配套设备投入均已包含在响应报价内。</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29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A4F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AE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92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如机顶盒（含遥控器）、路由器等设备由供应商投入的，所有权属供应商，供应商定期维护更新更换设备，除新增点位外，采购人不支付任何售后维修维护费用。服务期满后，采购人归还设备所有权归属。该项服务及配套设备投入均已包含在响应报价内。</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104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7EF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04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36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▲为满足医院的整体运营要求，5个工作日内按照需求完成采购人病房电视系统信号设备的供货、安装与接入信号调试，并交付至采购人验收、使用。若供应商逾期完成，每逾期一日，应按合同暂定总价的1% 向采购人支付违约金；逾期超过5日的，采购人有权单方解除合同，且供应商仍应承担前述违约责任。</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6E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r w14:paraId="1256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F5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5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00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▲若采购人根据实际需要提出新增收视点位的需求，供应商需收到采购人通知起5个工作日内为采购人新增收视点位（包括布线等全部工作）。若供应商逾期完成，每逾期一日，应按合同暂定总价的1% 向采购人支付违约金；逾期超过5日的，采购人有权单方解除合同，且供应商仍应承担前述违约责任。</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3F7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1"/>
                <w:szCs w:val="21"/>
                <w:u w:val="none"/>
              </w:rPr>
            </w:pPr>
          </w:p>
        </w:tc>
      </w:tr>
    </w:tbl>
    <w:p w14:paraId="0A066D47">
      <w:pPr>
        <w:pStyle w:val="23"/>
        <w:ind w:left="0" w:leftChars="0" w:firstLine="0" w:firstLineChars="0"/>
        <w:jc w:val="left"/>
        <w:rPr>
          <w:rFonts w:hint="eastAsia" w:ascii="仿宋" w:hAnsi="仿宋" w:eastAsia="仿宋" w:cs="仿宋"/>
          <w:color w:val="000000" w:themeColor="text1"/>
          <w:kern w:val="2"/>
          <w:sz w:val="21"/>
          <w:szCs w:val="21"/>
          <w:highlight w:val="none"/>
          <w14:textFill>
            <w14:solidFill>
              <w14:schemeClr w14:val="tx1"/>
            </w14:solidFill>
          </w14:textFill>
        </w:rPr>
      </w:pPr>
    </w:p>
    <w:p w14:paraId="2C8742AE">
      <w:pPr>
        <w:pStyle w:val="23"/>
        <w:ind w:left="0" w:leftChars="0" w:firstLine="0" w:firstLineChars="0"/>
        <w:jc w:val="left"/>
        <w:rPr>
          <w:rFonts w:hint="eastAsia" w:ascii="仿宋" w:hAnsi="仿宋" w:eastAsia="仿宋" w:cs="仿宋"/>
          <w:b/>
          <w:bCs/>
          <w:color w:val="000000" w:themeColor="text1"/>
          <w:kern w:val="2"/>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注：</w:t>
      </w:r>
      <w:r>
        <w:rPr>
          <w:rFonts w:hint="eastAsia" w:ascii="仿宋" w:hAnsi="仿宋" w:eastAsia="仿宋" w:cs="仿宋"/>
          <w:color w:val="000000" w:themeColor="text1"/>
          <w:kern w:val="2"/>
          <w:sz w:val="21"/>
          <w:szCs w:val="21"/>
          <w:highlight w:val="none"/>
          <w:lang w:val="en-US" w:eastAsia="zh-CN"/>
          <w14:textFill>
            <w14:solidFill>
              <w14:schemeClr w14:val="tx1"/>
            </w14:solidFill>
          </w14:textFill>
        </w:rPr>
        <w:t>提供承诺函，加盖公章。</w:t>
      </w:r>
    </w:p>
    <w:p w14:paraId="1538DD0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4F0F55F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7D395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8259E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11716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A45EB5F">
      <w:pPr>
        <w:pStyle w:val="23"/>
        <w:jc w:val="center"/>
        <w:rPr>
          <w:rFonts w:hint="eastAsia" w:ascii="仿宋" w:hAnsi="仿宋" w:eastAsia="仿宋" w:cs="仿宋"/>
          <w:b/>
          <w:bCs w:val="0"/>
          <w:sz w:val="32"/>
          <w:szCs w:val="32"/>
          <w:highlight w:val="none"/>
          <w:lang w:val="en-US" w:eastAsia="zh-CN"/>
        </w:rPr>
      </w:pPr>
    </w:p>
    <w:p w14:paraId="32BE440F">
      <w:pPr>
        <w:pStyle w:val="23"/>
        <w:jc w:val="center"/>
        <w:rPr>
          <w:rFonts w:hint="eastAsia" w:ascii="仿宋" w:hAnsi="仿宋" w:eastAsia="仿宋" w:cs="仿宋"/>
          <w:b/>
          <w:bCs w:val="0"/>
          <w:sz w:val="32"/>
          <w:szCs w:val="32"/>
          <w:highlight w:val="none"/>
          <w:lang w:val="en-US" w:eastAsia="zh-CN"/>
        </w:rPr>
      </w:pPr>
    </w:p>
    <w:p w14:paraId="24A7C656">
      <w:pPr>
        <w:pStyle w:val="23"/>
        <w:jc w:val="center"/>
        <w:rPr>
          <w:rFonts w:hint="eastAsia" w:ascii="仿宋" w:hAnsi="仿宋" w:eastAsia="仿宋" w:cs="仿宋"/>
          <w:b/>
          <w:bCs w:val="0"/>
          <w:sz w:val="32"/>
          <w:szCs w:val="32"/>
          <w:highlight w:val="none"/>
          <w:lang w:val="en-US" w:eastAsia="zh-CN"/>
        </w:rPr>
      </w:pPr>
    </w:p>
    <w:p w14:paraId="331BBBEA">
      <w:pPr>
        <w:pStyle w:val="23"/>
        <w:jc w:val="center"/>
        <w:rPr>
          <w:rFonts w:hint="eastAsia" w:ascii="仿宋" w:hAnsi="仿宋" w:eastAsia="仿宋" w:cs="仿宋"/>
          <w:b/>
          <w:bCs w:val="0"/>
          <w:sz w:val="32"/>
          <w:szCs w:val="32"/>
          <w:highlight w:val="none"/>
          <w:lang w:val="en-US" w:eastAsia="zh-CN"/>
        </w:rPr>
      </w:pPr>
    </w:p>
    <w:p w14:paraId="5B7B8CA4">
      <w:pPr>
        <w:pStyle w:val="23"/>
        <w:jc w:val="center"/>
        <w:rPr>
          <w:rFonts w:hint="eastAsia" w:ascii="仿宋" w:hAnsi="仿宋" w:eastAsia="仿宋" w:cs="仿宋"/>
          <w:b/>
          <w:bCs w:val="0"/>
          <w:sz w:val="36"/>
          <w:szCs w:val="36"/>
          <w:highlight w:val="none"/>
          <w:lang w:val="en-US" w:eastAsia="zh-CN"/>
        </w:rPr>
      </w:pPr>
      <w:r>
        <w:rPr>
          <w:rFonts w:hint="eastAsia" w:ascii="仿宋" w:hAnsi="仿宋" w:eastAsia="仿宋" w:cs="仿宋"/>
          <w:b/>
          <w:bCs w:val="0"/>
          <w:sz w:val="36"/>
          <w:szCs w:val="36"/>
          <w:highlight w:val="none"/>
          <w:lang w:val="en-US" w:eastAsia="zh-CN"/>
        </w:rPr>
        <w:t>关于“▲号重要条款”的响应承诺函</w:t>
      </w:r>
      <w:r>
        <w:rPr>
          <w:rFonts w:hint="eastAsia" w:ascii="仿宋" w:hAnsi="仿宋" w:eastAsia="仿宋" w:cs="仿宋"/>
          <w:b/>
          <w:bCs w:val="0"/>
          <w:sz w:val="24"/>
          <w:szCs w:val="24"/>
          <w:highlight w:val="none"/>
          <w:lang w:val="en-US" w:eastAsia="zh-CN"/>
        </w:rPr>
        <w:t>（如有）</w:t>
      </w:r>
    </w:p>
    <w:p w14:paraId="7655CB2E">
      <w:pPr>
        <w:pStyle w:val="2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（格式自拟，仅作参考）</w:t>
      </w:r>
    </w:p>
    <w:p w14:paraId="2C15E8F5">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4"/>
          <w:szCs w:val="24"/>
          <w:highlight w:val="none"/>
          <w:lang w:val="en-US" w:eastAsia="zh-CN"/>
        </w:rPr>
      </w:pPr>
    </w:p>
    <w:p w14:paraId="2197FE99">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致：中山大学孙逸仙纪念医院</w:t>
      </w:r>
    </w:p>
    <w:p w14:paraId="2AE1836D">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我司，</w:t>
      </w:r>
      <w:r>
        <w:rPr>
          <w:rFonts w:hint="eastAsia" w:ascii="仿宋" w:hAnsi="仿宋" w:eastAsia="仿宋" w:cs="仿宋"/>
          <w:sz w:val="32"/>
          <w:szCs w:val="32"/>
          <w:highlight w:val="none"/>
          <w:u w:val="single"/>
          <w:lang w:val="en-US" w:eastAsia="zh-CN"/>
        </w:rPr>
        <w:t>（供应商名称）</w:t>
      </w:r>
      <w:r>
        <w:rPr>
          <w:rFonts w:hint="eastAsia" w:ascii="仿宋" w:hAnsi="仿宋" w:eastAsia="仿宋" w:cs="仿宋"/>
          <w:sz w:val="32"/>
          <w:szCs w:val="32"/>
          <w:highlight w:val="none"/>
          <w:lang w:val="en-US" w:eastAsia="zh-CN"/>
        </w:rPr>
        <w:t>，在此郑重承诺：</w:t>
      </w:r>
    </w:p>
    <w:p w14:paraId="4DA43499">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我方已仔细阅读并完全理解</w:t>
      </w:r>
      <w:r>
        <w:rPr>
          <w:rFonts w:hint="eastAsia" w:ascii="仿宋" w:hAnsi="仿宋" w:eastAsia="仿宋" w:cs="仿宋"/>
          <w:sz w:val="32"/>
          <w:szCs w:val="32"/>
          <w:highlight w:val="none"/>
          <w:u w:val="single"/>
          <w:lang w:val="en-US" w:eastAsia="zh-CN"/>
        </w:rPr>
        <w:t>中山大学孙逸仙纪念医院南北院区病房电视服务套餐采购项目</w:t>
      </w:r>
      <w:r>
        <w:rPr>
          <w:rFonts w:hint="eastAsia" w:ascii="仿宋" w:hAnsi="仿宋" w:eastAsia="仿宋" w:cs="仿宋"/>
          <w:sz w:val="32"/>
          <w:szCs w:val="32"/>
          <w:highlight w:val="none"/>
          <w:lang w:val="en-US" w:eastAsia="zh-CN"/>
        </w:rPr>
        <w:t>采购文件中所有带“▲”号的重要条款内容。为保障本项目顺利履约，满足医院的整体运营要求，我方在此不可撤销地作出以下承诺：</w:t>
      </w:r>
    </w:p>
    <w:p w14:paraId="41D83850">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关于配套设备投入的承诺：我方承诺，若我方成交，将为采购人提供符合国家标准的高清机顶盒、遥控器等收看数字电视必备的配套设备，并确保该配套设备能与原有机顶盒/系统匹配并正常使用。采购人提出需求后，我方承诺按采购人要求的数量在规定时间内送达。该项服务及配套设备的全部投入费用均已包含在本次响应报价内。</w:t>
      </w:r>
    </w:p>
    <w:p w14:paraId="0D70A275">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关于设备产权及维护的承诺：我方承诺，由我方投入的机顶盒（含遥控器）、路由器等设备，所有权归属我方。服务期内，我方负责定期维护、更新及更换故障设备。除采购人提出新增点位需求外，采购人无需支付任何售后维修、维护费用。服务期满后，采购人归还设备，我方自行回收。该项服务及配套设备投入均已包含在响应报价内。</w:t>
      </w:r>
    </w:p>
    <w:p w14:paraId="68020D89">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关于交付与调试周期的承诺：为满足医院的整体运营要求，我方承诺在收到采购人书面通知后5个工作日内按照需求完成采购人病房电视系统信号设备的供货、安装与接入信号调试工作，并交付至采购人验收、使用。若我方逾期完成，每逾期一日，应按合同暂定总价的1% 向采购人支付违约金；逾期超过5日的，采购人有权单方解除合同，且我方仍应承担前述违约责任。</w:t>
      </w:r>
    </w:p>
    <w:p w14:paraId="725AA08F">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4.关于新增点位的承诺：服务期内，若采购人根据实际需要提出新增收视点位的需求（包括布线等全部工作），我方承诺在收到采购人通知起 5个工作日内完成新增点位的施工、安装及信号接入。若我方逾期完成，每逾期一日，应按合同暂定总价的1% 向采购人支付违约金；逾期超过5日的，采购人有权单方解除合同，且我方仍应承担前述违约责任。</w:t>
      </w:r>
    </w:p>
    <w:p w14:paraId="0208DEA6">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我方确认，上述承诺已充分考虑本项目服务的连续性与医院的应急需求。若我方未能履行上述承诺，采购人有权依据采购文件及合同约定追究我方的违约责任。</w:t>
      </w:r>
    </w:p>
    <w:p w14:paraId="16BC2403">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特此承诺。</w:t>
      </w:r>
    </w:p>
    <w:p w14:paraId="54DE4CE8">
      <w:pPr>
        <w:pStyle w:val="23"/>
        <w:rPr>
          <w:rFonts w:hint="eastAsia" w:ascii="仿宋" w:hAnsi="仿宋" w:eastAsia="仿宋" w:cs="仿宋"/>
          <w:sz w:val="32"/>
          <w:szCs w:val="32"/>
          <w:highlight w:val="none"/>
          <w:lang w:eastAsia="zh-CN"/>
        </w:rPr>
      </w:pPr>
    </w:p>
    <w:p w14:paraId="6454AFD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240" w:firstLineChars="7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人名称（盖公章）：</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64C7045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240" w:firstLineChars="7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响应</w:t>
      </w:r>
      <w:r>
        <w:rPr>
          <w:rFonts w:hint="eastAsia" w:ascii="仿宋" w:hAnsi="仿宋" w:eastAsia="仿宋" w:cs="仿宋"/>
          <w:color w:val="auto"/>
          <w:sz w:val="32"/>
          <w:szCs w:val="32"/>
          <w:highlight w:val="none"/>
        </w:rPr>
        <w:t>人法定代表人或</w:t>
      </w:r>
      <w:r>
        <w:rPr>
          <w:rFonts w:hint="eastAsia" w:ascii="仿宋" w:hAnsi="仿宋" w:eastAsia="仿宋" w:cs="仿宋"/>
          <w:color w:val="auto"/>
          <w:sz w:val="32"/>
          <w:szCs w:val="32"/>
          <w:highlight w:val="none"/>
          <w:lang w:val="en-US" w:eastAsia="zh-CN"/>
        </w:rPr>
        <w:t>法定</w:t>
      </w:r>
      <w:r>
        <w:rPr>
          <w:rFonts w:hint="eastAsia" w:ascii="仿宋" w:hAnsi="仿宋" w:eastAsia="仿宋" w:cs="仿宋"/>
          <w:color w:val="auto"/>
          <w:sz w:val="32"/>
          <w:szCs w:val="32"/>
          <w:highlight w:val="none"/>
        </w:rPr>
        <w:t>授权代表（签字）：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0CDDDEB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2240" w:firstLineChars="7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7A796C7">
      <w:pPr>
        <w:pStyle w:val="23"/>
        <w:jc w:val="center"/>
        <w:rPr>
          <w:rFonts w:hint="eastAsia" w:ascii="仿宋" w:hAnsi="仿宋" w:eastAsia="仿宋" w:cs="仿宋"/>
          <w:b/>
          <w:bCs w:val="0"/>
          <w:sz w:val="32"/>
          <w:szCs w:val="32"/>
          <w:highlight w:val="none"/>
          <w:lang w:val="en-US" w:eastAsia="zh-CN"/>
        </w:rPr>
      </w:pPr>
    </w:p>
    <w:p w14:paraId="266A2939">
      <w:pPr>
        <w:pStyle w:val="23"/>
        <w:jc w:val="center"/>
        <w:rPr>
          <w:rFonts w:hint="eastAsia" w:ascii="仿宋" w:hAnsi="仿宋" w:eastAsia="仿宋" w:cs="仿宋"/>
          <w:b/>
          <w:bCs w:val="0"/>
          <w:sz w:val="32"/>
          <w:szCs w:val="32"/>
          <w:highlight w:val="none"/>
          <w:lang w:val="en-US" w:eastAsia="zh-CN"/>
        </w:rPr>
      </w:pPr>
    </w:p>
    <w:p w14:paraId="4084DB03">
      <w:pPr>
        <w:pStyle w:val="23"/>
        <w:jc w:val="center"/>
        <w:rPr>
          <w:rFonts w:hint="eastAsia" w:ascii="仿宋" w:hAnsi="仿宋" w:eastAsia="仿宋" w:cs="仿宋"/>
          <w:b/>
          <w:bCs w:val="0"/>
          <w:sz w:val="32"/>
          <w:szCs w:val="32"/>
          <w:highlight w:val="none"/>
          <w:lang w:val="en-US" w:eastAsia="zh-CN"/>
        </w:rPr>
      </w:pPr>
      <w:bookmarkStart w:id="76" w:name="_GoBack"/>
      <w:bookmarkEnd w:id="76"/>
      <w:r>
        <w:rPr>
          <w:rFonts w:hint="eastAsia" w:ascii="仿宋" w:hAnsi="仿宋" w:eastAsia="仿宋" w:cs="仿宋"/>
          <w:b/>
          <w:bCs w:val="0"/>
          <w:sz w:val="32"/>
          <w:szCs w:val="32"/>
          <w:highlight w:val="none"/>
          <w:lang w:val="en-US" w:eastAsia="zh-CN"/>
        </w:rPr>
        <w:t>2、项目实施与保障方案</w:t>
      </w:r>
      <w:r>
        <w:rPr>
          <w:rFonts w:hint="eastAsia" w:ascii="仿宋" w:hAnsi="仿宋" w:eastAsia="仿宋" w:cs="仿宋"/>
          <w:b/>
          <w:bCs w:val="0"/>
          <w:sz w:val="22"/>
          <w:szCs w:val="22"/>
          <w:highlight w:val="none"/>
          <w:lang w:val="en-US" w:eastAsia="zh-CN"/>
        </w:rPr>
        <w:t>（如有）</w:t>
      </w:r>
    </w:p>
    <w:p w14:paraId="0AB5EFC8">
      <w:pPr>
        <w:pStyle w:val="2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3698C207">
      <w:pPr>
        <w:pStyle w:val="21"/>
        <w:rPr>
          <w:rFonts w:hint="eastAsia" w:ascii="仿宋" w:hAnsi="仿宋" w:eastAsia="仿宋" w:cs="仿宋"/>
          <w:sz w:val="21"/>
          <w:szCs w:val="21"/>
          <w:highlight w:val="none"/>
        </w:rPr>
      </w:pPr>
    </w:p>
    <w:p w14:paraId="1120D7D9">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聚焦项目实施部署、运维保障、售后服务等“执行层面”，不包含系统架构设计。包含以下5项内容：</w:t>
      </w:r>
    </w:p>
    <w:p w14:paraId="3A5F1D11">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1.项目重点难点分析及总体部署；</w:t>
      </w:r>
    </w:p>
    <w:p w14:paraId="6230F6EC">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2.线路调测与维护方案；</w:t>
      </w:r>
    </w:p>
    <w:p w14:paraId="099B969B">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3.质量保障措施；</w:t>
      </w:r>
    </w:p>
    <w:p w14:paraId="3158E88B">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4.应急服务方案；</w:t>
      </w:r>
    </w:p>
    <w:p w14:paraId="6D23C666">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lang w:val="en-US" w:eastAsia="zh-CN"/>
        </w:rPr>
        <w:t>5.日常</w:t>
      </w:r>
      <w:r>
        <w:rPr>
          <w:rFonts w:hint="eastAsia" w:ascii="仿宋" w:hAnsi="仿宋" w:eastAsia="仿宋" w:cs="仿宋"/>
          <w:sz w:val="24"/>
          <w:szCs w:val="24"/>
          <w:highlight w:val="none"/>
          <w:lang w:eastAsia="zh-CN"/>
        </w:rPr>
        <w:t>售后服务与培训方案。</w:t>
      </w:r>
    </w:p>
    <w:p w14:paraId="1314AB5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0C2B6B8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147839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9FB307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5ABB996">
      <w:pPr>
        <w:pStyle w:val="23"/>
        <w:jc w:val="center"/>
        <w:rPr>
          <w:rFonts w:hint="eastAsia" w:ascii="仿宋" w:hAnsi="仿宋" w:eastAsia="仿宋" w:cs="仿宋"/>
          <w:b/>
          <w:bCs w:val="0"/>
          <w:sz w:val="24"/>
          <w:szCs w:val="24"/>
          <w:highlight w:val="none"/>
          <w:lang w:val="en-US" w:eastAsia="zh-CN"/>
        </w:rPr>
      </w:pPr>
    </w:p>
    <w:p w14:paraId="1AF29D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4"/>
          <w:szCs w:val="24"/>
          <w:highlight w:val="none"/>
          <w:lang w:eastAsia="zh-CN"/>
        </w:rPr>
      </w:pPr>
    </w:p>
    <w:p w14:paraId="05648F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4"/>
          <w:szCs w:val="24"/>
          <w:highlight w:val="none"/>
          <w:lang w:eastAsia="zh-CN"/>
        </w:rPr>
      </w:pPr>
    </w:p>
    <w:p w14:paraId="4E076D1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仿宋" w:hAnsi="仿宋" w:eastAsia="仿宋" w:cs="仿宋"/>
          <w:sz w:val="24"/>
          <w:szCs w:val="24"/>
          <w:highlight w:val="none"/>
          <w:lang w:eastAsia="zh-CN"/>
        </w:rPr>
      </w:pPr>
    </w:p>
    <w:p w14:paraId="089A1AD3">
      <w:pPr>
        <w:pStyle w:val="23"/>
        <w:jc w:val="center"/>
        <w:rPr>
          <w:rFonts w:hint="eastAsia" w:ascii="仿宋" w:hAnsi="仿宋" w:eastAsia="仿宋" w:cs="仿宋"/>
          <w:b/>
          <w:bCs w:val="0"/>
          <w:sz w:val="32"/>
          <w:szCs w:val="32"/>
          <w:highlight w:val="none"/>
          <w:lang w:val="en-US" w:eastAsia="zh-CN"/>
        </w:rPr>
      </w:pPr>
    </w:p>
    <w:p w14:paraId="77EFFB66">
      <w:pPr>
        <w:pStyle w:val="23"/>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3、IPTV系统技术方案</w:t>
      </w:r>
      <w:r>
        <w:rPr>
          <w:rFonts w:hint="eastAsia" w:ascii="仿宋" w:hAnsi="仿宋" w:eastAsia="仿宋" w:cs="仿宋"/>
          <w:b/>
          <w:bCs w:val="0"/>
          <w:sz w:val="22"/>
          <w:szCs w:val="22"/>
          <w:highlight w:val="none"/>
          <w:lang w:val="en-US" w:eastAsia="zh-CN"/>
        </w:rPr>
        <w:t>（如有）</w:t>
      </w:r>
    </w:p>
    <w:p w14:paraId="5E93094B">
      <w:pPr>
        <w:pStyle w:val="2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1E5EF120">
      <w:pPr>
        <w:pStyle w:val="21"/>
        <w:rPr>
          <w:rFonts w:hint="eastAsia" w:ascii="仿宋" w:hAnsi="仿宋" w:eastAsia="仿宋" w:cs="仿宋"/>
          <w:sz w:val="21"/>
          <w:szCs w:val="21"/>
          <w:highlight w:val="none"/>
        </w:rPr>
      </w:pPr>
    </w:p>
    <w:p w14:paraId="1D0A0680">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聚焦于系统架构、安全、扩展性等技术层面，不包含具体功能描述（功能由演示项验证）。包含以下3项：</w:t>
      </w:r>
    </w:p>
    <w:p w14:paraId="0B7DBF76">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 系统总体架构设计</w:t>
      </w:r>
      <w:r>
        <w:rPr>
          <w:rFonts w:hint="eastAsia" w:ascii="仿宋" w:hAnsi="仿宋" w:eastAsia="仿宋" w:cs="仿宋"/>
          <w:sz w:val="21"/>
          <w:szCs w:val="21"/>
          <w:highlight w:val="none"/>
          <w:lang w:eastAsia="zh-CN"/>
        </w:rPr>
        <w:t>；</w:t>
      </w:r>
    </w:p>
    <w:p w14:paraId="3BC183DA">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 数据安全与播出安全设计</w:t>
      </w:r>
      <w:r>
        <w:rPr>
          <w:rFonts w:hint="eastAsia" w:ascii="仿宋" w:hAnsi="仿宋" w:eastAsia="仿宋" w:cs="仿宋"/>
          <w:sz w:val="21"/>
          <w:szCs w:val="21"/>
          <w:highlight w:val="none"/>
          <w:lang w:eastAsia="zh-CN"/>
        </w:rPr>
        <w:t>；</w:t>
      </w:r>
    </w:p>
    <w:p w14:paraId="2F5D150D">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1"/>
          <w:szCs w:val="21"/>
          <w:highlight w:val="none"/>
        </w:rPr>
        <w:t>3. 平台可扩展性与兼容性设计。</w:t>
      </w:r>
    </w:p>
    <w:p w14:paraId="62C1A15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25E7EDB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1B4AF08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F55DC4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4C20832">
      <w:pPr>
        <w:pStyle w:val="21"/>
        <w:rPr>
          <w:rFonts w:hint="default" w:ascii="宋体" w:hAnsi="宋体" w:cs="宋体"/>
          <w:color w:val="auto"/>
          <w:sz w:val="24"/>
          <w:highlight w:val="none"/>
          <w:lang w:val="en-US" w:eastAsia="zh-CN"/>
        </w:rPr>
      </w:pPr>
    </w:p>
    <w:p w14:paraId="6278C0E3">
      <w:pPr>
        <w:pStyle w:val="21"/>
        <w:rPr>
          <w:rFonts w:hint="default" w:ascii="宋体" w:hAnsi="宋体" w:cs="宋体"/>
          <w:color w:val="auto"/>
          <w:sz w:val="24"/>
          <w:highlight w:val="none"/>
          <w:lang w:val="en-US" w:eastAsia="zh-CN"/>
        </w:rPr>
      </w:pPr>
    </w:p>
    <w:p w14:paraId="0D6C7932">
      <w:pPr>
        <w:pStyle w:val="21"/>
        <w:rPr>
          <w:rFonts w:hint="default" w:ascii="宋体" w:hAnsi="宋体" w:cs="宋体"/>
          <w:color w:val="auto"/>
          <w:sz w:val="24"/>
          <w:highlight w:val="none"/>
          <w:lang w:val="en-US" w:eastAsia="zh-CN"/>
        </w:rPr>
      </w:pPr>
    </w:p>
    <w:p w14:paraId="2E118067">
      <w:pPr>
        <w:pStyle w:val="21"/>
        <w:rPr>
          <w:rFonts w:hint="default" w:ascii="宋体" w:hAnsi="宋体" w:cs="宋体"/>
          <w:color w:val="auto"/>
          <w:sz w:val="24"/>
          <w:highlight w:val="none"/>
          <w:lang w:val="en-US" w:eastAsia="zh-CN"/>
        </w:rPr>
      </w:pPr>
    </w:p>
    <w:p w14:paraId="4010F5B0">
      <w:pPr>
        <w:pStyle w:val="21"/>
        <w:rPr>
          <w:rFonts w:hint="default" w:ascii="宋体" w:hAnsi="宋体" w:cs="宋体"/>
          <w:color w:val="auto"/>
          <w:sz w:val="24"/>
          <w:highlight w:val="none"/>
          <w:lang w:val="en-US" w:eastAsia="zh-CN"/>
        </w:rPr>
      </w:pPr>
    </w:p>
    <w:p w14:paraId="09F3748B">
      <w:pPr>
        <w:pStyle w:val="21"/>
        <w:rPr>
          <w:rFonts w:hint="default" w:ascii="宋体" w:hAnsi="宋体" w:cs="宋体"/>
          <w:color w:val="auto"/>
          <w:sz w:val="24"/>
          <w:highlight w:val="none"/>
          <w:lang w:val="en-US" w:eastAsia="zh-CN"/>
        </w:rPr>
      </w:pPr>
    </w:p>
    <w:p w14:paraId="5362C622">
      <w:pPr>
        <w:pStyle w:val="23"/>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4、个性化服务功能演示</w:t>
      </w:r>
      <w:r>
        <w:rPr>
          <w:rFonts w:hint="eastAsia" w:ascii="仿宋" w:hAnsi="仿宋" w:eastAsia="仿宋" w:cs="仿宋"/>
          <w:b/>
          <w:bCs w:val="0"/>
          <w:sz w:val="22"/>
          <w:szCs w:val="22"/>
          <w:highlight w:val="none"/>
          <w:lang w:val="en-US" w:eastAsia="zh-CN"/>
        </w:rPr>
        <w:t>（如有）</w:t>
      </w:r>
    </w:p>
    <w:p w14:paraId="788E7E87">
      <w:pPr>
        <w:pStyle w:val="21"/>
        <w:rPr>
          <w:rFonts w:hint="eastAsia" w:ascii="宋体" w:hAnsi="宋体" w:cs="宋体"/>
          <w:color w:val="auto"/>
          <w:szCs w:val="21"/>
          <w:highlight w:val="none"/>
          <w:lang w:val="en-GB"/>
        </w:rPr>
      </w:pPr>
      <w:r>
        <w:rPr>
          <w:rFonts w:hint="eastAsia" w:ascii="仿宋" w:hAnsi="仿宋" w:eastAsia="仿宋" w:cs="仿宋"/>
          <w:sz w:val="21"/>
          <w:szCs w:val="21"/>
          <w:highlight w:val="none"/>
          <w:lang w:val="en-US" w:eastAsia="zh-CN"/>
        </w:rPr>
        <w:t>无需提供文字方案，供应商需提供录制视频，具体要求按评审细则执行即可。</w:t>
      </w:r>
    </w:p>
    <w:p w14:paraId="694A8562">
      <w:pPr>
        <w:rPr>
          <w:highlight w:val="none"/>
        </w:rPr>
      </w:pPr>
    </w:p>
    <w:p w14:paraId="41800684">
      <w:pPr>
        <w:spacing w:line="500" w:lineRule="exact"/>
        <w:rPr>
          <w:rFonts w:hint="eastAsia" w:ascii="仿宋" w:hAnsi="仿宋" w:eastAsia="仿宋" w:cs="仿宋"/>
          <w:b/>
          <w:bCs/>
          <w:sz w:val="24"/>
          <w:szCs w:val="24"/>
        </w:rPr>
      </w:pPr>
    </w:p>
    <w:p w14:paraId="0C256986"/>
    <w:p w14:paraId="22B29F8F">
      <w:pPr>
        <w:pStyle w:val="2"/>
        <w:rPr>
          <w:rFonts w:hint="eastAsia"/>
          <w:lang w:val="en-US" w:eastAsia="zh-CN"/>
        </w:rPr>
      </w:pPr>
    </w:p>
    <w:p w14:paraId="1D37D3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63E441-C750-4C95-8E4B-FA9199F1E5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A064358-ED50-4C76-BB9B-6A81407EA270}"/>
  </w:font>
  <w:font w:name="仿宋">
    <w:panose1 w:val="02010609060101010101"/>
    <w:charset w:val="86"/>
    <w:family w:val="auto"/>
    <w:pitch w:val="default"/>
    <w:sig w:usb0="800002BF" w:usb1="38CF7CFA" w:usb2="00000016" w:usb3="00000000" w:csb0="00040001" w:csb1="00000000"/>
    <w:embedRegular r:id="rId3" w:fontKey="{7792FEC4-AD4C-4A32-9218-162E7BD40639}"/>
  </w:font>
  <w:font w:name="微软雅黑">
    <w:panose1 w:val="020B0503020204020204"/>
    <w:charset w:val="86"/>
    <w:family w:val="auto"/>
    <w:pitch w:val="default"/>
    <w:sig w:usb0="80000287" w:usb1="2ACF3C50" w:usb2="00000016" w:usb3="00000000" w:csb0="0004001F" w:csb1="00000000"/>
    <w:embedRegular r:id="rId4" w:fontKey="{D5673F39-496F-48B7-B9CA-925AE22F4572}"/>
  </w:font>
  <w:font w:name="方正仿宋简体">
    <w:panose1 w:val="02000000000000000000"/>
    <w:charset w:val="86"/>
    <w:family w:val="auto"/>
    <w:pitch w:val="default"/>
    <w:sig w:usb0="A00002BF" w:usb1="184F6CFA" w:usb2="00000012" w:usb3="00000000" w:csb0="00040001" w:csb1="00000000"/>
    <w:embedRegular r:id="rId5" w:fontKey="{E45984DD-62A0-432B-9D7A-DE18505F6E44}"/>
  </w:font>
  <w:font w:name="华文中宋">
    <w:panose1 w:val="02010600040101010101"/>
    <w:charset w:val="86"/>
    <w:family w:val="auto"/>
    <w:pitch w:val="default"/>
    <w:sig w:usb0="00000287" w:usb1="080F0000" w:usb2="00000000" w:usb3="00000000" w:csb0="0004009F" w:csb1="DFD70000"/>
    <w:embedRegular r:id="rId6" w:fontKey="{2322ACE0-B99E-414E-83D2-4E09C6BBAB43}"/>
  </w:font>
  <w:font w:name="华文仿宋">
    <w:panose1 w:val="02010600040101010101"/>
    <w:charset w:val="86"/>
    <w:family w:val="auto"/>
    <w:pitch w:val="default"/>
    <w:sig w:usb0="00000287" w:usb1="080F0000" w:usb2="00000000" w:usb3="00000000" w:csb0="0004009F" w:csb1="DFD70000"/>
    <w:embedRegular r:id="rId7" w:fontKey="{21E320D4-F7AF-4859-8E02-2EF144D0E430}"/>
  </w:font>
  <w:font w:name="Tahoma">
    <w:panose1 w:val="020B0604030504040204"/>
    <w:charset w:val="00"/>
    <w:family w:val="auto"/>
    <w:pitch w:val="default"/>
    <w:sig w:usb0="E1002EFF" w:usb1="C000605B" w:usb2="00000029" w:usb3="00000000" w:csb0="200101FF" w:csb1="20280000"/>
    <w:embedRegular r:id="rId8" w:fontKey="{830D08D9-4E7E-4484-B65F-332B2EF1F5DB}"/>
  </w:font>
  <w:font w:name="Calibri Light">
    <w:panose1 w:val="020F0302020204030204"/>
    <w:charset w:val="00"/>
    <w:family w:val="swiss"/>
    <w:pitch w:val="default"/>
    <w:sig w:usb0="E0002AFF" w:usb1="C000247B" w:usb2="00000009" w:usb3="00000000" w:csb0="200001FF" w:csb1="00000000"/>
    <w:embedRegular r:id="rId9" w:fontKey="{BC9042AE-92CF-4568-8C26-3F944B7F87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AE649B1E"/>
    <w:multiLevelType w:val="singleLevel"/>
    <w:tmpl w:val="AE649B1E"/>
    <w:lvl w:ilvl="0" w:tentative="0">
      <w:start w:val="1"/>
      <w:numFmt w:val="bullet"/>
      <w:lvlText w:val=""/>
      <w:lvlJc w:val="left"/>
      <w:pPr>
        <w:ind w:left="420" w:hanging="420"/>
      </w:pPr>
      <w:rPr>
        <w:rFonts w:hint="default" w:ascii="Wingdings" w:hAnsi="Wingdings"/>
      </w:rPr>
    </w:lvl>
  </w:abstractNum>
  <w:abstractNum w:abstractNumId="2">
    <w:nsid w:val="E68A98C4"/>
    <w:multiLevelType w:val="singleLevel"/>
    <w:tmpl w:val="E68A98C4"/>
    <w:lvl w:ilvl="0" w:tentative="0">
      <w:start w:val="1"/>
      <w:numFmt w:val="decimal"/>
      <w:suff w:val="nothing"/>
      <w:lvlText w:val="%1．"/>
      <w:lvlJc w:val="left"/>
      <w:pPr>
        <w:ind w:left="0" w:firstLine="400"/>
      </w:pPr>
      <w:rPr>
        <w:rFonts w:hint="default"/>
      </w:rPr>
    </w:lvl>
  </w:abstractNum>
  <w:abstractNum w:abstractNumId="3">
    <w:nsid w:val="FBD67D98"/>
    <w:multiLevelType w:val="singleLevel"/>
    <w:tmpl w:val="FBD67D98"/>
    <w:lvl w:ilvl="0" w:tentative="0">
      <w:start w:val="3"/>
      <w:numFmt w:val="decimal"/>
      <w:suff w:val="nothing"/>
      <w:lvlText w:val="（%1）"/>
      <w:lvlJc w:val="left"/>
    </w:lvl>
  </w:abstractNum>
  <w:abstractNum w:abstractNumId="4">
    <w:nsid w:val="00000001"/>
    <w:multiLevelType w:val="singleLevel"/>
    <w:tmpl w:val="00000001"/>
    <w:lvl w:ilvl="0" w:tentative="0">
      <w:start w:val="2"/>
      <w:numFmt w:val="decimal"/>
      <w:lvlText w:val="%1."/>
      <w:lvlJc w:val="left"/>
      <w:pPr>
        <w:tabs>
          <w:tab w:val="left" w:pos="312"/>
        </w:tabs>
      </w:pPr>
    </w:lvl>
  </w:abstractNum>
  <w:abstractNum w:abstractNumId="5">
    <w:nsid w:val="00000003"/>
    <w:multiLevelType w:val="singleLevel"/>
    <w:tmpl w:val="00000003"/>
    <w:lvl w:ilvl="0" w:tentative="0">
      <w:start w:val="4"/>
      <w:numFmt w:val="decimal"/>
      <w:suff w:val="nothing"/>
      <w:lvlText w:val="（%1）"/>
      <w:lvlJc w:val="left"/>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53208E"/>
    <w:multiLevelType w:val="multilevel"/>
    <w:tmpl w:val="0053208E"/>
    <w:lvl w:ilvl="0" w:tentative="0">
      <w:start w:val="1"/>
      <w:numFmt w:val="chineseCounting"/>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2BFE6D92"/>
    <w:multiLevelType w:val="singleLevel"/>
    <w:tmpl w:val="2BFE6D92"/>
    <w:lvl w:ilvl="0" w:tentative="0">
      <w:start w:val="2"/>
      <w:numFmt w:val="chineseCounting"/>
      <w:suff w:val="nothing"/>
      <w:lvlText w:val="（%1）"/>
      <w:lvlJc w:val="left"/>
      <w:rPr>
        <w:rFonts w:hint="eastAsia"/>
      </w:rPr>
    </w:lvl>
  </w:abstractNum>
  <w:abstractNum w:abstractNumId="9">
    <w:nsid w:val="3625B64E"/>
    <w:multiLevelType w:val="singleLevel"/>
    <w:tmpl w:val="3625B64E"/>
    <w:lvl w:ilvl="0" w:tentative="0">
      <w:start w:val="1"/>
      <w:numFmt w:val="decimal"/>
      <w:suff w:val="space"/>
      <w:lvlText w:val="%1."/>
      <w:lvlJc w:val="left"/>
    </w:lvl>
  </w:abstractNum>
  <w:abstractNum w:abstractNumId="10">
    <w:nsid w:val="389C85C5"/>
    <w:multiLevelType w:val="singleLevel"/>
    <w:tmpl w:val="389C85C5"/>
    <w:lvl w:ilvl="0" w:tentative="0">
      <w:start w:val="1"/>
      <w:numFmt w:val="decimal"/>
      <w:suff w:val="nothing"/>
      <w:lvlText w:val="%1．"/>
      <w:lvlJc w:val="left"/>
      <w:pPr>
        <w:ind w:left="0" w:firstLine="400"/>
      </w:pPr>
      <w:rPr>
        <w:rFonts w:hint="default"/>
      </w:rPr>
    </w:lvl>
  </w:abstractNum>
  <w:abstractNum w:abstractNumId="11">
    <w:nsid w:val="481AEBD5"/>
    <w:multiLevelType w:val="singleLevel"/>
    <w:tmpl w:val="481AEBD5"/>
    <w:lvl w:ilvl="0" w:tentative="0">
      <w:start w:val="1"/>
      <w:numFmt w:val="decimal"/>
      <w:suff w:val="nothing"/>
      <w:lvlText w:val="%1、"/>
      <w:lvlJc w:val="left"/>
    </w:lvl>
  </w:abstractNum>
  <w:abstractNum w:abstractNumId="12">
    <w:nsid w:val="5FDD15FB"/>
    <w:multiLevelType w:val="singleLevel"/>
    <w:tmpl w:val="5FDD15FB"/>
    <w:lvl w:ilvl="0" w:tentative="0">
      <w:start w:val="8"/>
      <w:numFmt w:val="chineseCounting"/>
      <w:suff w:val="nothing"/>
      <w:lvlText w:val="%1、"/>
      <w:lvlJc w:val="left"/>
      <w:rPr>
        <w:rFonts w:hint="eastAsia"/>
      </w:rPr>
    </w:lvl>
  </w:abstractNum>
  <w:num w:numId="1">
    <w:abstractNumId w:val="11"/>
  </w:num>
  <w:num w:numId="2">
    <w:abstractNumId w:val="12"/>
  </w:num>
  <w:num w:numId="3">
    <w:abstractNumId w:val="0"/>
  </w:num>
  <w:num w:numId="4">
    <w:abstractNumId w:val="2"/>
  </w:num>
  <w:num w:numId="5">
    <w:abstractNumId w:val="10"/>
  </w:num>
  <w:num w:numId="6">
    <w:abstractNumId w:val="4"/>
  </w:num>
  <w:num w:numId="7">
    <w:abstractNumId w:val="3"/>
  </w:num>
  <w:num w:numId="8">
    <w:abstractNumId w:val="9"/>
  </w:num>
  <w:num w:numId="9">
    <w:abstractNumId w:val="5"/>
  </w:num>
  <w:num w:numId="10">
    <w:abstractNumId w:val="1"/>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74F17"/>
    <w:rsid w:val="03C335C1"/>
    <w:rsid w:val="06910BB4"/>
    <w:rsid w:val="06A04B76"/>
    <w:rsid w:val="08462A14"/>
    <w:rsid w:val="0BEB6D98"/>
    <w:rsid w:val="10A20470"/>
    <w:rsid w:val="16B22D4D"/>
    <w:rsid w:val="17FD56B0"/>
    <w:rsid w:val="19AD7F51"/>
    <w:rsid w:val="1C773682"/>
    <w:rsid w:val="1D3476F0"/>
    <w:rsid w:val="1D680A0C"/>
    <w:rsid w:val="1F6E1960"/>
    <w:rsid w:val="1FD5017D"/>
    <w:rsid w:val="208C7283"/>
    <w:rsid w:val="20AC5498"/>
    <w:rsid w:val="233D369D"/>
    <w:rsid w:val="244A6AC8"/>
    <w:rsid w:val="287E4D56"/>
    <w:rsid w:val="2A974F17"/>
    <w:rsid w:val="2C024AB0"/>
    <w:rsid w:val="2C292B1B"/>
    <w:rsid w:val="2CCA6C88"/>
    <w:rsid w:val="2E807F65"/>
    <w:rsid w:val="2FF24CB6"/>
    <w:rsid w:val="2FF81ACE"/>
    <w:rsid w:val="302B221E"/>
    <w:rsid w:val="31492EA1"/>
    <w:rsid w:val="32AA04CA"/>
    <w:rsid w:val="360B0EF4"/>
    <w:rsid w:val="3746278E"/>
    <w:rsid w:val="3B183024"/>
    <w:rsid w:val="3EEA4CD8"/>
    <w:rsid w:val="404F553D"/>
    <w:rsid w:val="40E52EEE"/>
    <w:rsid w:val="42CD0F08"/>
    <w:rsid w:val="49D7251E"/>
    <w:rsid w:val="4A9569EE"/>
    <w:rsid w:val="4F5D651D"/>
    <w:rsid w:val="4FF15D13"/>
    <w:rsid w:val="53265F8B"/>
    <w:rsid w:val="53806DAF"/>
    <w:rsid w:val="5405566F"/>
    <w:rsid w:val="58FC1039"/>
    <w:rsid w:val="5D19259F"/>
    <w:rsid w:val="5DAA6E8B"/>
    <w:rsid w:val="5F493FC0"/>
    <w:rsid w:val="5F6D7AFD"/>
    <w:rsid w:val="62E651E1"/>
    <w:rsid w:val="64611CBE"/>
    <w:rsid w:val="70B87F64"/>
    <w:rsid w:val="71B31D58"/>
    <w:rsid w:val="7501267E"/>
    <w:rsid w:val="76552066"/>
    <w:rsid w:val="76974997"/>
    <w:rsid w:val="7D193B7E"/>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next w:val="2"/>
    <w:qFormat/>
    <w:uiPriority w:val="99"/>
    <w:pPr>
      <w:ind w:firstLine="420"/>
    </w:pPr>
    <w:rPr>
      <w:rFonts w:ascii="Calibri" w:hAnsi="Calibri"/>
      <w:sz w:val="20"/>
      <w:szCs w:val="20"/>
    </w:rPr>
  </w:style>
  <w:style w:type="paragraph" w:styleId="6">
    <w:name w:val="Body Text 3"/>
    <w:basedOn w:val="1"/>
    <w:qFormat/>
    <w:uiPriority w:val="99"/>
    <w:pPr>
      <w:spacing w:after="120"/>
    </w:pPr>
    <w:rPr>
      <w:sz w:val="16"/>
      <w:szCs w:val="16"/>
    </w:rPr>
  </w:style>
  <w:style w:type="paragraph" w:styleId="7">
    <w:name w:val="Body Text Indent"/>
    <w:basedOn w:val="1"/>
    <w:qFormat/>
    <w:uiPriority w:val="0"/>
    <w:pPr>
      <w:ind w:firstLine="570"/>
    </w:pPr>
    <w:rPr>
      <w:rFonts w:ascii="宋体" w:hAnsi="宋体"/>
      <w:sz w:val="28"/>
      <w:szCs w:val="20"/>
    </w:rPr>
  </w:style>
  <w:style w:type="paragraph" w:styleId="8">
    <w:name w:val="Plain Text"/>
    <w:basedOn w:val="1"/>
    <w:qFormat/>
    <w:uiPriority w:val="0"/>
    <w:rPr>
      <w:rFonts w:ascii="宋体" w:hAnsi="Courier New"/>
      <w:szCs w:val="20"/>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2">
    <w:name w:val="Body Text Indent 3"/>
    <w:basedOn w:val="1"/>
    <w:qFormat/>
    <w:uiPriority w:val="99"/>
    <w:pPr>
      <w:spacing w:after="120"/>
      <w:ind w:left="420" w:leftChars="200"/>
    </w:pPr>
    <w:rPr>
      <w:sz w:val="16"/>
      <w:szCs w:val="16"/>
    </w:rPr>
  </w:style>
  <w:style w:type="paragraph" w:styleId="13">
    <w:name w:val="toc 2"/>
    <w:basedOn w:val="1"/>
    <w:next w:val="1"/>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rPr>
  </w:style>
  <w:style w:type="paragraph" w:styleId="15">
    <w:name w:val="Body Text First Indent"/>
    <w:basedOn w:val="2"/>
    <w:qFormat/>
    <w:uiPriority w:val="99"/>
    <w:pPr>
      <w:spacing w:after="120"/>
      <w:ind w:firstLine="420" w:firstLineChars="100"/>
    </w:pPr>
    <w:rPr>
      <w:sz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qFormat/>
    <w:uiPriority w:val="99"/>
    <w:rPr>
      <w:color w:val="0000FF"/>
      <w:u w:val="single"/>
    </w:rPr>
  </w:style>
  <w:style w:type="paragraph" w:customStyle="1" w:styleId="21">
    <w:name w:val="表格文字"/>
    <w:basedOn w:val="22"/>
    <w:autoRedefine/>
    <w:qFormat/>
    <w:uiPriority w:val="0"/>
    <w:pPr>
      <w:spacing w:before="25" w:after="25"/>
      <w:jc w:val="left"/>
    </w:pPr>
    <w:rPr>
      <w:bCs/>
      <w:spacing w:val="10"/>
      <w:kern w:val="0"/>
      <w:sz w:val="24"/>
      <w:szCs w:val="20"/>
    </w:rPr>
  </w:style>
  <w:style w:type="paragraph" w:customStyle="1" w:styleId="22">
    <w:name w:val="表格文字（两侧对齐）"/>
    <w:basedOn w:val="1"/>
    <w:autoRedefine/>
    <w:qFormat/>
    <w:uiPriority w:val="0"/>
    <w:pPr>
      <w:snapToGrid w:val="0"/>
    </w:pPr>
    <w:rPr>
      <w:kern w:val="0"/>
      <w:sz w:val="20"/>
    </w:rPr>
  </w:style>
  <w:style w:type="paragraph" w:customStyle="1" w:styleId="23">
    <w:name w:val="_Style 3"/>
    <w:basedOn w:val="1"/>
    <w:autoRedefine/>
    <w:qFormat/>
    <w:uiPriority w:val="0"/>
    <w:pPr>
      <w:ind w:firstLine="420" w:firstLineChars="200"/>
    </w:pPr>
    <w:rPr>
      <w:sz w:val="20"/>
    </w:rPr>
  </w:style>
  <w:style w:type="paragraph" w:customStyle="1" w:styleId="24">
    <w:name w:val="正文缩进1"/>
    <w:basedOn w:val="25"/>
    <w:next w:val="26"/>
    <w:autoRedefine/>
    <w:qFormat/>
    <w:uiPriority w:val="0"/>
    <w:pPr>
      <w:widowControl/>
      <w:ind w:firstLine="420"/>
      <w:jc w:val="left"/>
    </w:pPr>
    <w:rPr>
      <w:rFonts w:ascii="Calibri" w:hAnsi="Calibri"/>
      <w:kern w:val="0"/>
    </w:rPr>
  </w:style>
  <w:style w:type="paragraph" w:customStyle="1" w:styleId="25">
    <w:name w:val="正文_2"/>
    <w:next w:val="24"/>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7">
    <w:name w:val="_Style 2"/>
    <w:basedOn w:val="1"/>
    <w:qFormat/>
    <w:uiPriority w:val="0"/>
    <w:pPr>
      <w:ind w:firstLine="420" w:firstLineChars="200"/>
    </w:pPr>
    <w:rPr>
      <w:sz w:val="18"/>
      <w:szCs w:val="18"/>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styleId="29">
    <w:name w:val="List Paragraph"/>
    <w:basedOn w:val="1"/>
    <w:autoRedefine/>
    <w:qFormat/>
    <w:uiPriority w:val="34"/>
    <w:pPr>
      <w:widowControl/>
      <w:ind w:firstLine="420" w:firstLineChars="200"/>
      <w:jc w:val="left"/>
    </w:pPr>
    <w:rPr>
      <w:kern w:val="0"/>
      <w:sz w:val="20"/>
      <w:szCs w:val="20"/>
    </w:rPr>
  </w:style>
  <w:style w:type="paragraph" w:customStyle="1" w:styleId="30">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1">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tiff"/><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9717</Words>
  <Characters>10115</Characters>
  <Lines>0</Lines>
  <Paragraphs>0</Paragraphs>
  <TotalTime>6</TotalTime>
  <ScaleCrop>false</ScaleCrop>
  <LinksUpToDate>false</LinksUpToDate>
  <CharactersWithSpaces>10187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2026-04-09T00:59:00Z</dcterms:created>
  <dc:creator>ddl</dc:creator>
  <cp:lastModifiedBy>ddl</cp:lastModifiedBy>
  <dcterms:modified xsi:type="dcterms:W3CDTF">2026-04-24T01:13:31Z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0DBA14E6FAF44D2BA8C9E90DEBD68855_11</vt:lpwstr>
  </property>
  <property fmtid="{D5CDD505-2E9C-101B-9397-08002B2CF9AE}" pid="4" name="KSOTemplateDocerSaveRecord">
    <vt:lpwstr>eyJoZGlkIjoiZGNiZjhiYWJkMzQ2ODliZDg0M2NkY2U3ZDYyYTQ3YzEiLCJ1c2VySWQiOiIzMTQ2MzM3NzQifQ==</vt:lpwstr>
  </property>
</Properties>
</file>