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CB60">
      <w:pPr>
        <w:pageBreakBefore w:val="0"/>
        <w:wordWrap/>
        <w:spacing w:before="160" w:after="0"/>
        <w:ind w:left="0" w:right="0"/>
        <w:jc w:val="left"/>
        <w:textAlignment w:val="auto"/>
        <w:rPr>
          <w:color w:val="000000" w:themeColor="text1"/>
          <w:sz w:val="44"/>
          <w:szCs w:val="44"/>
          <w14:textFill>
            <w14:solidFill>
              <w14:schemeClr w14:val="tx1"/>
            </w14:solidFill>
          </w14:textFill>
        </w:rPr>
      </w:pPr>
      <w:bookmarkStart w:id="0" w:name="_GoBack"/>
      <w:bookmarkEnd w:id="0"/>
      <w:r>
        <w:rPr>
          <w:rFonts w:hint="eastAsia" w:ascii="宋体" w:hAnsi="宋体" w:eastAsia="宋体" w:cs="宋体"/>
          <w:b/>
          <w:i w:val="0"/>
          <w:color w:val="000000" w:themeColor="text1"/>
          <w:spacing w:val="0"/>
          <w:sz w:val="44"/>
          <w:szCs w:val="44"/>
          <w:lang w:val="en-US" w:eastAsia="zh-CN"/>
          <w14:textFill>
            <w14:solidFill>
              <w14:schemeClr w14:val="tx1"/>
            </w14:solidFill>
          </w14:textFill>
        </w:rPr>
        <w:t>附件：</w:t>
      </w:r>
      <w:r>
        <w:rPr>
          <w:rFonts w:ascii="宋体" w:hAnsi="宋体" w:eastAsia="宋体" w:cs="宋体"/>
          <w:b/>
          <w:i w:val="0"/>
          <w:color w:val="000000" w:themeColor="text1"/>
          <w:spacing w:val="0"/>
          <w:sz w:val="44"/>
          <w:szCs w:val="44"/>
          <w14:textFill>
            <w14:solidFill>
              <w14:schemeClr w14:val="tx1"/>
            </w14:solidFill>
          </w14:textFill>
        </w:rPr>
        <w:t>报废</w:t>
      </w:r>
      <w:r>
        <w:rPr>
          <w:rFonts w:hint="eastAsia" w:ascii="宋体" w:hAnsi="宋体" w:eastAsia="宋体" w:cs="宋体"/>
          <w:b/>
          <w:i w:val="0"/>
          <w:color w:val="000000" w:themeColor="text1"/>
          <w:spacing w:val="0"/>
          <w:sz w:val="44"/>
          <w:szCs w:val="44"/>
          <w:lang w:val="en-US" w:eastAsia="zh-CN"/>
          <w14:textFill>
            <w14:solidFill>
              <w14:schemeClr w14:val="tx1"/>
            </w14:solidFill>
          </w14:textFill>
        </w:rPr>
        <w:t>资产</w:t>
      </w:r>
      <w:r>
        <w:rPr>
          <w:rFonts w:ascii="宋体" w:hAnsi="宋体" w:eastAsia="宋体" w:cs="宋体"/>
          <w:b/>
          <w:i w:val="0"/>
          <w:color w:val="000000" w:themeColor="text1"/>
          <w:spacing w:val="0"/>
          <w:sz w:val="44"/>
          <w:szCs w:val="44"/>
          <w14:textFill>
            <w14:solidFill>
              <w14:schemeClr w14:val="tx1"/>
            </w14:solidFill>
          </w14:textFill>
        </w:rPr>
        <w:t>评估服务报价表</w:t>
      </w:r>
    </w:p>
    <w:p w14:paraId="7BAC264C">
      <w:pPr>
        <w:pageBreakBefore w:val="0"/>
        <w:wordWrap/>
        <w:spacing w:before="160" w:after="0"/>
        <w:ind w:left="0" w:right="0"/>
        <w:jc w:val="left"/>
        <w:textAlignment w:val="auto"/>
        <w:rPr>
          <w:sz w:val="24"/>
        </w:rPr>
      </w:pPr>
      <w:r>
        <w:rPr>
          <w:rFonts w:ascii="宋体" w:hAnsi="宋体" w:eastAsia="宋体" w:cs="宋体"/>
          <w:b/>
          <w:i w:val="0"/>
          <w:spacing w:val="0"/>
          <w:sz w:val="24"/>
        </w:rPr>
        <w:t>报价单位：</w:t>
      </w:r>
      <w:r>
        <w:rPr>
          <w:rFonts w:ascii="宋体" w:hAnsi="宋体" w:eastAsia="宋体" w:cs="宋体"/>
          <w:b w:val="0"/>
          <w:i w:val="0"/>
          <w:spacing w:val="0"/>
          <w:sz w:val="24"/>
        </w:rPr>
        <w:t xml:space="preserve"> [填写公司/机构名称]</w:t>
      </w:r>
    </w:p>
    <w:p w14:paraId="67CE3D88">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i w:val="0"/>
          <w:spacing w:val="0"/>
          <w:sz w:val="24"/>
        </w:rPr>
        <w:t>填报日期：</w:t>
      </w:r>
      <w:r>
        <w:rPr>
          <w:rFonts w:ascii="宋体" w:hAnsi="宋体" w:eastAsia="宋体" w:cs="宋体"/>
          <w:b w:val="0"/>
          <w:i w:val="0"/>
          <w:spacing w:val="0"/>
          <w:sz w:val="24"/>
        </w:rPr>
        <w:t xml:space="preserve"> 202</w:t>
      </w:r>
      <w:r>
        <w:rPr>
          <w:rFonts w:hint="eastAsia" w:ascii="宋体" w:hAnsi="宋体" w:eastAsia="宋体" w:cs="宋体"/>
          <w:b w:val="0"/>
          <w:i w:val="0"/>
          <w:spacing w:val="0"/>
          <w:sz w:val="24"/>
          <w:lang w:val="en-US" w:eastAsia="zh-CN"/>
        </w:rPr>
        <w:t>6</w:t>
      </w:r>
      <w:r>
        <w:rPr>
          <w:rFonts w:ascii="宋体" w:hAnsi="宋体" w:eastAsia="宋体" w:cs="宋体"/>
          <w:b w:val="0"/>
          <w:i w:val="0"/>
          <w:spacing w:val="0"/>
          <w:sz w:val="24"/>
        </w:rPr>
        <w:t>年 X月 X日</w:t>
      </w:r>
    </w:p>
    <w:p w14:paraId="7C59E914">
      <w:pPr>
        <w:pageBreakBefore w:val="0"/>
        <w:numPr>
          <w:ilvl w:val="0"/>
          <w:numId w:val="1"/>
        </w:numPr>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计件评估收费标准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33"/>
        <w:gridCol w:w="1280"/>
        <w:gridCol w:w="1250"/>
        <w:gridCol w:w="2226"/>
      </w:tblGrid>
      <w:tr w14:paraId="73F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25" w:type="dxa"/>
            <w:shd w:val="clear" w:color="auto" w:fill="auto"/>
            <w:vAlign w:val="center"/>
          </w:tcPr>
          <w:p w14:paraId="7E6448A6">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i w:val="0"/>
                <w:spacing w:val="0"/>
                <w:sz w:val="21"/>
                <w:szCs w:val="21"/>
                <w:lang w:val="en-US" w:eastAsia="zh-CN"/>
              </w:rPr>
              <w:t>档次</w:t>
            </w:r>
          </w:p>
        </w:tc>
        <w:tc>
          <w:tcPr>
            <w:tcW w:w="3133" w:type="dxa"/>
            <w:shd w:val="clear" w:color="auto" w:fill="auto"/>
            <w:vAlign w:val="center"/>
          </w:tcPr>
          <w:p w14:paraId="5D9A5483">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计费额度-按账面原值（万元）</w:t>
            </w:r>
          </w:p>
        </w:tc>
        <w:tc>
          <w:tcPr>
            <w:tcW w:w="1280" w:type="dxa"/>
            <w:shd w:val="clear" w:color="auto" w:fill="auto"/>
            <w:vAlign w:val="center"/>
          </w:tcPr>
          <w:p w14:paraId="2AFD6EB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i w:val="0"/>
                <w:spacing w:val="0"/>
                <w:sz w:val="21"/>
                <w:szCs w:val="21"/>
                <w:lang w:val="en-US" w:eastAsia="zh-CN"/>
              </w:rPr>
              <w:t>差额计费率（%）</w:t>
            </w:r>
          </w:p>
        </w:tc>
        <w:tc>
          <w:tcPr>
            <w:tcW w:w="1250" w:type="dxa"/>
            <w:shd w:val="clear" w:color="auto" w:fill="auto"/>
            <w:vAlign w:val="center"/>
          </w:tcPr>
          <w:p w14:paraId="142C42E7">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下浮率（%）</w:t>
            </w:r>
          </w:p>
        </w:tc>
        <w:tc>
          <w:tcPr>
            <w:tcW w:w="2226" w:type="dxa"/>
            <w:shd w:val="clear" w:color="auto" w:fill="auto"/>
            <w:vAlign w:val="center"/>
          </w:tcPr>
          <w:p w14:paraId="5C2647B0">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i w:val="0"/>
                <w:spacing w:val="0"/>
                <w:sz w:val="21"/>
                <w:szCs w:val="21"/>
              </w:rPr>
              <w:t>备注说明</w:t>
            </w:r>
          </w:p>
        </w:tc>
      </w:tr>
      <w:tr w14:paraId="256E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5" w:type="dxa"/>
            <w:shd w:val="clear" w:color="auto" w:fill="auto"/>
            <w:vAlign w:val="center"/>
          </w:tcPr>
          <w:p w14:paraId="005B7CDB">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w:t>
            </w:r>
          </w:p>
        </w:tc>
        <w:tc>
          <w:tcPr>
            <w:tcW w:w="3133" w:type="dxa"/>
            <w:shd w:val="clear" w:color="auto" w:fill="auto"/>
            <w:vAlign w:val="center"/>
          </w:tcPr>
          <w:p w14:paraId="4239317C">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100以下（含100）</w:t>
            </w:r>
          </w:p>
        </w:tc>
        <w:tc>
          <w:tcPr>
            <w:tcW w:w="1280" w:type="dxa"/>
            <w:shd w:val="clear" w:color="auto" w:fill="auto"/>
            <w:vAlign w:val="center"/>
          </w:tcPr>
          <w:p w14:paraId="5966B66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10</w:t>
            </w:r>
          </w:p>
        </w:tc>
        <w:tc>
          <w:tcPr>
            <w:tcW w:w="1250" w:type="dxa"/>
            <w:vMerge w:val="restart"/>
          </w:tcPr>
          <w:p w14:paraId="213BBF07">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restart"/>
            <w:vAlign w:val="center"/>
          </w:tcPr>
          <w:p w14:paraId="235B3E17">
            <w:pPr>
              <w:pageBreakBefore w:val="0"/>
              <w:numPr>
                <w:ilvl w:val="0"/>
                <w:numId w:val="2"/>
              </w:numPr>
              <w:wordWrap/>
              <w:spacing w:before="0" w:after="0"/>
              <w:ind w:right="0"/>
              <w:jc w:val="lef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主要评估资产为医疗设备；</w:t>
            </w:r>
          </w:p>
          <w:p w14:paraId="1B1A732D">
            <w:pPr>
              <w:pageBreakBefore w:val="0"/>
              <w:numPr>
                <w:ilvl w:val="0"/>
                <w:numId w:val="2"/>
              </w:numPr>
              <w:wordWrap/>
              <w:spacing w:before="0" w:after="0"/>
              <w:ind w:right="0"/>
              <w:jc w:val="left"/>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供应商以《广东省资产评估（法定资产评估）收费标准》所规定的差额计费率为基准价，提报统一下浮率。</w:t>
            </w:r>
          </w:p>
        </w:tc>
      </w:tr>
      <w:tr w14:paraId="6CE4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25" w:type="dxa"/>
            <w:shd w:val="clear" w:color="auto" w:fill="auto"/>
            <w:vAlign w:val="center"/>
          </w:tcPr>
          <w:p w14:paraId="5BF5B6F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2</w:t>
            </w:r>
          </w:p>
        </w:tc>
        <w:tc>
          <w:tcPr>
            <w:tcW w:w="3133" w:type="dxa"/>
            <w:shd w:val="clear" w:color="auto" w:fill="auto"/>
            <w:vAlign w:val="center"/>
          </w:tcPr>
          <w:p w14:paraId="086E4CB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100以上-1000（含1000）</w:t>
            </w:r>
          </w:p>
        </w:tc>
        <w:tc>
          <w:tcPr>
            <w:tcW w:w="1280" w:type="dxa"/>
            <w:shd w:val="clear" w:color="auto" w:fill="auto"/>
            <w:vAlign w:val="center"/>
          </w:tcPr>
          <w:p w14:paraId="43552A21">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4.5</w:t>
            </w:r>
          </w:p>
        </w:tc>
        <w:tc>
          <w:tcPr>
            <w:tcW w:w="1250" w:type="dxa"/>
            <w:vMerge w:val="continue"/>
          </w:tcPr>
          <w:p w14:paraId="5F4B1581">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continue"/>
          </w:tcPr>
          <w:p w14:paraId="0CD5C3BD">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7CF4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shd w:val="clear" w:color="auto" w:fill="auto"/>
            <w:vAlign w:val="center"/>
          </w:tcPr>
          <w:p w14:paraId="2B15B95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3</w:t>
            </w:r>
          </w:p>
        </w:tc>
        <w:tc>
          <w:tcPr>
            <w:tcW w:w="3133" w:type="dxa"/>
            <w:shd w:val="clear" w:color="auto" w:fill="auto"/>
            <w:vAlign w:val="center"/>
          </w:tcPr>
          <w:p w14:paraId="1BAD31D1">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1000以上-5000（含5000）</w:t>
            </w:r>
          </w:p>
        </w:tc>
        <w:tc>
          <w:tcPr>
            <w:tcW w:w="1280" w:type="dxa"/>
            <w:shd w:val="clear" w:color="auto" w:fill="auto"/>
            <w:vAlign w:val="center"/>
          </w:tcPr>
          <w:p w14:paraId="2E382F38">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val="0"/>
                <w:i w:val="0"/>
                <w:spacing w:val="0"/>
                <w:sz w:val="21"/>
                <w:szCs w:val="21"/>
                <w:lang w:val="en-US" w:eastAsia="zh-CN"/>
              </w:rPr>
              <w:t>1.5</w:t>
            </w:r>
          </w:p>
        </w:tc>
        <w:tc>
          <w:tcPr>
            <w:tcW w:w="1250" w:type="dxa"/>
            <w:vMerge w:val="continue"/>
          </w:tcPr>
          <w:p w14:paraId="0C4D9D5A">
            <w:pPr>
              <w:pageBreakBefore w:val="0"/>
              <w:wordWrap/>
              <w:spacing w:before="0" w:after="0"/>
              <w:ind w:left="0" w:leftChars="0" w:right="0" w:rightChars="0" w:firstLine="0" w:firstLineChars="0"/>
              <w:jc w:val="center"/>
              <w:textAlignment w:val="auto"/>
              <w:rPr>
                <w:rFonts w:hint="eastAsia" w:asciiTheme="minorEastAsia" w:hAnsiTheme="minorEastAsia" w:eastAsiaTheme="minorEastAsia" w:cstheme="minorEastAsia"/>
                <w:b w:val="0"/>
                <w:i w:val="0"/>
                <w:spacing w:val="0"/>
                <w:sz w:val="21"/>
                <w:szCs w:val="21"/>
              </w:rPr>
            </w:pPr>
          </w:p>
        </w:tc>
        <w:tc>
          <w:tcPr>
            <w:tcW w:w="2226" w:type="dxa"/>
            <w:vMerge w:val="continue"/>
          </w:tcPr>
          <w:p w14:paraId="2240AEBC">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0D7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5" w:type="dxa"/>
            <w:shd w:val="clear" w:color="auto" w:fill="auto"/>
            <w:vAlign w:val="center"/>
          </w:tcPr>
          <w:p w14:paraId="1CB78D23">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4</w:t>
            </w:r>
          </w:p>
        </w:tc>
        <w:tc>
          <w:tcPr>
            <w:tcW w:w="3133" w:type="dxa"/>
            <w:shd w:val="clear" w:color="auto" w:fill="auto"/>
            <w:vAlign w:val="center"/>
          </w:tcPr>
          <w:p w14:paraId="06A0BFC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5000以上-10000（含10000）</w:t>
            </w:r>
          </w:p>
        </w:tc>
        <w:tc>
          <w:tcPr>
            <w:tcW w:w="1280" w:type="dxa"/>
            <w:shd w:val="clear" w:color="auto" w:fill="auto"/>
            <w:vAlign w:val="center"/>
          </w:tcPr>
          <w:p w14:paraId="3440236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w:t>
            </w:r>
          </w:p>
        </w:tc>
        <w:tc>
          <w:tcPr>
            <w:tcW w:w="1250" w:type="dxa"/>
            <w:vMerge w:val="continue"/>
          </w:tcPr>
          <w:p w14:paraId="4B8C3B2E">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0F36F408">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12C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14:paraId="6207581F">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5</w:t>
            </w:r>
          </w:p>
        </w:tc>
        <w:tc>
          <w:tcPr>
            <w:tcW w:w="3133" w:type="dxa"/>
            <w:shd w:val="clear" w:color="auto" w:fill="auto"/>
            <w:vAlign w:val="center"/>
          </w:tcPr>
          <w:p w14:paraId="040D363E">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10000以上-100000（含100000）</w:t>
            </w:r>
          </w:p>
        </w:tc>
        <w:tc>
          <w:tcPr>
            <w:tcW w:w="1280" w:type="dxa"/>
            <w:shd w:val="clear" w:color="auto" w:fill="auto"/>
            <w:vAlign w:val="center"/>
          </w:tcPr>
          <w:p w14:paraId="1DD992FA">
            <w:pPr>
              <w:pageBreakBefore w:val="0"/>
              <w:wordWrap/>
              <w:spacing w:before="0" w:after="0"/>
              <w:ind w:left="0" w:leftChars="0" w:right="0" w:rightChars="0" w:firstLine="0" w:firstLineChars="0"/>
              <w:jc w:val="center"/>
              <w:textAlignment w:val="auto"/>
              <w:rPr>
                <w:rFonts w:hint="default" w:asciiTheme="minorEastAsia" w:hAnsiTheme="minorEastAsia" w:eastAsia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0.2</w:t>
            </w:r>
          </w:p>
        </w:tc>
        <w:tc>
          <w:tcPr>
            <w:tcW w:w="1250" w:type="dxa"/>
            <w:vMerge w:val="continue"/>
          </w:tcPr>
          <w:p w14:paraId="4435A69D">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72224DD3">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r w14:paraId="600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5" w:type="dxa"/>
            <w:shd w:val="clear" w:color="auto" w:fill="auto"/>
            <w:vAlign w:val="center"/>
          </w:tcPr>
          <w:p w14:paraId="12F0B661">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6</w:t>
            </w:r>
          </w:p>
        </w:tc>
        <w:tc>
          <w:tcPr>
            <w:tcW w:w="3133" w:type="dxa"/>
            <w:shd w:val="clear" w:color="auto" w:fill="auto"/>
            <w:vAlign w:val="center"/>
          </w:tcPr>
          <w:p w14:paraId="689F0F6B">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100000以上</w:t>
            </w:r>
          </w:p>
        </w:tc>
        <w:tc>
          <w:tcPr>
            <w:tcW w:w="1280" w:type="dxa"/>
            <w:shd w:val="clear" w:color="auto" w:fill="auto"/>
            <w:vAlign w:val="center"/>
          </w:tcPr>
          <w:p w14:paraId="78933B66">
            <w:pPr>
              <w:pageBreakBefore w:val="0"/>
              <w:wordWrap/>
              <w:spacing w:before="0" w:after="0"/>
              <w:ind w:left="0" w:leftChars="0" w:right="0" w:rightChars="0" w:firstLine="0" w:firstLineChars="0"/>
              <w:jc w:val="center"/>
              <w:textAlignment w:val="auto"/>
              <w:rPr>
                <w:rFonts w:hint="default"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0.15</w:t>
            </w:r>
          </w:p>
        </w:tc>
        <w:tc>
          <w:tcPr>
            <w:tcW w:w="1250" w:type="dxa"/>
            <w:vMerge w:val="continue"/>
          </w:tcPr>
          <w:p w14:paraId="6FB6001E">
            <w:pPr>
              <w:pageBreakBefore w:val="0"/>
              <w:wordWrap/>
              <w:spacing w:before="0" w:after="0"/>
              <w:ind w:left="0" w:leftChars="0" w:right="0" w:rightChars="0" w:firstLine="0" w:firstLineChars="0"/>
              <w:jc w:val="center"/>
              <w:textAlignment w:val="auto"/>
              <w:rPr>
                <w:rFonts w:hint="eastAsia" w:asciiTheme="minorEastAsia" w:hAnsiTheme="minorEastAsia" w:cstheme="minorEastAsia"/>
                <w:b w:val="0"/>
                <w:i w:val="0"/>
                <w:spacing w:val="0"/>
                <w:sz w:val="21"/>
                <w:szCs w:val="21"/>
                <w:lang w:val="en-US" w:eastAsia="zh-CN"/>
              </w:rPr>
            </w:pPr>
          </w:p>
        </w:tc>
        <w:tc>
          <w:tcPr>
            <w:tcW w:w="2226" w:type="dxa"/>
            <w:vMerge w:val="continue"/>
          </w:tcPr>
          <w:p w14:paraId="5D578111">
            <w:pPr>
              <w:pageBreakBefore w:val="0"/>
              <w:numPr>
                <w:ilvl w:val="0"/>
                <w:numId w:val="0"/>
              </w:numPr>
              <w:wordWrap/>
              <w:spacing w:before="160" w:after="0"/>
              <w:ind w:right="0"/>
              <w:jc w:val="left"/>
              <w:textAlignment w:val="auto"/>
              <w:rPr>
                <w:rFonts w:hint="default" w:ascii="宋体" w:hAnsi="宋体" w:eastAsia="宋体" w:cs="宋体"/>
                <w:b w:val="0"/>
                <w:i w:val="0"/>
                <w:spacing w:val="0"/>
                <w:sz w:val="24"/>
                <w:vertAlign w:val="baseline"/>
                <w:lang w:val="en-US" w:eastAsia="zh-CN"/>
              </w:rPr>
            </w:pPr>
          </w:p>
        </w:tc>
      </w:tr>
    </w:tbl>
    <w:p w14:paraId="2C56404A">
      <w:pPr>
        <w:pageBreakBefore w:val="0"/>
        <w:numPr>
          <w:ilvl w:val="-1"/>
          <w:numId w:val="0"/>
        </w:numPr>
        <w:wordWrap/>
        <w:spacing w:before="160" w:after="0"/>
        <w:ind w:left="0" w:right="0"/>
        <w:jc w:val="left"/>
        <w:textAlignment w:val="auto"/>
        <w:rPr>
          <w:rFonts w:hint="eastAsia" w:asciiTheme="minorEastAsia" w:hAnsiTheme="minorEastAsia" w:cstheme="minorEastAsia"/>
          <w:b/>
          <w:bCs/>
          <w:i w:val="0"/>
          <w:spacing w:val="0"/>
          <w:sz w:val="21"/>
          <w:szCs w:val="21"/>
          <w:lang w:val="en-US" w:eastAsia="zh-CN"/>
        </w:rPr>
      </w:pPr>
      <w:r>
        <w:rPr>
          <w:rFonts w:hint="eastAsia" w:asciiTheme="minorEastAsia" w:hAnsiTheme="minorEastAsia" w:cstheme="minorEastAsia"/>
          <w:b/>
          <w:bCs/>
          <w:i w:val="0"/>
          <w:spacing w:val="0"/>
          <w:sz w:val="21"/>
          <w:szCs w:val="21"/>
          <w:lang w:val="en-US" w:eastAsia="zh-CN"/>
        </w:rPr>
        <w:t>计件评估</w:t>
      </w:r>
      <w:r>
        <w:rPr>
          <w:rFonts w:hint="eastAsia" w:asciiTheme="minorEastAsia" w:hAnsiTheme="minorEastAsia" w:eastAsiaTheme="minorEastAsia" w:cstheme="minorEastAsia"/>
          <w:b/>
          <w:bCs/>
          <w:i w:val="0"/>
          <w:spacing w:val="0"/>
          <w:sz w:val="21"/>
          <w:szCs w:val="21"/>
        </w:rPr>
        <w:t>保底起步价：</w:t>
      </w:r>
      <w:r>
        <w:rPr>
          <w:rFonts w:hint="eastAsia" w:asciiTheme="minorEastAsia" w:hAnsiTheme="minorEastAsia" w:cstheme="minorEastAsia"/>
          <w:b/>
          <w:bCs/>
          <w:i w:val="0"/>
          <w:spacing w:val="0"/>
          <w:sz w:val="21"/>
          <w:szCs w:val="21"/>
          <w:u w:val="single"/>
          <w:lang w:val="en-US" w:eastAsia="zh-CN"/>
        </w:rPr>
        <w:t xml:space="preserve">            </w:t>
      </w:r>
      <w:r>
        <w:rPr>
          <w:rFonts w:hint="eastAsia" w:asciiTheme="minorEastAsia" w:hAnsiTheme="minorEastAsia" w:cstheme="minorEastAsia"/>
          <w:b/>
          <w:bCs/>
          <w:i w:val="0"/>
          <w:spacing w:val="0"/>
          <w:sz w:val="21"/>
          <w:szCs w:val="21"/>
          <w:lang w:val="en-US" w:eastAsia="zh-CN"/>
        </w:rPr>
        <w:t>元/批次</w:t>
      </w:r>
    </w:p>
    <w:p w14:paraId="465EC1BF">
      <w:pPr>
        <w:pageBreakBefore w:val="0"/>
        <w:numPr>
          <w:ilvl w:val="-1"/>
          <w:numId w:val="0"/>
        </w:numPr>
        <w:wordWrap/>
        <w:spacing w:before="160" w:after="0"/>
        <w:ind w:left="0" w:right="0"/>
        <w:jc w:val="left"/>
        <w:textAlignment w:val="auto"/>
        <w:rPr>
          <w:rFonts w:hint="default" w:asciiTheme="minorEastAsia" w:hAnsiTheme="minorEastAsia" w:cstheme="minorEastAsia"/>
          <w:b w:val="0"/>
          <w:i w:val="0"/>
          <w:spacing w:val="0"/>
          <w:sz w:val="21"/>
          <w:szCs w:val="21"/>
          <w:lang w:val="en-US" w:eastAsia="zh-CN"/>
        </w:rPr>
      </w:pPr>
    </w:p>
    <w:p w14:paraId="2C8DFF83">
      <w:pPr>
        <w:pageBreakBefore w:val="0"/>
        <w:numPr>
          <w:ilvl w:val="0"/>
          <w:numId w:val="3"/>
        </w:numPr>
        <w:wordWrap/>
        <w:spacing w:before="160" w:after="0"/>
        <w:ind w:left="0" w:right="0"/>
        <w:jc w:val="left"/>
        <w:textAlignment w:val="auto"/>
        <w:rPr>
          <w:rFonts w:hint="eastAsia" w:ascii="宋体" w:hAnsi="宋体" w:eastAsia="宋体" w:cs="宋体"/>
          <w:b/>
          <w:i w:val="0"/>
          <w:spacing w:val="0"/>
          <w:sz w:val="24"/>
          <w:lang w:val="en-US" w:eastAsia="zh-CN"/>
        </w:rPr>
      </w:pPr>
      <w:r>
        <w:rPr>
          <w:rFonts w:hint="eastAsia" w:ascii="宋体" w:hAnsi="宋体" w:eastAsia="宋体" w:cs="宋体"/>
          <w:b/>
          <w:i w:val="0"/>
          <w:spacing w:val="0"/>
          <w:sz w:val="24"/>
          <w:lang w:val="en-US" w:eastAsia="zh-CN"/>
        </w:rPr>
        <w:t>零星资产评估收费标准（每批次）</w:t>
      </w:r>
    </w:p>
    <w:p w14:paraId="3A8C8AAD">
      <w:pPr>
        <w:pageBreakBefore w:val="0"/>
        <w:numPr>
          <w:ilvl w:val="-1"/>
          <w:numId w:val="0"/>
        </w:numPr>
        <w:wordWrap/>
        <w:spacing w:before="160" w:after="0"/>
        <w:ind w:left="0" w:right="0"/>
        <w:jc w:val="left"/>
        <w:textAlignment w:val="auto"/>
        <w:rPr>
          <w:rFonts w:hint="default" w:asciiTheme="minorEastAsia" w:hAnsiTheme="minorEastAsia" w:eastAsiaTheme="minorEastAsia" w:cstheme="minorEastAsia"/>
          <w:b w:val="0"/>
          <w:i w:val="0"/>
          <w:spacing w:val="0"/>
          <w:sz w:val="21"/>
          <w:szCs w:val="21"/>
          <w:u w:val="single"/>
          <w:lang w:val="en-US" w:eastAsia="zh-CN"/>
        </w:rPr>
      </w:pPr>
      <w:r>
        <w:rPr>
          <w:rFonts w:hint="eastAsia" w:asciiTheme="minorEastAsia" w:hAnsiTheme="minorEastAsia" w:cstheme="minorEastAsia"/>
          <w:b w:val="0"/>
          <w:i w:val="0"/>
          <w:spacing w:val="0"/>
          <w:sz w:val="21"/>
          <w:szCs w:val="21"/>
          <w:u w:val="single"/>
          <w:lang w:val="en-US" w:eastAsia="zh-CN"/>
        </w:rPr>
        <w:t xml:space="preserve">               </w:t>
      </w:r>
      <w:r>
        <w:rPr>
          <w:rFonts w:hint="eastAsia" w:asciiTheme="minorEastAsia" w:hAnsiTheme="minorEastAsia" w:cstheme="minorEastAsia"/>
          <w:b w:val="0"/>
          <w:i w:val="0"/>
          <w:spacing w:val="0"/>
          <w:sz w:val="21"/>
          <w:szCs w:val="21"/>
          <w:u w:val="none"/>
          <w:lang w:val="en-US" w:eastAsia="zh-CN"/>
        </w:rPr>
        <w:t xml:space="preserve"> 元/批次</w:t>
      </w:r>
    </w:p>
    <w:p w14:paraId="1BBA2512">
      <w:pPr>
        <w:pageBreakBefore w:val="0"/>
        <w:numPr>
          <w:ilvl w:val="-1"/>
          <w:numId w:val="0"/>
        </w:numPr>
        <w:wordWrap/>
        <w:spacing w:before="160" w:after="0"/>
        <w:ind w:left="0" w:right="0"/>
        <w:jc w:val="left"/>
        <w:textAlignment w:val="auto"/>
        <w:rPr>
          <w:rFonts w:hint="eastAsia" w:asciiTheme="minorEastAsia" w:hAnsiTheme="minorEastAsia" w:cstheme="minorEastAsia"/>
          <w:b w:val="0"/>
          <w:i w:val="0"/>
          <w:spacing w:val="0"/>
          <w:sz w:val="21"/>
          <w:szCs w:val="21"/>
          <w:lang w:val="en-US" w:eastAsia="zh-CN"/>
        </w:rPr>
      </w:pPr>
      <w:r>
        <w:rPr>
          <w:rFonts w:hint="eastAsia" w:asciiTheme="minorEastAsia" w:hAnsiTheme="minorEastAsia" w:cstheme="minorEastAsia"/>
          <w:b w:val="0"/>
          <w:i w:val="0"/>
          <w:spacing w:val="0"/>
          <w:sz w:val="21"/>
          <w:szCs w:val="21"/>
          <w:lang w:val="en-US" w:eastAsia="zh-CN"/>
        </w:rPr>
        <w:t>零星资产包括：</w:t>
      </w:r>
    </w:p>
    <w:p w14:paraId="6D2D6A7C">
      <w:pPr>
        <w:pageBreakBefore w:val="0"/>
        <w:numPr>
          <w:ilvl w:val="0"/>
          <w:numId w:val="4"/>
        </w:numPr>
        <w:wordWrap/>
        <w:spacing w:before="160" w:after="0"/>
        <w:ind w:left="0" w:right="0"/>
        <w:jc w:val="left"/>
        <w:textAlignment w:val="auto"/>
        <w:rPr>
          <w:rFonts w:hint="eastAsia" w:asciiTheme="minorEastAsia" w:hAnsi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监护仪、输液泵、普通B超等</w:t>
      </w:r>
      <w:r>
        <w:rPr>
          <w:rFonts w:hint="eastAsia" w:asciiTheme="minorEastAsia" w:hAnsiTheme="minorEastAsia" w:cstheme="minorEastAsia"/>
          <w:b w:val="0"/>
          <w:i w:val="0"/>
          <w:spacing w:val="0"/>
          <w:sz w:val="21"/>
          <w:szCs w:val="21"/>
          <w:lang w:val="en-US" w:eastAsia="zh-CN"/>
        </w:rPr>
        <w:t>普通医用设备；</w:t>
      </w:r>
    </w:p>
    <w:p w14:paraId="2E9794FE">
      <w:pPr>
        <w:pageBreakBefore w:val="0"/>
        <w:numPr>
          <w:ilvl w:val="0"/>
          <w:numId w:val="4"/>
        </w:numPr>
        <w:wordWrap/>
        <w:spacing w:before="160" w:after="0"/>
        <w:ind w:left="0" w:right="0"/>
        <w:jc w:val="left"/>
        <w:textAlignment w:val="auto"/>
        <w:rPr>
          <w:rFonts w:hint="eastAsia" w:asciiTheme="minorEastAsia" w:hAnsiTheme="minorEastAsia" w:eastAsia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台式电脑、笔记本、打印机、空调等</w:t>
      </w:r>
      <w:r>
        <w:rPr>
          <w:rFonts w:hint="eastAsia" w:asciiTheme="minorEastAsia" w:hAnsiTheme="minorEastAsia" w:cstheme="minorEastAsia"/>
          <w:b w:val="0"/>
          <w:i w:val="0"/>
          <w:spacing w:val="0"/>
          <w:sz w:val="21"/>
          <w:szCs w:val="21"/>
          <w:lang w:val="en-US" w:eastAsia="zh-CN"/>
        </w:rPr>
        <w:t>办公设备；</w:t>
      </w:r>
    </w:p>
    <w:p w14:paraId="7FBEA009">
      <w:pPr>
        <w:pageBreakBefore w:val="0"/>
        <w:numPr>
          <w:ilvl w:val="0"/>
          <w:numId w:val="4"/>
        </w:numPr>
        <w:wordWrap/>
        <w:spacing w:before="160" w:after="0"/>
        <w:ind w:left="0" w:right="0"/>
        <w:jc w:val="left"/>
        <w:textAlignment w:val="auto"/>
        <w:rPr>
          <w:rFonts w:hint="eastAsia" w:asciiTheme="minorEastAsia" w:hAnsiTheme="minorEastAsia" w:eastAsiaTheme="minorEastAsia" w:cstheme="minorEastAsia"/>
          <w:b w:val="0"/>
          <w:i w:val="0"/>
          <w:spacing w:val="0"/>
          <w:sz w:val="21"/>
          <w:szCs w:val="21"/>
          <w:lang w:val="en-US" w:eastAsia="zh-CN"/>
        </w:rPr>
      </w:pPr>
      <w:r>
        <w:rPr>
          <w:rFonts w:hint="eastAsia" w:asciiTheme="minorEastAsia" w:hAnsiTheme="minorEastAsia" w:eastAsiaTheme="minorEastAsia" w:cstheme="minorEastAsia"/>
          <w:b w:val="0"/>
          <w:i w:val="0"/>
          <w:spacing w:val="0"/>
          <w:sz w:val="21"/>
          <w:szCs w:val="21"/>
        </w:rPr>
        <w:t>无账面价值或残值极低的零散资产</w:t>
      </w:r>
      <w:r>
        <w:rPr>
          <w:rFonts w:hint="eastAsia" w:asciiTheme="minorEastAsia" w:hAnsiTheme="minorEastAsia" w:cstheme="minorEastAsia"/>
          <w:b w:val="0"/>
          <w:i w:val="0"/>
          <w:spacing w:val="0"/>
          <w:sz w:val="21"/>
          <w:szCs w:val="21"/>
          <w:lang w:val="en-US" w:eastAsia="zh-CN"/>
        </w:rPr>
        <w:t>等。</w:t>
      </w:r>
    </w:p>
    <w:p w14:paraId="503F65C5">
      <w:pPr>
        <w:pageBreakBefore w:val="0"/>
        <w:wordWrap/>
        <w:spacing w:before="160" w:after="0"/>
        <w:ind w:left="0" w:right="0"/>
        <w:jc w:val="left"/>
        <w:textAlignment w:val="auto"/>
        <w:rPr>
          <w:rFonts w:ascii="宋体" w:hAnsi="宋体" w:eastAsia="宋体" w:cs="宋体"/>
          <w:b/>
          <w:i w:val="0"/>
          <w:spacing w:val="0"/>
          <w:sz w:val="24"/>
        </w:rPr>
      </w:pPr>
    </w:p>
    <w:p w14:paraId="25EC7048">
      <w:pPr>
        <w:pageBreakBefore w:val="0"/>
        <w:wordWrap/>
        <w:spacing w:before="160" w:after="0"/>
        <w:ind w:left="0" w:right="0"/>
        <w:jc w:val="left"/>
        <w:textAlignment w:val="auto"/>
        <w:rPr>
          <w:sz w:val="24"/>
        </w:rPr>
      </w:pPr>
      <w:r>
        <w:rPr>
          <w:rFonts w:ascii="宋体" w:hAnsi="宋体" w:eastAsia="宋体" w:cs="宋体"/>
          <w:b/>
          <w:i w:val="0"/>
          <w:spacing w:val="0"/>
          <w:sz w:val="24"/>
        </w:rPr>
        <w:t>填报须知与承诺</w:t>
      </w:r>
    </w:p>
    <w:p w14:paraId="2298CD29">
      <w:pPr>
        <w:pageBreakBefore w:val="0"/>
        <w:numPr>
          <w:ilvl w:val="0"/>
          <w:numId w:val="5"/>
        </w:numPr>
        <w:wordWrap/>
        <w:spacing w:before="160" w:after="0"/>
        <w:ind w:left="440" w:right="0" w:hanging="440"/>
        <w:jc w:val="left"/>
        <w:textAlignment w:val="auto"/>
        <w:rPr>
          <w:sz w:val="24"/>
        </w:rPr>
      </w:pPr>
      <w:r>
        <w:rPr>
          <w:rFonts w:ascii="宋体" w:hAnsi="宋体" w:eastAsia="宋体" w:cs="宋体"/>
          <w:b/>
          <w:i w:val="0"/>
          <w:spacing w:val="0"/>
          <w:sz w:val="24"/>
        </w:rPr>
        <w:t>税率说明：</w:t>
      </w:r>
      <w:r>
        <w:rPr>
          <w:rFonts w:ascii="宋体" w:hAnsi="宋体" w:eastAsia="宋体" w:cs="宋体"/>
          <w:b w:val="0"/>
          <w:i w:val="0"/>
          <w:spacing w:val="0"/>
          <w:sz w:val="24"/>
        </w:rPr>
        <w:t xml:space="preserve"> 以上报价</w:t>
      </w:r>
      <w:r>
        <w:rPr>
          <w:rFonts w:hint="eastAsia" w:ascii="宋体" w:hAnsi="宋体" w:eastAsia="宋体" w:cs="宋体"/>
          <w:b w:val="0"/>
          <w:i w:val="0"/>
          <w:spacing w:val="0"/>
          <w:sz w:val="24"/>
          <w:lang w:val="en-US" w:eastAsia="zh-CN"/>
        </w:rPr>
        <w:t>须</w:t>
      </w:r>
      <w:r>
        <w:rPr>
          <w:rFonts w:ascii="宋体" w:hAnsi="宋体" w:eastAsia="宋体" w:cs="宋体"/>
          <w:b w:val="0"/>
          <w:i w:val="0"/>
          <w:spacing w:val="0"/>
          <w:sz w:val="24"/>
        </w:rPr>
        <w:t>包含</w:t>
      </w:r>
      <w:r>
        <w:rPr>
          <w:rFonts w:hint="default" w:ascii="宋体" w:hAnsi="宋体" w:eastAsia="宋体" w:cs="宋体"/>
          <w:b w:val="0"/>
          <w:i w:val="0"/>
          <w:spacing w:val="0"/>
          <w:sz w:val="24"/>
          <w:szCs w:val="22"/>
        </w:rPr>
        <w:t>人工费、差旅费、报告费</w:t>
      </w:r>
      <w:r>
        <w:rPr>
          <w:rFonts w:hint="eastAsia" w:ascii="宋体" w:hAnsi="宋体" w:eastAsia="宋体" w:cs="宋体"/>
          <w:b w:val="0"/>
          <w:i w:val="0"/>
          <w:spacing w:val="0"/>
          <w:sz w:val="24"/>
          <w:szCs w:val="22"/>
          <w:lang w:eastAsia="zh-CN"/>
        </w:rPr>
        <w:t>、</w:t>
      </w:r>
      <w:r>
        <w:rPr>
          <w:rFonts w:hint="eastAsia" w:ascii="宋体" w:hAnsi="宋体" w:eastAsia="宋体" w:cs="宋体"/>
          <w:b w:val="0"/>
          <w:i w:val="0"/>
          <w:spacing w:val="0"/>
          <w:sz w:val="24"/>
          <w:szCs w:val="22"/>
          <w:lang w:val="en-US" w:eastAsia="zh-CN"/>
        </w:rPr>
        <w:t>增值税</w:t>
      </w:r>
      <w:r>
        <w:rPr>
          <w:rFonts w:hint="default" w:ascii="宋体" w:hAnsi="宋体" w:eastAsia="宋体" w:cs="宋体"/>
          <w:b w:val="0"/>
          <w:i w:val="0"/>
          <w:spacing w:val="0"/>
          <w:sz w:val="24"/>
          <w:szCs w:val="22"/>
        </w:rPr>
        <w:t>等全部相关费用</w:t>
      </w:r>
      <w:r>
        <w:rPr>
          <w:rFonts w:hint="eastAsia" w:ascii="宋体" w:hAnsi="宋体" w:eastAsia="宋体" w:cs="宋体"/>
          <w:b w:val="0"/>
          <w:i w:val="0"/>
          <w:spacing w:val="0"/>
          <w:sz w:val="24"/>
          <w:szCs w:val="22"/>
          <w:lang w:eastAsia="zh-CN"/>
        </w:rPr>
        <w:t>，</w:t>
      </w:r>
      <w:r>
        <w:rPr>
          <w:rFonts w:ascii="宋体" w:hAnsi="宋体" w:eastAsia="宋体" w:cs="宋体"/>
          <w:b w:val="0"/>
          <w:i w:val="0"/>
          <w:spacing w:val="0"/>
          <w:sz w:val="24"/>
        </w:rPr>
        <w:t>增值税适用税率为</w:t>
      </w:r>
      <w:r>
        <w:rPr>
          <w:rFonts w:hint="eastAsia" w:ascii="宋体" w:hAnsi="宋体" w:eastAsia="宋体" w:cs="宋体"/>
          <w:b w:val="0"/>
          <w:i w:val="0"/>
          <w:spacing w:val="0"/>
          <w:sz w:val="24"/>
          <w:lang w:val="en-US" w:eastAsia="zh-CN"/>
        </w:rPr>
        <w:t xml:space="preserve"> </w:t>
      </w:r>
      <w:r>
        <w:rPr>
          <w:rFonts w:hint="eastAsia" w:ascii="宋体" w:hAnsi="宋体" w:eastAsia="宋体" w:cs="宋体"/>
          <w:b w:val="0"/>
          <w:i w:val="0"/>
          <w:spacing w:val="0"/>
          <w:sz w:val="24"/>
          <w:u w:val="single"/>
          <w:lang w:val="en-US" w:eastAsia="zh-CN"/>
        </w:rPr>
        <w:t xml:space="preserve">      %  </w:t>
      </w:r>
      <w:r>
        <w:rPr>
          <w:rFonts w:ascii="宋体" w:hAnsi="宋体" w:eastAsia="宋体" w:cs="宋体"/>
          <w:b w:val="0"/>
          <w:i w:val="0"/>
          <w:spacing w:val="0"/>
          <w:sz w:val="24"/>
        </w:rPr>
        <w:t xml:space="preserve"> [填写税率，如 6%]。</w:t>
      </w:r>
    </w:p>
    <w:p w14:paraId="2BD26A67">
      <w:pPr>
        <w:pageBreakBefore w:val="0"/>
        <w:numPr>
          <w:ilvl w:val="0"/>
          <w:numId w:val="5"/>
        </w:numPr>
        <w:wordWrap/>
        <w:spacing w:before="160" w:after="0"/>
        <w:ind w:left="440" w:right="0" w:hanging="440"/>
        <w:jc w:val="left"/>
        <w:textAlignment w:val="auto"/>
        <w:rPr>
          <w:sz w:val="24"/>
        </w:rPr>
      </w:pPr>
      <w:r>
        <w:rPr>
          <w:rFonts w:ascii="宋体" w:hAnsi="宋体" w:eastAsia="宋体" w:cs="宋体"/>
          <w:b/>
          <w:i w:val="0"/>
          <w:spacing w:val="0"/>
          <w:sz w:val="24"/>
        </w:rPr>
        <w:t>服务承诺：</w:t>
      </w:r>
      <w:r>
        <w:rPr>
          <w:rFonts w:ascii="宋体" w:hAnsi="宋体" w:eastAsia="宋体" w:cs="宋体"/>
          <w:b w:val="0"/>
          <w:i w:val="0"/>
          <w:spacing w:val="0"/>
          <w:sz w:val="24"/>
        </w:rPr>
        <w:t xml:space="preserve"> 我方承诺严格按照国家相关资产评估准则及医院内部管理制度执行评估工作，保证评估结果客观、公正、准确，并对出具的评估报告承担相应法律责任。</w:t>
      </w:r>
    </w:p>
    <w:p w14:paraId="08417689">
      <w:pPr>
        <w:jc w:val="left"/>
      </w:pPr>
    </w:p>
    <w:sectPr>
      <w:headerReference r:id="rId3" w:type="default"/>
      <w:footerReference r:id="rId4" w:type="default"/>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9D1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16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8823B"/>
    <w:multiLevelType w:val="singleLevel"/>
    <w:tmpl w:val="C3C8823B"/>
    <w:lvl w:ilvl="0" w:tentative="0">
      <w:start w:val="1"/>
      <w:numFmt w:val="decimal"/>
      <w:suff w:val="nothing"/>
      <w:lvlText w:val="%1、"/>
      <w:lvlJc w:val="left"/>
    </w:lvl>
  </w:abstractNum>
  <w:abstractNum w:abstractNumId="1">
    <w:nsid w:val="E40B2E2B"/>
    <w:multiLevelType w:val="singleLevel"/>
    <w:tmpl w:val="E40B2E2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0F1153CA"/>
    <w:multiLevelType w:val="singleLevel"/>
    <w:tmpl w:val="0F1153CA"/>
    <w:lvl w:ilvl="0" w:tentative="0">
      <w:start w:val="2"/>
      <w:numFmt w:val="chineseCounting"/>
      <w:suff w:val="nothing"/>
      <w:lvlText w:val="%1、"/>
      <w:lvlJc w:val="left"/>
      <w:rPr>
        <w:rFonts w:hint="eastAsia"/>
      </w:rPr>
    </w:lvl>
  </w:abstractNum>
  <w:abstractNum w:abstractNumId="4">
    <w:nsid w:val="21F5F39F"/>
    <w:multiLevelType w:val="singleLevel"/>
    <w:tmpl w:val="21F5F39F"/>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compat>
    <w:ulTrailSpace/>
    <w:useFELayout/>
    <w:compatSetting w:name="compatibilityMode" w:uri="http://schemas.microsoft.com/office/word" w:val="15"/>
  </w:compat>
  <w:rsids>
    <w:rsidRoot w:val="00000000"/>
    <w:rsid w:val="00A0769A"/>
    <w:rsid w:val="0D80481C"/>
    <w:rsid w:val="112E2296"/>
    <w:rsid w:val="1EFB42D4"/>
    <w:rsid w:val="2D2C0256"/>
    <w:rsid w:val="3AB9042D"/>
    <w:rsid w:val="3E127A19"/>
    <w:rsid w:val="43EA4AFB"/>
    <w:rsid w:val="46752171"/>
    <w:rsid w:val="549B1A47"/>
    <w:rsid w:val="70447717"/>
    <w:rsid w:val="7D560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426</Words>
  <Characters>496</Characters>
  <TotalTime>39</TotalTime>
  <ScaleCrop>false</ScaleCrop>
  <LinksUpToDate>false</LinksUpToDate>
  <CharactersWithSpaces>541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2026-06-24T08:50:00Z</dcterms:created>
  <dc:creator>Apache POI</dc:creator>
  <cp:lastModifiedBy>刘雄林</cp:lastModifiedBy>
  <dcterms:modified xsi:type="dcterms:W3CDTF">2026-07-03T09:02:32Z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Q+Eh32ctRV57axlhGpN9sPDhrFfXToulaUXQiYSv7mA=","ProduceID":"doc_sgs:13ab6e3c-ce60-4143-a697-2024d8518389","ReservedCode2":"Q+Eh32ctRV57axlhGpN9sPDhrFfXToulaUXQiYSv7mA=","PropagateID":"doc_sgs:13ab6e3c-ce60-4143-a697-2024d8518389","ContentProducer":"001191440101MA9Y9T4H7A00000"}</vt:lpwstr>
  </property>
  <property fmtid="{D5CDD505-2E9C-101B-9397-08002B2CF9AE}" pid="3" name="KSOTemplateDocerSaveRecord">
    <vt:lpwstr>eyJoZGlkIjoiNTMyMmRjYTA4Y2UyYzE1MGI5NWIwNWI0NTExYmFkZTEiLCJ1c2VySWQiOiIxNjU3NTM2Njk2In0=</vt:lpwstr>
  </property>
  <property fmtid="{D5CDD505-2E9C-101B-9397-08002B2CF9AE}" pid="4" name="KSOProductBuildVer">
    <vt:lpwstr>2052-12.1.0.24034</vt:lpwstr>
  </property>
  <property fmtid="{D5CDD505-2E9C-101B-9397-08002B2CF9AE}" pid="5" name="ICV">
    <vt:lpwstr>0E4CA02385084417BD49C26A60326FF2_13</vt:lpwstr>
  </property>
</Properties>
</file>