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8D33F">
      <w:pPr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jc w:val="center"/>
        <w:rPr>
          <w:rStyle w:val="6"/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</w:pPr>
      <w:r>
        <w:rPr>
          <w:rStyle w:val="6"/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用户需求书</w:t>
      </w:r>
    </w:p>
    <w:p w14:paraId="4DAF7FD4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480" w:firstLineChars="200"/>
        <w:rPr>
          <w:rFonts w:hint="eastAsia" w:ascii="宋体" w:hAnsi="宋体" w:cs="宋体"/>
          <w:sz w:val="24"/>
        </w:rPr>
      </w:pPr>
    </w:p>
    <w:p w14:paraId="239BFCA5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2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一、项目名称：</w:t>
      </w:r>
      <w:r>
        <w:rPr>
          <w:rFonts w:hint="eastAsia" w:ascii="仿宋_GB2312" w:hAnsi="仿宋_GB2312" w:eastAsia="仿宋_GB2312" w:cs="仿宋_GB2312"/>
          <w:sz w:val="30"/>
          <w:szCs w:val="30"/>
        </w:rPr>
        <w:t>中山大学孙逸仙纪念医院劳动人事关系管理服务</w:t>
      </w:r>
    </w:p>
    <w:p w14:paraId="45F942A7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2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二、服务期限：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自合同签订之日起一年</w:t>
      </w:r>
      <w:r>
        <w:rPr>
          <w:rFonts w:hint="eastAsia" w:ascii="仿宋_GB2312" w:hAnsi="仿宋_GB2312" w:eastAsia="仿宋_GB2312" w:cs="仿宋_GB2312"/>
          <w:sz w:val="30"/>
          <w:szCs w:val="30"/>
        </w:rPr>
        <w:t>。</w:t>
      </w:r>
    </w:p>
    <w:p w14:paraId="34A94CBA">
      <w:pPr>
        <w:pStyle w:val="2"/>
        <w:pageBreakBefore w:val="0"/>
        <w:widowControl w:val="0"/>
        <w:kinsoku/>
        <w:wordWrap/>
        <w:overflowPunct/>
        <w:topLinePunct w:val="0"/>
        <w:bidi w:val="0"/>
        <w:snapToGrid w:val="0"/>
        <w:spacing w:before="0" w:beforeLines="0" w:line="560" w:lineRule="exact"/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zh-CN"/>
        </w:rPr>
        <w:t>基本需求</w:t>
      </w:r>
    </w:p>
    <w:p w14:paraId="6030EE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48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bookmarkStart w:id="0" w:name="heading_2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（一）政策法规咨询服务</w:t>
      </w:r>
      <w:bookmarkEnd w:id="0"/>
    </w:p>
    <w:p w14:paraId="255ACB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48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供应商需为医院人力资源管理及相关业务工作提供常态化政策咨询。服务范围涵盖劳动法、社保条例、事业单位人事管理条例及属地人社、卫健部门相关政策，覆盖编内、编外、劳务派遣人员招录、薪酬绩效、考勤休假、奖惩解聘、工伤社保等所有人事业务板块。及时响应我方咨询需求，同步推送最新政策更新并提供落地执行建议，保障日常人事业务合规开展。</w:t>
      </w:r>
    </w:p>
    <w:p w14:paraId="1026B1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48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bookmarkStart w:id="1" w:name="heading_3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（二）用工风控及制度流程体系建设</w:t>
      </w:r>
      <w:bookmarkEnd w:id="1"/>
    </w:p>
    <w:p w14:paraId="275E45C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48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1. 合规风险排查：全面排查医院现行人事制度、合同协议、管理流程中的潜在用工风险，出具风险评估报告，并给出对应的整改优化方案。</w:t>
      </w:r>
    </w:p>
    <w:p w14:paraId="641DD3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48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2. 规章制度搭建：全面梳理、修订、新编医院劳动人事全套管理制度，完善人员招录、岗位管理、薪酬福利、考核奖惩、离职解聘、争议处理等相关制度，形成系统化、合法化的制度体系。</w:t>
      </w:r>
    </w:p>
    <w:p w14:paraId="0F8615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48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3. 业务流程优化：以职工入职、在岗、调岗、考核、离职及退休等全生命周期管理为核心，对人事业务操作流程进行系统性优化，制定标准化操作指引，为医院整体人事管理工作提供统一且具备可操作性的执行规范，从而为后续依法合规处理劳动人事纠纷奠定坚实基础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。</w:t>
      </w:r>
    </w:p>
    <w:p w14:paraId="53602E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48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4. 配套增值服务：针对新制度、新流程开展实操培训；服务期内政策更新后，免费同步修订相关制度与操作流程。</w:t>
      </w:r>
    </w:p>
    <w:p w14:paraId="10A97C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48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bookmarkStart w:id="2" w:name="heading_4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（三）</w:t>
      </w:r>
      <w:bookmarkEnd w:id="2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协助处理劳动争议</w:t>
      </w:r>
    </w:p>
    <w:p w14:paraId="189579F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48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1. 风险预防：定期梳理分析医院日常用工、人事管理中的高频风险点、纠纷易发点，提供前置防控优化建议，协助医院完善人事台账、日常用工证据留存、手续备案等常态化管理机制，从源头减少劳资纠纷发生。</w:t>
      </w:r>
    </w:p>
    <w:p w14:paraId="1189A9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48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2. 协助处理纠纷：协助人事部门开展日常劳资矛盾排查，对已出现的劳动人事纠纷处理措施提供法律意见。</w:t>
      </w:r>
    </w:p>
    <w:p w14:paraId="448087D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48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3. 协助处理员工突发事件：针对员工离职纠纷、用工舆情、工伤争议、群体性用工矛盾等人事类突发事件，为我院提供现场协助支持及人事合规处置建议，配合做好事件平稳化解工作。</w:t>
      </w:r>
    </w:p>
    <w:p w14:paraId="27CE31B0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2" w:firstLineChars="200"/>
        <w:jc w:val="left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四、服务要求</w:t>
      </w:r>
    </w:p>
    <w:p w14:paraId="355DDC89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1.供应商须为具有合法证照的律师事务所。律师事务所近5年（成立不满5年，则自成立以来）未受过司法行政部门的行政处罚或者行业协会的行业处分。</w:t>
      </w:r>
    </w:p>
    <w:p w14:paraId="07D0E763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2.供应商须组建稳定的服务团队为医院提供服务，保证足够的服务力量，能及时满足医院工作需求。服务团队应指派负责人1名，除负责人外的服务团队成员不少于2名，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服务团队中需包含具备律师执业资格证的律师。</w:t>
      </w:r>
    </w:p>
    <w:p w14:paraId="016F0421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3.供应商为本项目配备的服务团队须熟悉相关法律法规、规章制度、政策，熟悉医院用工特点与行业惯例等。</w:t>
      </w:r>
    </w:p>
    <w:p w14:paraId="606F543D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4.项目服务期内，供应商所有交付的风险评估报告、管理制度、操作手册、文书模板等成果，同步提供电子版与纸质版，所有权归我院所有。</w:t>
      </w:r>
    </w:p>
    <w:p w14:paraId="6B5FA6A2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5.项目服务期内，常规咨询、制度修订、基础培训、纠纷调解等基础服务，无额外隐形收费。</w:t>
      </w:r>
    </w:p>
    <w:p w14:paraId="11A46397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6.服务时限要求：</w:t>
      </w:r>
    </w:p>
    <w:p w14:paraId="70F3BC98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（1）口头或微信咨询：一般的咨询即时答复；不能即时答复的须最迟在24小时以内答复。</w:t>
      </w:r>
    </w:p>
    <w:p w14:paraId="05B0BF0B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（2）书面或邮件咨询：接采购人通知后2个工作日以内答复。（须提供承诺函，加盖供应商公章）。</w:t>
      </w:r>
    </w:p>
    <w:p w14:paraId="1536501F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（3）遇有特殊情况，应能满足医院工作需要，紧急咨询（含口头及书面），接到采购人通知起，应在办理时限内答复。（须提供承诺函，加盖供应商公章）</w:t>
      </w:r>
    </w:p>
    <w:p w14:paraId="698934B3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7.供应商须与医院签订保密协议，对服务过程中接触的医院机密信息（如人事数据、职工信息、内部制度、未公开的科研成果等）严格保密，未经允许不得泄露或用于其他用途。</w:t>
      </w:r>
    </w:p>
    <w:p w14:paraId="57440844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8.利益冲突：未经医院同意，不得以任何形式、方式为与医院具有法律上利益冲突的另一方提供法律意见或代理。</w:t>
      </w:r>
    </w:p>
    <w:p w14:paraId="1CFDE410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2" w:firstLineChars="200"/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五、付款时限</w:t>
      </w:r>
    </w:p>
    <w:p w14:paraId="4D4E5863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2" w:firstLineChars="200"/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第一笔：预付款（合同总价20%）</w:t>
      </w:r>
    </w:p>
    <w:p w14:paraId="565A14CE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付款时间：合同正式签订生效后10个工作日内。</w:t>
      </w:r>
    </w:p>
    <w:p w14:paraId="618242A4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付款条件：供应商已按要求组建专属服务团队、提交团队人员资质材料、签订保密协议及相关承诺函，完成服务前期对接准备工作。</w:t>
      </w:r>
    </w:p>
    <w:p w14:paraId="6AE3F5BC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2" w:firstLineChars="200"/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第二笔：第一阶段进度款（合同总价30%）</w:t>
      </w:r>
    </w:p>
    <w:p w14:paraId="0BBCDBBE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付款时间：完成用工合规风险排查并通过验收后10个工作日内。</w:t>
      </w:r>
    </w:p>
    <w:p w14:paraId="0E21010D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付款条件：全面完成人事制度、合同、流程风险排查，出具正式风险评估报告及完整整改优化方案；常态化政策咨询服务正常开展，服务时效符合要求，无服务违约情况，成果验收合格。</w:t>
      </w:r>
    </w:p>
    <w:p w14:paraId="7D4F4C77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2" w:firstLineChars="200"/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第三笔：第二阶段进度款（合同总价25%）</w:t>
      </w:r>
    </w:p>
    <w:p w14:paraId="1B62E57C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付款时间：完成制度体系搭建、业务流程优化，并通过验收后10个工作日内。</w:t>
      </w:r>
    </w:p>
    <w:p w14:paraId="0CD86674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付款条件：完成全套劳动人事管理制度修订/新编、人事全生命周期标准化操作指引编制，提交纸质和电子版正式定稿文件，验收合格。</w:t>
      </w:r>
    </w:p>
    <w:p w14:paraId="5B277B5A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2" w:firstLineChars="200"/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第四笔：尾款（合同总价25%）</w:t>
      </w:r>
    </w:p>
    <w:p w14:paraId="0D39962C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付款时间：服务期满，项目整体验收合格后15个工作日内。</w:t>
      </w:r>
    </w:p>
    <w:p w14:paraId="31507234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付款条件：整个服务周期内，按要求完成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政策法规咨询、制度流程体系建设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、劳动争议处置等全部服务；无超时响应、隐形收费、信息泄露、违反利益冲突等违约行为；所有交付成果完整归档，项目整体验收通过。</w:t>
      </w:r>
    </w:p>
    <w:p w14:paraId="64CC8E8F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注：采购人在收到供应商对应发票，在满足上述付款条件的情况下进行付款。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F70F6"/>
    <w:rsid w:val="04C13282"/>
    <w:rsid w:val="11DD3F3E"/>
    <w:rsid w:val="197C47C8"/>
    <w:rsid w:val="19E37C0E"/>
    <w:rsid w:val="26B83FF2"/>
    <w:rsid w:val="29DA0136"/>
    <w:rsid w:val="2AA40F64"/>
    <w:rsid w:val="2E6D1D61"/>
    <w:rsid w:val="335C14A0"/>
    <w:rsid w:val="3DC83D19"/>
    <w:rsid w:val="417630E4"/>
    <w:rsid w:val="42F424E8"/>
    <w:rsid w:val="4E852C66"/>
    <w:rsid w:val="55E45060"/>
    <w:rsid w:val="59C036AC"/>
    <w:rsid w:val="69A7605A"/>
    <w:rsid w:val="6ECA7CE1"/>
    <w:rsid w:val="707A4F32"/>
    <w:rsid w:val="728E17FF"/>
    <w:rsid w:val="75B8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autoSpaceDE w:val="0"/>
      <w:autoSpaceDN w:val="0"/>
      <w:adjustRightInd w:val="0"/>
      <w:snapToGrid w:val="0"/>
      <w:spacing w:before="120" w:beforeLines="0"/>
      <w:jc w:val="left"/>
      <w:textAlignment w:val="baseline"/>
      <w:outlineLvl w:val="2"/>
    </w:pPr>
    <w:rPr>
      <w:rFonts w:ascii="Arial" w:hAnsi="Arial"/>
      <w:bCs/>
      <w:sz w:val="24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NormalCharacter"/>
    <w:qFormat/>
    <w:uiPriority w:val="0"/>
  </w:style>
  <w:style w:type="paragraph" w:customStyle="1" w:styleId="7">
    <w:name w:val="_Style 3"/>
    <w:basedOn w:val="1"/>
    <w:qFormat/>
    <w:uiPriority w:val="0"/>
    <w:pPr>
      <w:ind w:firstLine="420" w:firstLineChars="200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1866</Words>
  <Characters>1894</Characters>
  <Lines>0</Lines>
  <Paragraphs>0</Paragraphs>
  <TotalTime>184</TotalTime>
  <ScaleCrop>false</ScaleCrop>
  <LinksUpToDate>false</LinksUpToDate>
  <CharactersWithSpaces>1901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2026-01-20T00:55:00Z</dcterms:created>
  <dc:creator>Administrator</dc:creator>
  <cp:lastModifiedBy>裴蕾</cp:lastModifiedBy>
  <dcterms:modified xsi:type="dcterms:W3CDTF">2026-06-25T06:41:33Z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eyJoZGlkIjoiZTY2MTE3NWRhMWE3N2Q2OWFmMTYyYWYzZDhlMjc4YTEiLCJ1c2VySWQiOiI0MDg0MDkwNzUifQ==</vt:lpwstr>
  </property>
  <property fmtid="{D5CDD505-2E9C-101B-9397-08002B2CF9AE}" pid="4" name="ICV">
    <vt:lpwstr>3E92A2BE23CB4AFA951815F7571FE8B4_13</vt:lpwstr>
  </property>
</Properties>
</file>