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F154F">
      <w:pPr>
        <w:widowControl/>
        <w:adjustRightInd w:val="0"/>
        <w:snapToGrid w:val="0"/>
        <w:spacing w:after="0" w:line="360" w:lineRule="auto"/>
        <w:ind w:firstLine="562" w:firstLineChars="200"/>
        <w:jc w:val="center"/>
        <w:rPr>
          <w:rFonts w:hint="eastAsia" w:ascii="宋体" w:hAnsi="宋体" w:eastAsia="宋体" w:cs="Times New Roman"/>
          <w:b/>
          <w:kern w:val="2"/>
          <w:sz w:val="28"/>
          <w:szCs w:val="28"/>
          <w:lang w:eastAsia="zh-CN"/>
        </w:rPr>
      </w:pPr>
      <w:r>
        <w:rPr>
          <w:rFonts w:hint="eastAsia" w:ascii="宋体" w:hAnsi="宋体" w:eastAsia="宋体" w:cs="Times New Roman"/>
          <w:b/>
          <w:kern w:val="2"/>
          <w:sz w:val="28"/>
          <w:szCs w:val="28"/>
          <w:lang w:eastAsia="zh-CN"/>
        </w:rPr>
        <w:t>价格商务技术评分表</w:t>
      </w:r>
    </w:p>
    <w:p w14:paraId="6FD36BC8">
      <w:pPr>
        <w:widowControl/>
        <w:adjustRightInd w:val="0"/>
        <w:snapToGrid w:val="0"/>
        <w:spacing w:after="0" w:line="360" w:lineRule="auto"/>
        <w:ind w:firstLine="562" w:firstLineChars="200"/>
        <w:jc w:val="center"/>
        <w:rPr>
          <w:rFonts w:hint="eastAsia" w:ascii="宋体" w:hAnsi="宋体" w:eastAsia="宋体" w:cs="Times New Roman"/>
          <w:b/>
          <w:kern w:val="2"/>
          <w:sz w:val="28"/>
          <w:szCs w:val="28"/>
          <w:lang w:eastAsia="zh-CN"/>
        </w:rPr>
      </w:pPr>
      <w:r>
        <w:rPr>
          <w:rFonts w:hint="eastAsia" w:ascii="宋体" w:hAnsi="宋体" w:eastAsia="宋体" w:cs="Times New Roman"/>
          <w:b/>
          <w:kern w:val="2"/>
          <w:sz w:val="28"/>
          <w:szCs w:val="28"/>
          <w:lang w:eastAsia="zh-CN"/>
        </w:rPr>
        <w:t>（AI医疗技术服务类项目）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1"/>
        <w:gridCol w:w="2351"/>
        <w:gridCol w:w="1182"/>
        <w:gridCol w:w="3600"/>
      </w:tblGrid>
      <w:tr w14:paraId="4AF24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51" w:type="dxa"/>
            <w:vAlign w:val="center"/>
          </w:tcPr>
          <w:p w14:paraId="1BB3F7FD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eastAsia="zh-CN"/>
              </w:rPr>
              <w:t>分类</w:t>
            </w:r>
          </w:p>
        </w:tc>
        <w:tc>
          <w:tcPr>
            <w:tcW w:w="2351" w:type="dxa"/>
            <w:vAlign w:val="center"/>
          </w:tcPr>
          <w:p w14:paraId="2529B36D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eastAsia="zh-CN"/>
              </w:rPr>
              <w:t>评审指标</w:t>
            </w:r>
          </w:p>
        </w:tc>
        <w:tc>
          <w:tcPr>
            <w:tcW w:w="1182" w:type="dxa"/>
            <w:vAlign w:val="center"/>
          </w:tcPr>
          <w:p w14:paraId="46C048AC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eastAsia="zh-CN"/>
              </w:rPr>
              <w:t>分值</w:t>
            </w:r>
          </w:p>
        </w:tc>
        <w:tc>
          <w:tcPr>
            <w:tcW w:w="3600" w:type="dxa"/>
            <w:vAlign w:val="center"/>
          </w:tcPr>
          <w:p w14:paraId="33A19B65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eastAsia="zh-CN"/>
              </w:rPr>
              <w:t>评审细则</w:t>
            </w:r>
          </w:p>
        </w:tc>
      </w:tr>
      <w:tr w14:paraId="6965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Align w:val="center"/>
          </w:tcPr>
          <w:p w14:paraId="6A52CB56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价格</w:t>
            </w:r>
          </w:p>
        </w:tc>
        <w:tc>
          <w:tcPr>
            <w:tcW w:w="2351" w:type="dxa"/>
            <w:vAlign w:val="center"/>
          </w:tcPr>
          <w:p w14:paraId="1E37A7B0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投标报价</w:t>
            </w:r>
          </w:p>
        </w:tc>
        <w:tc>
          <w:tcPr>
            <w:tcW w:w="1182" w:type="dxa"/>
            <w:vAlign w:val="center"/>
          </w:tcPr>
          <w:p w14:paraId="3AE7341B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</w:t>
            </w:r>
          </w:p>
        </w:tc>
        <w:tc>
          <w:tcPr>
            <w:tcW w:w="3600" w:type="dxa"/>
          </w:tcPr>
          <w:p w14:paraId="7C4D35B0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投标报价得分＝（评标基准价/投标报价）×价格分值</w:t>
            </w:r>
          </w:p>
          <w:p w14:paraId="68EADD6A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注：满足招标文件要求且投标价格最低的投标报价为评标基准价。</w:t>
            </w:r>
          </w:p>
        </w:tc>
      </w:tr>
      <w:tr w14:paraId="07F63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restart"/>
            <w:vAlign w:val="center"/>
          </w:tcPr>
          <w:p w14:paraId="105DB861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商务</w:t>
            </w:r>
          </w:p>
        </w:tc>
        <w:tc>
          <w:tcPr>
            <w:tcW w:w="2351" w:type="dxa"/>
            <w:vAlign w:val="center"/>
          </w:tcPr>
          <w:p w14:paraId="6C03CD93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服务团队配置情况</w:t>
            </w:r>
          </w:p>
        </w:tc>
        <w:tc>
          <w:tcPr>
            <w:tcW w:w="1182" w:type="dxa"/>
            <w:vAlign w:val="center"/>
          </w:tcPr>
          <w:p w14:paraId="42997EED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10分</w:t>
            </w:r>
          </w:p>
        </w:tc>
        <w:tc>
          <w:tcPr>
            <w:tcW w:w="3600" w:type="dxa"/>
          </w:tcPr>
          <w:p w14:paraId="4BC211D7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1、服务团队负责人担任省级及以上人工智能、医疗信息化相关行业协会副会长及以上职务的，得5分；担任协会理事、委员等职务的，得3分；其余情况不得分。</w:t>
            </w:r>
          </w:p>
          <w:p w14:paraId="2254DBD7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2、服务团队具有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国内及国际重点高校人工智能硕士及博士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学位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研究生学历的，每人得1分，最高得3分；其余情况不得分。</w:t>
            </w:r>
          </w:p>
          <w:p w14:paraId="29217B0E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3、服务团队成员中具有人工智能、软件、医疗信息化、医学类相关专业技术资格证书或行业协会任职的，得2分；其余情况不得分。</w:t>
            </w:r>
          </w:p>
          <w:p w14:paraId="47B9ED24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注：须同时提供学历学位证书、学信网学历证书查询结果截图、专业技术资格证书或协会任职证明，并加盖响应人公章。</w:t>
            </w:r>
          </w:p>
        </w:tc>
      </w:tr>
      <w:tr w14:paraId="5E1E2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</w:tcPr>
          <w:p w14:paraId="362C811C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351" w:type="dxa"/>
            <w:vAlign w:val="center"/>
          </w:tcPr>
          <w:p w14:paraId="276EEAB0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知识产权情况</w:t>
            </w:r>
          </w:p>
        </w:tc>
        <w:tc>
          <w:tcPr>
            <w:tcW w:w="1182" w:type="dxa"/>
            <w:vAlign w:val="center"/>
          </w:tcPr>
          <w:p w14:paraId="491BEBF5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10分</w:t>
            </w:r>
          </w:p>
        </w:tc>
        <w:tc>
          <w:tcPr>
            <w:tcW w:w="3600" w:type="dxa"/>
          </w:tcPr>
          <w:p w14:paraId="74B6EE78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1、响应人拥有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申请或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授权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医学人工智能相关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发明专利的，每项得2分，本项最高得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分。</w:t>
            </w:r>
          </w:p>
          <w:p w14:paraId="6A93CE49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2、响应人拥有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医学人工智能相关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软件著作权的，每项得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分，本项最高得2分。</w:t>
            </w:r>
          </w:p>
          <w:p w14:paraId="3EC510C1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注：须提供专利证书、软件著作权登记证书、标准文本等复印件并加盖公章，提供不完整或无法判断的不得分。</w:t>
            </w:r>
          </w:p>
        </w:tc>
      </w:tr>
      <w:tr w14:paraId="6770D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</w:tcPr>
          <w:p w14:paraId="70DE9317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351" w:type="dxa"/>
            <w:vAlign w:val="center"/>
          </w:tcPr>
          <w:p w14:paraId="71610349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供应商获奖情况</w:t>
            </w:r>
          </w:p>
        </w:tc>
        <w:tc>
          <w:tcPr>
            <w:tcW w:w="1182" w:type="dxa"/>
            <w:vAlign w:val="center"/>
          </w:tcPr>
          <w:p w14:paraId="4DDC1452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5分</w:t>
            </w:r>
          </w:p>
        </w:tc>
        <w:tc>
          <w:tcPr>
            <w:tcW w:w="3600" w:type="dxa"/>
          </w:tcPr>
          <w:p w14:paraId="1C542A7E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年（20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年）以来：1、获国家级行政部门或行业协会授予奖项的，每项得2分；2、获省级行政部门或行业协会授予奖项的，每项得1分；本项最高得5分。</w:t>
            </w:r>
          </w:p>
          <w:p w14:paraId="7F58F43B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注：须提供获奖证书复印件并加盖公章。</w:t>
            </w:r>
          </w:p>
        </w:tc>
      </w:tr>
      <w:tr w14:paraId="134C5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restart"/>
            <w:vAlign w:val="center"/>
          </w:tcPr>
          <w:p w14:paraId="1592ABE9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技术</w:t>
            </w:r>
          </w:p>
        </w:tc>
        <w:tc>
          <w:tcPr>
            <w:tcW w:w="2351" w:type="dxa"/>
            <w:vAlign w:val="center"/>
          </w:tcPr>
          <w:p w14:paraId="3B65B98F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医学大模型能力</w:t>
            </w:r>
          </w:p>
        </w:tc>
        <w:tc>
          <w:tcPr>
            <w:tcW w:w="1182" w:type="dxa"/>
            <w:vAlign w:val="center"/>
          </w:tcPr>
          <w:p w14:paraId="5F4F7EC2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</w:t>
            </w:r>
          </w:p>
        </w:tc>
        <w:tc>
          <w:tcPr>
            <w:tcW w:w="3600" w:type="dxa"/>
          </w:tcPr>
          <w:p w14:paraId="75C9B114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1、响应人具备医学领域大模型（临床诊疗大模型、乳腺专科大模型、手术病理大模型、放疗大模型等多模态医学大模型），且可提供运行试用或现场演示的，得10分；仅能提供技术方案但不可试用的，得5分；不具备医学大模型能力的，本项不得分。</w:t>
            </w:r>
          </w:p>
          <w:p w14:paraId="5B749E44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2、响应人的大模型具备多模态处理能力（覆盖医学影像、电子病历文本、病理图像等两种及以上模态）的，得5分；不具备多模态能力的，不得分。</w:t>
            </w:r>
          </w:p>
          <w:p w14:paraId="2F9C4930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注：须提供大模型运行演示说明、软件著作权、专利等证明材料。</w:t>
            </w:r>
          </w:p>
        </w:tc>
      </w:tr>
      <w:tr w14:paraId="7EC24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</w:tcPr>
          <w:p w14:paraId="302842D4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351" w:type="dxa"/>
            <w:vAlign w:val="center"/>
          </w:tcPr>
          <w:p w14:paraId="590F265E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论文发表情况</w:t>
            </w:r>
          </w:p>
        </w:tc>
        <w:tc>
          <w:tcPr>
            <w:tcW w:w="1182" w:type="dxa"/>
            <w:vAlign w:val="center"/>
          </w:tcPr>
          <w:p w14:paraId="2A945B15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</w:t>
            </w:r>
          </w:p>
        </w:tc>
        <w:tc>
          <w:tcPr>
            <w:tcW w:w="3600" w:type="dxa"/>
          </w:tcPr>
          <w:p w14:paraId="6BB8AE15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具备医学领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及人工智能领域发表高水平学术论文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，累计影响因子≥50分的，得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分；≥20分的，得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分；≥10分的，得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分；不足10分的，不得分。</w:t>
            </w:r>
          </w:p>
          <w:p w14:paraId="1106DA8D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注：须提供论文首页、期刊影响因子证明及作者署名证明。</w:t>
            </w:r>
          </w:p>
        </w:tc>
      </w:tr>
      <w:tr w14:paraId="06497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</w:tcPr>
          <w:p w14:paraId="388CA000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351" w:type="dxa"/>
            <w:vAlign w:val="center"/>
          </w:tcPr>
          <w:p w14:paraId="3154F5B2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服务方案</w:t>
            </w:r>
          </w:p>
        </w:tc>
        <w:tc>
          <w:tcPr>
            <w:tcW w:w="1182" w:type="dxa"/>
            <w:vAlign w:val="center"/>
          </w:tcPr>
          <w:p w14:paraId="7F49F6BE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</w:t>
            </w:r>
          </w:p>
        </w:tc>
        <w:tc>
          <w:tcPr>
            <w:tcW w:w="3600" w:type="dxa"/>
          </w:tcPr>
          <w:p w14:paraId="28D470E4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供应商根据本项目的需求，自主制定服务方案，方案应包括但不限于以下内容：1.提供的服务项目列表；2.服务流程；3.人员和时间部署等。评分标准：</w:t>
            </w:r>
          </w:p>
          <w:p w14:paraId="3E73A7DB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1.项目整体服务方案内容科学全面、部署明确合理，可行性强、针对性强、工作方法得当，完全能够保障项目实施（得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17-20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分）；</w:t>
            </w:r>
          </w:p>
          <w:p w14:paraId="05A494A7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2.方案内容具体、部署得当，能够保障项目实施（得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13-16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分）；</w:t>
            </w:r>
          </w:p>
          <w:p w14:paraId="20184240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3.方案内容较合理、有可行性，基本能够保障项目实施（得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9-12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分）；</w:t>
            </w:r>
          </w:p>
          <w:p w14:paraId="4ACDA8E5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4.方案内容基本合理、欠完善，部分能够保障项目实施（得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5-8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分）；</w:t>
            </w:r>
          </w:p>
          <w:p w14:paraId="7FBA9937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5.方案内容合理性差、有缺陷或缺失，不能够保障项目实施（得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0-4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分）。</w:t>
            </w:r>
          </w:p>
        </w:tc>
      </w:tr>
      <w:tr w14:paraId="1140A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vMerge w:val="continue"/>
          </w:tcPr>
          <w:p w14:paraId="35A1E3B6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351" w:type="dxa"/>
            <w:vAlign w:val="center"/>
          </w:tcPr>
          <w:p w14:paraId="0B2D022A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应急方案</w:t>
            </w:r>
          </w:p>
        </w:tc>
        <w:tc>
          <w:tcPr>
            <w:tcW w:w="1182" w:type="dxa"/>
            <w:vAlign w:val="center"/>
          </w:tcPr>
          <w:p w14:paraId="018DA9FA">
            <w:pPr>
              <w:widowControl w:val="0"/>
              <w:snapToGrid w:val="0"/>
              <w:spacing w:after="0"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5分</w:t>
            </w:r>
          </w:p>
        </w:tc>
        <w:tc>
          <w:tcPr>
            <w:tcW w:w="3600" w:type="dxa"/>
          </w:tcPr>
          <w:p w14:paraId="3292BDF4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供应商需在响应文件中制定详细的应急预案，包括但不限于系统故障处理、数据安全事件处理、人员变动调整等，确保项目在不可预见情况下仍能顺利进行。应急预案应明确责任分工、应对措施、恢复时间及与采购人的沟通机制。</w:t>
            </w:r>
          </w:p>
          <w:p w14:paraId="6388C9AF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1、方案专业、完善、能完全满足或优于采购人需求的，得5分；</w:t>
            </w:r>
          </w:p>
          <w:p w14:paraId="7A28DC43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2、方案较为专业、不够完善但能基本满足采购人需求的，得3分；</w:t>
            </w:r>
          </w:p>
          <w:p w14:paraId="22AF87E0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3、方案存在明显缺陷、与采购人需求有明显差距的，得1分；</w:t>
            </w:r>
          </w:p>
          <w:p w14:paraId="63246D39">
            <w:pPr>
              <w:widowControl w:val="0"/>
              <w:snapToGrid w:val="0"/>
              <w:spacing w:after="0" w:line="360" w:lineRule="exact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eastAsia="zh-CN"/>
              </w:rPr>
              <w:t>4、方案无法满足采购人需求或未提供的，不得分。</w:t>
            </w:r>
          </w:p>
        </w:tc>
      </w:tr>
    </w:tbl>
    <w:p w14:paraId="6C3C0B5A">
      <w:pPr>
        <w:widowControl w:val="0"/>
        <w:snapToGrid w:val="0"/>
        <w:spacing w:after="0" w:line="360" w:lineRule="exact"/>
        <w:jc w:val="center"/>
        <w:rPr>
          <w:rFonts w:hint="eastAsia" w:ascii="宋体" w:hAnsi="宋体" w:eastAsia="宋体" w:cs="宋体"/>
          <w:kern w:val="2"/>
          <w:sz w:val="21"/>
          <w:szCs w:val="21"/>
          <w:lang w:eastAsia="zh-CN"/>
        </w:rPr>
      </w:pPr>
    </w:p>
    <w:p w14:paraId="40D962D6">
      <w:r>
        <w:rPr>
          <w:rFonts w:ascii="微软雅黑" w:hAnsi="微软雅黑"/>
          <w:sz w:val="20"/>
        </w:rPr>
        <w:t>注：1、保留小数点后两位（按四舍五入原则）</w:t>
      </w:r>
    </w:p>
    <w:p w14:paraId="60A5C701">
      <w:r>
        <w:rPr>
          <w:rFonts w:ascii="微软雅黑" w:hAnsi="微软雅黑"/>
          <w:sz w:val="20"/>
        </w:rPr>
        <w:t>2、根据综合评分情况，评审小组按照评审得分由高到低的顺序推荐1名成交供应商。评审得分相同的，按照最后报价由低到高的顺序推荐。评审得分且最后报价相同的，按照技术指标优劣顺序推荐。</w:t>
      </w:r>
    </w:p>
    <w:p w14:paraId="20D1E9D4">
      <w:r>
        <w:rPr>
          <w:rFonts w:ascii="微软雅黑" w:hAnsi="微软雅黑"/>
          <w:sz w:val="20"/>
        </w:rPr>
        <w:t>3、供应商加分项相应产品响应报价之和以评审小组复核结果为准。</w:t>
      </w:r>
    </w:p>
    <w:p w14:paraId="37E626AF">
      <w:r>
        <w:rPr>
          <w:rFonts w:ascii="微软雅黑" w:hAnsi="微软雅黑"/>
          <w:sz w:val="20"/>
        </w:rPr>
        <w:t>4、供应商在报价时须提供与以上评分因素相关的材料。如果发现有弄虚作假的，将取消其资格。</w:t>
      </w:r>
    </w:p>
    <w:sectPr>
      <w:pgSz w:w="12240" w:h="15840"/>
      <w:pgMar w:top="1134" w:right="1417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502840"/>
    <w:rsid w:val="036839EA"/>
    <w:rsid w:val="1FF001F0"/>
    <w:rsid w:val="255B4D05"/>
    <w:rsid w:val="29AC5B2F"/>
    <w:rsid w:val="2CE359F5"/>
    <w:rsid w:val="2D2B1461"/>
    <w:rsid w:val="305F5E1D"/>
    <w:rsid w:val="334F6FA1"/>
    <w:rsid w:val="384A6C3F"/>
    <w:rsid w:val="3D485717"/>
    <w:rsid w:val="40B27A77"/>
    <w:rsid w:val="4DE4323A"/>
    <w:rsid w:val="53CF6CF7"/>
    <w:rsid w:val="5C4A6AB4"/>
    <w:rsid w:val="64A137DB"/>
    <w:rsid w:val="72860085"/>
    <w:rsid w:val="74BB4445"/>
    <w:rsid w:val="7E867872"/>
    <w:rsid w:val="7FFBF9C3"/>
    <w:rsid w:val="94771EE6"/>
    <w:rsid w:val="FB4F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微软雅黑" w:hAnsi="微软雅黑" w:eastAsia="微软雅黑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796</Words>
  <Characters>806</Characters>
  <Lines>0</Lines>
  <Paragraphs>0</Paragraphs>
  <TotalTime>47</TotalTime>
  <ScaleCrop>false</ScaleCrop>
  <LinksUpToDate>false</LinksUpToDate>
  <CharactersWithSpaces>806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古皓</cp:lastModifiedBy>
  <dcterms:modified xsi:type="dcterms:W3CDTF">2026-08-21T09:03:29Z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eyJoZGlkIjoiZjdiZTYzYTJhNGE0OGIwYjEwNTE2YmNlZDVmNzIwZTkiLCJ1c2VySWQiOiI2ODYyMDA2NDcifQ==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B673CC67DC3E4B27B27687526B13A4B1_13</vt:lpwstr>
  </property>
</Properties>
</file>