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0E1BFA">
      <w:pPr>
        <w:pStyle w:val="2"/>
        <w:bidi w:val="0"/>
        <w:jc w:val="center"/>
        <w:rPr>
          <w:rFonts w:hint="default" w:eastAsiaTheme="majorEastAsia"/>
          <w:sz w:val="24"/>
          <w:szCs w:val="28"/>
          <w:lang w:val="en-US" w:eastAsia="zh-CN"/>
        </w:rPr>
      </w:pPr>
      <w:r>
        <w:rPr>
          <w:rFonts w:hint="eastAsia"/>
          <w:lang w:val="en-US" w:eastAsia="zh-CN"/>
        </w:rPr>
        <w:t>智慧医学中心医学算力平台集群配件采购需求</w:t>
      </w:r>
    </w:p>
    <w:p w14:paraId="4F80C408">
      <w:pPr>
        <w:pStyle w:val="30"/>
        <w:numPr>
          <w:ilvl w:val="0"/>
          <w:numId w:val="0"/>
        </w:numPr>
        <w:ind w:leftChars="0"/>
        <w:rPr>
          <w:rFonts w:hint="eastAsia"/>
          <w:b/>
          <w:bCs/>
          <w:sz w:val="24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sz w:val="24"/>
          <w:szCs w:val="28"/>
          <w:lang w:val="en-US" w:eastAsia="zh-CN"/>
        </w:rPr>
        <w:t>集群采用“计算资源统一纳管、计算与存储分层、高速网络互联、Kubernetes与Slurm协同运行”的总体架构。充分利用现有R2900、R5300系列服务器及宝德PR210K、PR220K等设备，通过硬件升级和集群整合，将计算资源统一纳入Kubernetes及Slurm集群管理；存储资源作为独立基础设施层，通过高速网络向计算及应用节点提供统一的数据访问服务，形成面向医院业务应用和医学数据处理的统一计算基础设施。</w:t>
      </w:r>
    </w:p>
    <w:tbl>
      <w:tblPr>
        <w:tblStyle w:val="1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6"/>
        <w:gridCol w:w="3036"/>
        <w:gridCol w:w="778"/>
        <w:gridCol w:w="6577"/>
      </w:tblGrid>
      <w:tr w14:paraId="38AF59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96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shd w:val="clear" w:color="auto" w:fill="1F4E7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F5632A">
            <w:pPr>
              <w:spacing w:after="0" w:line="245" w:lineRule="auto"/>
              <w:jc w:val="center"/>
              <w:rPr>
                <w:b/>
                <w:color w:val="FFFFFF"/>
                <w:sz w:val="18"/>
              </w:rPr>
            </w:pPr>
            <w:r>
              <w:rPr>
                <w:b/>
                <w:color w:val="FFFFFF"/>
                <w:sz w:val="18"/>
              </w:rPr>
              <w:t>设备类别</w:t>
            </w:r>
          </w:p>
        </w:tc>
        <w:tc>
          <w:tcPr>
            <w:tcW w:w="3036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shd w:val="clear" w:color="auto" w:fill="1F4E7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D278C0">
            <w:pPr>
              <w:spacing w:after="0" w:line="245" w:lineRule="auto"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b/>
                <w:color w:val="FFFFFF"/>
                <w:sz w:val="18"/>
                <w:lang w:val="en-US" w:eastAsia="zh-CN"/>
              </w:rPr>
              <w:t>名称</w:t>
            </w:r>
          </w:p>
        </w:tc>
        <w:tc>
          <w:tcPr>
            <w:tcW w:w="778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shd w:val="clear" w:color="auto" w:fill="1F4E7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6F0E3B">
            <w:pPr>
              <w:spacing w:after="0" w:line="245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数量</w:t>
            </w:r>
          </w:p>
        </w:tc>
        <w:tc>
          <w:tcPr>
            <w:tcW w:w="6577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shd w:val="clear" w:color="auto" w:fill="1F4E7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0659CA">
            <w:pPr>
              <w:spacing w:after="0" w:line="245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总体规模及主要用途</w:t>
            </w:r>
          </w:p>
        </w:tc>
      </w:tr>
      <w:tr w14:paraId="4313A1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vMerge w:val="restart"/>
            <w:tcBorders>
              <w:top w:val="single" w:color="B7C9D6" w:sz="4" w:space="0"/>
              <w:left w:val="single" w:color="B7C9D6" w:sz="4" w:space="0"/>
              <w:right w:val="single" w:color="B7C9D6" w:sz="4" w:space="0"/>
            </w:tcBorders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4E3362">
            <w:pPr>
              <w:spacing w:after="0" w:line="245" w:lineRule="auto"/>
              <w:jc w:val="center"/>
              <w:rPr>
                <w:rFonts w:hint="default" w:eastAsiaTheme="minorEastAsia"/>
                <w:sz w:val="17"/>
                <w:lang w:val="en-US" w:eastAsia="zh-CN"/>
              </w:rPr>
            </w:pPr>
            <w:r>
              <w:rPr>
                <w:rFonts w:hint="eastAsia"/>
                <w:sz w:val="17"/>
                <w:lang w:val="en-US" w:eastAsia="zh-CN"/>
              </w:rPr>
              <w:t>服务器配件</w:t>
            </w:r>
          </w:p>
        </w:tc>
        <w:tc>
          <w:tcPr>
            <w:tcW w:w="3036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0E0E4A">
            <w:pPr>
              <w:spacing w:after="0" w:line="245" w:lineRule="auto"/>
              <w:jc w:val="center"/>
              <w:rPr>
                <w:rFonts w:hint="eastAsia"/>
              </w:rPr>
            </w:pPr>
            <w:r>
              <w:rPr>
                <w:rFonts w:hint="eastAsia"/>
                <w:sz w:val="17"/>
              </w:rPr>
              <w:t>480GB SATA SSD</w:t>
            </w:r>
          </w:p>
        </w:tc>
        <w:tc>
          <w:tcPr>
            <w:tcW w:w="778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shd w:val="clear" w:color="auto" w:fill="F7FBF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470B71">
            <w:pPr>
              <w:spacing w:after="0" w:line="245" w:lineRule="auto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sz w:val="17"/>
                <w:lang w:val="en-US" w:eastAsia="zh-CN"/>
              </w:rPr>
              <w:t>2</w:t>
            </w:r>
          </w:p>
        </w:tc>
        <w:tc>
          <w:tcPr>
            <w:tcW w:w="6577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EA783D">
            <w:pPr>
              <w:spacing w:after="0" w:line="245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用于服务器升级为单机2*480GB SATA SSD（Raid1）。</w:t>
            </w:r>
          </w:p>
        </w:tc>
      </w:tr>
      <w:tr w14:paraId="0C8FA4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vMerge w:val="continue"/>
            <w:tcBorders>
              <w:left w:val="single" w:color="B7C9D6" w:sz="4" w:space="0"/>
              <w:bottom w:val="single" w:color="B7C9D6" w:sz="4" w:space="0"/>
              <w:right w:val="single" w:color="B7C9D6" w:sz="4" w:space="0"/>
            </w:tcBorders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607FD4">
            <w:pPr>
              <w:spacing w:after="0" w:line="245" w:lineRule="auto"/>
              <w:jc w:val="center"/>
              <w:rPr>
                <w:rFonts w:hint="eastAsia"/>
                <w:sz w:val="17"/>
              </w:rPr>
            </w:pPr>
          </w:p>
        </w:tc>
        <w:tc>
          <w:tcPr>
            <w:tcW w:w="3036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3A3AFA">
            <w:pPr>
              <w:spacing w:after="0" w:line="245" w:lineRule="auto"/>
              <w:jc w:val="center"/>
              <w:rPr>
                <w:rFonts w:hint="eastAsia"/>
              </w:rPr>
            </w:pPr>
            <w:r>
              <w:rPr>
                <w:rFonts w:hint="eastAsia"/>
                <w:sz w:val="17"/>
              </w:rPr>
              <w:t>双端口万兆以太网卡</w:t>
            </w:r>
          </w:p>
        </w:tc>
        <w:tc>
          <w:tcPr>
            <w:tcW w:w="778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shd w:val="clear" w:color="auto" w:fill="F7FBF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F58161">
            <w:pPr>
              <w:spacing w:after="0" w:line="245" w:lineRule="auto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sz w:val="17"/>
                <w:lang w:val="en-US" w:eastAsia="zh-CN"/>
              </w:rPr>
              <w:t>2</w:t>
            </w:r>
          </w:p>
        </w:tc>
        <w:tc>
          <w:tcPr>
            <w:tcW w:w="6577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325FBD">
            <w:pPr>
              <w:spacing w:after="0" w:line="245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用于服务器升级为单机2张双口万兆网络，用于业务/管理/存储网络组网，实现高速网络互联。</w:t>
            </w:r>
          </w:p>
        </w:tc>
      </w:tr>
      <w:tr w14:paraId="6C9400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vMerge w:val="restart"/>
            <w:tcBorders>
              <w:top w:val="single" w:color="B7C9D6" w:sz="4" w:space="0"/>
              <w:left w:val="single" w:color="B7C9D6" w:sz="4" w:space="0"/>
              <w:right w:val="single" w:color="B7C9D6" w:sz="4" w:space="0"/>
            </w:tcBorders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0942B7">
            <w:pPr>
              <w:spacing w:after="0" w:line="245" w:lineRule="auto"/>
              <w:jc w:val="center"/>
              <w:rPr>
                <w:rFonts w:hint="eastAsia" w:eastAsiaTheme="minorEastAsia"/>
                <w:sz w:val="17"/>
                <w:lang w:val="en-US" w:eastAsia="zh-CN"/>
              </w:rPr>
            </w:pPr>
            <w:r>
              <w:rPr>
                <w:rFonts w:hint="eastAsia"/>
                <w:sz w:val="17"/>
                <w:lang w:val="en-US" w:eastAsia="zh-CN"/>
              </w:rPr>
              <w:t>交换机</w:t>
            </w:r>
          </w:p>
        </w:tc>
        <w:tc>
          <w:tcPr>
            <w:tcW w:w="3036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82D1CB">
            <w:pPr>
              <w:spacing w:after="0" w:line="245" w:lineRule="auto"/>
              <w:jc w:val="center"/>
              <w:rPr>
                <w:sz w:val="17"/>
              </w:rPr>
            </w:pPr>
            <w:r>
              <w:rPr>
                <w:rFonts w:hint="eastAsia"/>
                <w:sz w:val="17"/>
              </w:rPr>
              <w:t>计算网络100G IB交换机</w:t>
            </w:r>
          </w:p>
        </w:tc>
        <w:tc>
          <w:tcPr>
            <w:tcW w:w="778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shd w:val="clear" w:color="auto" w:fill="F7FBF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257D15">
            <w:pPr>
              <w:spacing w:after="0" w:line="245" w:lineRule="auto"/>
              <w:jc w:val="center"/>
              <w:rPr>
                <w:rFonts w:hint="eastAsia" w:eastAsiaTheme="minorEastAsia"/>
                <w:sz w:val="17"/>
                <w:lang w:val="en-US" w:eastAsia="zh-CN"/>
              </w:rPr>
            </w:pPr>
            <w:r>
              <w:rPr>
                <w:rFonts w:hint="eastAsia"/>
                <w:sz w:val="17"/>
                <w:lang w:val="en-US" w:eastAsia="zh-CN"/>
              </w:rPr>
              <w:t>2</w:t>
            </w:r>
          </w:p>
        </w:tc>
        <w:tc>
          <w:tcPr>
            <w:tcW w:w="6577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45C960">
            <w:pPr>
              <w:spacing w:after="0" w:line="245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val="en-US" w:eastAsia="zh-CN"/>
              </w:rPr>
              <w:t>36个</w:t>
            </w:r>
            <w:r>
              <w:rPr>
                <w:rFonts w:hint="eastAsia"/>
                <w:sz w:val="17"/>
                <w:lang w:eastAsia="zh-CN"/>
              </w:rPr>
              <w:t>100G口。</w:t>
            </w:r>
          </w:p>
        </w:tc>
      </w:tr>
      <w:tr w14:paraId="1A5FD2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vMerge w:val="continue"/>
            <w:tcBorders>
              <w:left w:val="single" w:color="B7C9D6" w:sz="4" w:space="0"/>
              <w:bottom w:val="single" w:color="B7C9D6" w:sz="4" w:space="0"/>
              <w:right w:val="single" w:color="B7C9D6" w:sz="4" w:space="0"/>
            </w:tcBorders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159946">
            <w:pPr>
              <w:spacing w:after="0" w:line="245" w:lineRule="auto"/>
              <w:jc w:val="center"/>
              <w:rPr>
                <w:rFonts w:hint="eastAsia"/>
                <w:sz w:val="17"/>
              </w:rPr>
            </w:pPr>
          </w:p>
        </w:tc>
        <w:tc>
          <w:tcPr>
            <w:tcW w:w="3036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F3F1E9">
            <w:pPr>
              <w:spacing w:after="0" w:line="245" w:lineRule="auto"/>
              <w:jc w:val="center"/>
              <w:rPr>
                <w:sz w:val="17"/>
              </w:rPr>
            </w:pPr>
            <w:r>
              <w:rPr>
                <w:rFonts w:hint="eastAsia"/>
                <w:sz w:val="17"/>
              </w:rPr>
              <w:t>千兆网交换机</w:t>
            </w:r>
          </w:p>
        </w:tc>
        <w:tc>
          <w:tcPr>
            <w:tcW w:w="778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shd w:val="clear" w:color="auto" w:fill="F7FBF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B1DA98">
            <w:pPr>
              <w:spacing w:after="0" w:line="245" w:lineRule="auto"/>
              <w:jc w:val="center"/>
              <w:rPr>
                <w:rFonts w:hint="eastAsia" w:eastAsiaTheme="minorEastAsia"/>
                <w:sz w:val="17"/>
                <w:lang w:val="en-US" w:eastAsia="zh-CN"/>
              </w:rPr>
            </w:pPr>
            <w:r>
              <w:rPr>
                <w:rFonts w:hint="eastAsia"/>
                <w:sz w:val="17"/>
                <w:lang w:val="en-US" w:eastAsia="zh-CN"/>
              </w:rPr>
              <w:t>1</w:t>
            </w:r>
          </w:p>
        </w:tc>
        <w:tc>
          <w:tcPr>
            <w:tcW w:w="6577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1F1D21">
            <w:pPr>
              <w:spacing w:after="0" w:line="245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48个1G端口。</w:t>
            </w:r>
          </w:p>
        </w:tc>
      </w:tr>
      <w:tr w14:paraId="04544E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vMerge w:val="restart"/>
            <w:tcBorders>
              <w:top w:val="single" w:color="B7C9D6" w:sz="4" w:space="0"/>
              <w:left w:val="single" w:color="B7C9D6" w:sz="4" w:space="0"/>
              <w:right w:val="single" w:color="B7C9D6" w:sz="4" w:space="0"/>
            </w:tcBorders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D02D29">
            <w:pPr>
              <w:spacing w:after="0" w:line="245" w:lineRule="auto"/>
              <w:jc w:val="center"/>
              <w:rPr>
                <w:rFonts w:hint="eastAsia"/>
                <w:sz w:val="17"/>
              </w:rPr>
            </w:pPr>
            <w:r>
              <w:rPr>
                <w:rFonts w:hint="eastAsia"/>
              </w:rPr>
              <w:t>IB网卡、IB线</w:t>
            </w:r>
          </w:p>
        </w:tc>
        <w:tc>
          <w:tcPr>
            <w:tcW w:w="3036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F15B1E">
            <w:pPr>
              <w:spacing w:after="0" w:line="245" w:lineRule="auto"/>
              <w:jc w:val="center"/>
              <w:rPr>
                <w:rFonts w:hint="eastAsia"/>
                <w:sz w:val="17"/>
              </w:rPr>
            </w:pPr>
            <w:r>
              <w:rPr>
                <w:rFonts w:hint="eastAsia"/>
                <w:sz w:val="17"/>
              </w:rPr>
              <w:t xml:space="preserve"> 高速PCIE 100G InfiniBand 迈络思 网卡</w:t>
            </w:r>
          </w:p>
        </w:tc>
        <w:tc>
          <w:tcPr>
            <w:tcW w:w="778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shd w:val="clear" w:color="auto" w:fill="F7FBF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7D0A99">
            <w:pPr>
              <w:spacing w:after="0" w:line="245" w:lineRule="auto"/>
              <w:jc w:val="center"/>
              <w:rPr>
                <w:rFonts w:hint="default"/>
                <w:sz w:val="17"/>
                <w:lang w:val="en-US" w:eastAsia="zh-CN"/>
              </w:rPr>
            </w:pPr>
            <w:r>
              <w:rPr>
                <w:rFonts w:hint="eastAsia"/>
                <w:sz w:val="17"/>
                <w:lang w:val="en-US" w:eastAsia="zh-CN"/>
              </w:rPr>
              <w:t>45</w:t>
            </w:r>
          </w:p>
        </w:tc>
        <w:tc>
          <w:tcPr>
            <w:tcW w:w="6577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A75F31">
            <w:pPr>
              <w:spacing w:after="0" w:line="245" w:lineRule="auto"/>
              <w:rPr>
                <w:rFonts w:hint="eastAsia"/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用于R2900系列、R5300系列服务器、存储节点高速光互联使用</w:t>
            </w:r>
          </w:p>
        </w:tc>
      </w:tr>
      <w:tr w14:paraId="46BCFE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vMerge w:val="continue"/>
            <w:tcBorders>
              <w:left w:val="single" w:color="B7C9D6" w:sz="4" w:space="0"/>
              <w:bottom w:val="single" w:color="B7C9D6" w:sz="4" w:space="0"/>
              <w:right w:val="single" w:color="B7C9D6" w:sz="4" w:space="0"/>
            </w:tcBorders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46CB17">
            <w:pPr>
              <w:spacing w:after="0" w:line="245" w:lineRule="auto"/>
              <w:jc w:val="center"/>
              <w:rPr>
                <w:rFonts w:hint="eastAsia"/>
                <w:sz w:val="17"/>
              </w:rPr>
            </w:pPr>
          </w:p>
        </w:tc>
        <w:tc>
          <w:tcPr>
            <w:tcW w:w="3036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CF6365">
            <w:pPr>
              <w:spacing w:after="0" w:line="245" w:lineRule="auto"/>
              <w:jc w:val="center"/>
              <w:rPr>
                <w:rFonts w:hint="eastAsia"/>
                <w:sz w:val="17"/>
              </w:rPr>
            </w:pPr>
            <w:r>
              <w:rPr>
                <w:rFonts w:hint="eastAsia"/>
                <w:sz w:val="17"/>
              </w:rPr>
              <w:t>高速IB线QSFP28接口，100G InfiniBand光纤传输线（带模块）</w:t>
            </w:r>
          </w:p>
        </w:tc>
        <w:tc>
          <w:tcPr>
            <w:tcW w:w="778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shd w:val="clear" w:color="auto" w:fill="F7FBF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F787BF">
            <w:pPr>
              <w:spacing w:after="0" w:line="245" w:lineRule="auto"/>
              <w:jc w:val="center"/>
              <w:rPr>
                <w:rFonts w:hint="default"/>
                <w:sz w:val="17"/>
                <w:lang w:val="en-US" w:eastAsia="zh-CN"/>
              </w:rPr>
            </w:pPr>
            <w:r>
              <w:rPr>
                <w:rFonts w:hint="eastAsia"/>
                <w:sz w:val="17"/>
                <w:lang w:val="en-US" w:eastAsia="zh-CN"/>
              </w:rPr>
              <w:t>45</w:t>
            </w:r>
          </w:p>
        </w:tc>
        <w:tc>
          <w:tcPr>
            <w:tcW w:w="6577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AF274A">
            <w:pPr>
              <w:spacing w:after="0" w:line="245" w:lineRule="auto"/>
              <w:rPr>
                <w:rFonts w:hint="default"/>
                <w:sz w:val="17"/>
                <w:lang w:val="en-US" w:eastAsia="zh-CN"/>
              </w:rPr>
            </w:pPr>
            <w:r>
              <w:rPr>
                <w:rFonts w:hint="eastAsia"/>
                <w:sz w:val="17"/>
                <w:lang w:val="en-US" w:eastAsia="zh-CN"/>
              </w:rPr>
              <w:t>用于交换机</w:t>
            </w:r>
          </w:p>
        </w:tc>
      </w:tr>
      <w:tr w14:paraId="05F300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033699">
            <w:pPr>
              <w:spacing w:after="0" w:line="245" w:lineRule="auto"/>
              <w:jc w:val="center"/>
              <w:rPr>
                <w:rFonts w:hint="eastAsia" w:eastAsiaTheme="minorEastAsia"/>
                <w:sz w:val="17"/>
                <w:lang w:val="en-US" w:eastAsia="zh-CN"/>
              </w:rPr>
            </w:pPr>
            <w:r>
              <w:rPr>
                <w:rFonts w:hint="eastAsia"/>
                <w:sz w:val="17"/>
                <w:lang w:val="en-US" w:eastAsia="zh-CN"/>
              </w:rPr>
              <w:t>软件</w:t>
            </w:r>
          </w:p>
        </w:tc>
        <w:tc>
          <w:tcPr>
            <w:tcW w:w="3036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6F3FB7">
            <w:pPr>
              <w:spacing w:after="0" w:line="245" w:lineRule="auto"/>
              <w:jc w:val="center"/>
              <w:rPr>
                <w:rFonts w:hint="eastAsia"/>
                <w:sz w:val="17"/>
              </w:rPr>
            </w:pPr>
            <w:r>
              <w:rPr>
                <w:rFonts w:hint="eastAsia"/>
                <w:sz w:val="17"/>
              </w:rPr>
              <w:t>K8S开源专项技术支持（6个月）</w:t>
            </w:r>
          </w:p>
        </w:tc>
        <w:tc>
          <w:tcPr>
            <w:tcW w:w="778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shd w:val="clear" w:color="auto" w:fill="F7FBF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C485DF">
            <w:pPr>
              <w:spacing w:after="0" w:line="245" w:lineRule="auto"/>
              <w:jc w:val="center"/>
              <w:rPr>
                <w:rFonts w:hint="default"/>
                <w:sz w:val="17"/>
                <w:lang w:val="en-US" w:eastAsia="zh-CN"/>
              </w:rPr>
            </w:pPr>
            <w:r>
              <w:rPr>
                <w:rFonts w:hint="eastAsia"/>
                <w:sz w:val="17"/>
                <w:lang w:val="en-US" w:eastAsia="zh-CN"/>
              </w:rPr>
              <w:t>1</w:t>
            </w:r>
          </w:p>
        </w:tc>
        <w:tc>
          <w:tcPr>
            <w:tcW w:w="6577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5F6CDA">
            <w:pPr>
              <w:spacing w:after="0" w:line="245" w:lineRule="auto"/>
              <w:rPr>
                <w:rFonts w:hint="eastAsia"/>
                <w:sz w:val="17"/>
                <w:lang w:eastAsia="zh-CN"/>
              </w:rPr>
            </w:pPr>
            <w:r>
              <w:rPr>
                <w:rFonts w:hint="eastAsia"/>
                <w:sz w:val="17"/>
                <w:lang w:val="en-US" w:eastAsia="zh-CN"/>
              </w:rPr>
              <w:t>/</w:t>
            </w:r>
          </w:p>
        </w:tc>
      </w:tr>
      <w:tr w14:paraId="16A938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vMerge w:val="restart"/>
            <w:tcBorders>
              <w:left w:val="single" w:color="B7C9D6" w:sz="4" w:space="0"/>
              <w:right w:val="single" w:color="B7C9D6" w:sz="4" w:space="0"/>
            </w:tcBorders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4DD86D">
            <w:pPr>
              <w:spacing w:after="0" w:line="245" w:lineRule="auto"/>
              <w:jc w:val="center"/>
              <w:rPr>
                <w:rFonts w:hint="eastAsia"/>
                <w:sz w:val="17"/>
              </w:rPr>
            </w:pPr>
          </w:p>
        </w:tc>
        <w:tc>
          <w:tcPr>
            <w:tcW w:w="3036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8D2BE6">
            <w:pPr>
              <w:spacing w:after="0" w:line="245" w:lineRule="auto"/>
              <w:jc w:val="center"/>
              <w:rPr>
                <w:rFonts w:hint="eastAsia" w:eastAsiaTheme="minorEastAsia"/>
                <w:sz w:val="17"/>
                <w:lang w:val="en-US" w:eastAsia="zh-CN"/>
              </w:rPr>
            </w:pPr>
            <w:r>
              <w:rPr>
                <w:rFonts w:hint="eastAsia"/>
                <w:sz w:val="17"/>
                <w:lang w:val="en-US" w:eastAsia="zh-CN"/>
              </w:rPr>
              <w:t>工作站</w:t>
            </w:r>
          </w:p>
        </w:tc>
        <w:tc>
          <w:tcPr>
            <w:tcW w:w="778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shd w:val="clear" w:color="auto" w:fill="F7FBF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33FB5F">
            <w:pPr>
              <w:spacing w:after="0" w:line="245" w:lineRule="auto"/>
              <w:jc w:val="center"/>
              <w:rPr>
                <w:rFonts w:hint="default"/>
                <w:sz w:val="17"/>
                <w:lang w:val="en-US" w:eastAsia="zh-CN"/>
              </w:rPr>
            </w:pPr>
            <w:r>
              <w:rPr>
                <w:rFonts w:hint="eastAsia"/>
                <w:sz w:val="17"/>
                <w:lang w:val="en-US" w:eastAsia="zh-CN"/>
              </w:rPr>
              <w:t>1</w:t>
            </w:r>
          </w:p>
        </w:tc>
        <w:tc>
          <w:tcPr>
            <w:tcW w:w="6577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4FAD73">
            <w:pPr>
              <w:spacing w:after="0" w:line="245" w:lineRule="auto"/>
              <w:rPr>
                <w:rFonts w:hint="eastAsia"/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配置参数：</w:t>
            </w:r>
          </w:p>
          <w:p w14:paraId="4BB8B7C2">
            <w:pPr>
              <w:spacing w:after="0" w:line="245" w:lineRule="auto"/>
              <w:rPr>
                <w:rFonts w:hint="eastAsia"/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处理器：2个intel Pmlatinu铂金 8160系列, 24核心，2.1Ghz，48线程。</w:t>
            </w:r>
          </w:p>
          <w:p w14:paraId="52099507">
            <w:pPr>
              <w:spacing w:after="0" w:line="245" w:lineRule="auto"/>
              <w:rPr>
                <w:rFonts w:hint="eastAsia"/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内存：4条32G DDR4 RECC 2666MHZ，128GB。</w:t>
            </w:r>
          </w:p>
          <w:p w14:paraId="05D19621">
            <w:pPr>
              <w:spacing w:after="0" w:line="245" w:lineRule="auto"/>
              <w:rPr>
                <w:rFonts w:hint="eastAsia"/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硬盘：480G SSD 企业级</w:t>
            </w:r>
          </w:p>
          <w:p w14:paraId="65CA1206">
            <w:pPr>
              <w:spacing w:after="0" w:line="245" w:lineRule="auto"/>
              <w:rPr>
                <w:rFonts w:hint="eastAsia"/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 xml:space="preserve">存储：1块22T SATA企业级,共22TB </w:t>
            </w:r>
          </w:p>
          <w:p w14:paraId="31068F6E">
            <w:pPr>
              <w:spacing w:after="0" w:line="245" w:lineRule="auto"/>
              <w:rPr>
                <w:rFonts w:hint="eastAsia"/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 xml:space="preserve">显卡：1个NVIDIA 3080 10G </w:t>
            </w:r>
          </w:p>
          <w:p w14:paraId="590C0F4E">
            <w:pPr>
              <w:spacing w:after="0" w:line="245" w:lineRule="auto"/>
              <w:rPr>
                <w:rFonts w:hint="eastAsia"/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 xml:space="preserve">阵列：RAID 0,1,10 </w:t>
            </w:r>
          </w:p>
          <w:p w14:paraId="17923304">
            <w:pPr>
              <w:spacing w:after="0" w:line="245" w:lineRule="auto"/>
              <w:rPr>
                <w:rFonts w:hint="eastAsia"/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网络：集成2个10/100/1000M自适应以太网口+1个远程管理接口</w:t>
            </w:r>
          </w:p>
          <w:p w14:paraId="31F07FD5">
            <w:pPr>
              <w:spacing w:after="0" w:line="245" w:lineRule="auto"/>
              <w:rPr>
                <w:rFonts w:hint="eastAsia"/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电源：1250W 高效服务器电源，支持ups不间C1K断电护。</w:t>
            </w:r>
          </w:p>
          <w:p w14:paraId="420B55F3">
            <w:pPr>
              <w:spacing w:after="0" w:line="245" w:lineRule="auto"/>
              <w:rPr>
                <w:rFonts w:hint="eastAsia"/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软件：正版parakou集群任务调度系统。</w:t>
            </w:r>
          </w:p>
          <w:p w14:paraId="5162E9AB">
            <w:pPr>
              <w:spacing w:after="0" w:line="245" w:lineRule="auto"/>
              <w:rPr>
                <w:rFonts w:hint="eastAsia"/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产品：产品通过国家3C认证，FCC，CE，ISO9001,ISO14000,Rohs认证、中国环境标志产品认证</w:t>
            </w:r>
          </w:p>
          <w:p w14:paraId="4F0288AC">
            <w:pPr>
              <w:spacing w:after="0" w:line="245" w:lineRule="auto"/>
              <w:rPr>
                <w:rFonts w:hint="eastAsia"/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软件服务：CMIP6，Gcc、G++、Fortran、C++ ，PAML含有的软件开发环境支持C,C++,fortran，还包括了并行编译，以及基于GNU软件，含常用的科学作图与LATEX文档写作软件。Gcc、g77、gfortran、IntelFORTRAN编证译器、并行编译mpich2，以及相应的软件开发环境。</w:t>
            </w:r>
          </w:p>
          <w:p w14:paraId="242D904C">
            <w:pPr>
              <w:spacing w:after="0" w:line="245" w:lineRule="auto"/>
              <w:rPr>
                <w:rFonts w:hint="eastAsia"/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提供：国家认证的高级工程师调试服务器和Intel True Scale Fabric Technical Engineer 认证工程师负责项目实施。</w:t>
            </w:r>
          </w:p>
        </w:tc>
      </w:tr>
      <w:tr w14:paraId="43F560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vMerge w:val="continue"/>
            <w:tcBorders>
              <w:left w:val="single" w:color="B7C9D6" w:sz="4" w:space="0"/>
              <w:right w:val="single" w:color="B7C9D6" w:sz="4" w:space="0"/>
            </w:tcBorders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B7627B">
            <w:pPr>
              <w:spacing w:after="0" w:line="245" w:lineRule="auto"/>
              <w:jc w:val="center"/>
              <w:rPr>
                <w:rFonts w:hint="eastAsia"/>
                <w:sz w:val="17"/>
              </w:rPr>
            </w:pPr>
          </w:p>
        </w:tc>
        <w:tc>
          <w:tcPr>
            <w:tcW w:w="3036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A70101">
            <w:pPr>
              <w:spacing w:after="0" w:line="245" w:lineRule="auto"/>
              <w:jc w:val="center"/>
              <w:rPr>
                <w:rFonts w:hint="eastAsia"/>
                <w:sz w:val="17"/>
              </w:rPr>
            </w:pPr>
            <w:r>
              <w:rPr>
                <w:rFonts w:hint="eastAsia"/>
                <w:sz w:val="17"/>
              </w:rPr>
              <w:t>高性能计算集群安装调试+系统集成+硬件升级服务</w:t>
            </w:r>
          </w:p>
        </w:tc>
        <w:tc>
          <w:tcPr>
            <w:tcW w:w="778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shd w:val="clear" w:color="auto" w:fill="F7FBF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2E4928">
            <w:pPr>
              <w:spacing w:after="0" w:line="245" w:lineRule="auto"/>
              <w:jc w:val="center"/>
              <w:rPr>
                <w:rFonts w:hint="default" w:eastAsiaTheme="minorEastAsia"/>
                <w:sz w:val="17"/>
                <w:lang w:val="en-US" w:eastAsia="zh-CN"/>
              </w:rPr>
            </w:pPr>
            <w:r>
              <w:rPr>
                <w:rFonts w:hint="eastAsia"/>
                <w:sz w:val="17"/>
                <w:lang w:val="en-US" w:eastAsia="zh-CN"/>
              </w:rPr>
              <w:t>1</w:t>
            </w:r>
          </w:p>
        </w:tc>
        <w:tc>
          <w:tcPr>
            <w:tcW w:w="6577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CD5564">
            <w:pPr>
              <w:spacing w:after="0" w:line="245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3个人，共2个月施工</w:t>
            </w:r>
          </w:p>
        </w:tc>
      </w:tr>
      <w:tr w14:paraId="3BEDAB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vMerge w:val="continue"/>
            <w:tcBorders>
              <w:left w:val="single" w:color="B7C9D6" w:sz="4" w:space="0"/>
              <w:bottom w:val="single" w:color="B7C9D6" w:sz="4" w:space="0"/>
              <w:right w:val="single" w:color="B7C9D6" w:sz="4" w:space="0"/>
            </w:tcBorders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F0F0C1">
            <w:pPr>
              <w:spacing w:after="0" w:line="245" w:lineRule="auto"/>
              <w:jc w:val="center"/>
              <w:rPr>
                <w:rFonts w:hint="eastAsia"/>
                <w:sz w:val="17"/>
              </w:rPr>
            </w:pPr>
          </w:p>
        </w:tc>
        <w:tc>
          <w:tcPr>
            <w:tcW w:w="3036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20E168">
            <w:pPr>
              <w:spacing w:after="0" w:line="245" w:lineRule="auto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17"/>
                <w:szCs w:val="24"/>
                <w:lang w:val="en-US" w:eastAsia="zh-CN" w:bidi="ar-SA"/>
                <w14:ligatures w14:val="none"/>
              </w:rPr>
            </w:pPr>
            <w:r>
              <w:rPr>
                <w:rFonts w:hint="eastAsia"/>
                <w:sz w:val="17"/>
                <w:lang w:val="en-US" w:eastAsia="zh-CN"/>
              </w:rPr>
              <w:t>机柜</w:t>
            </w:r>
          </w:p>
        </w:tc>
        <w:tc>
          <w:tcPr>
            <w:tcW w:w="778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shd w:val="clear" w:color="auto" w:fill="F7FBF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22F221">
            <w:pPr>
              <w:spacing w:after="0" w:line="245" w:lineRule="auto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17"/>
                <w:szCs w:val="24"/>
                <w:lang w:val="en-US" w:eastAsia="zh-CN" w:bidi="ar-SA"/>
                <w14:ligatures w14:val="none"/>
              </w:rPr>
            </w:pPr>
            <w:r>
              <w:rPr>
                <w:rFonts w:hint="eastAsia"/>
                <w:sz w:val="17"/>
                <w:lang w:val="en-US" w:eastAsia="zh-CN"/>
              </w:rPr>
              <w:t>6</w:t>
            </w:r>
          </w:p>
        </w:tc>
        <w:tc>
          <w:tcPr>
            <w:tcW w:w="6577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9464C5">
            <w:pPr>
              <w:spacing w:after="0" w:line="245" w:lineRule="auto"/>
              <w:rPr>
                <w:rFonts w:hint="eastAsia"/>
                <w:sz w:val="17"/>
                <w:lang w:eastAsia="zh-CN"/>
              </w:rPr>
            </w:pPr>
            <w:r>
              <w:rPr>
                <w:rFonts w:hint="eastAsia"/>
                <w:sz w:val="17"/>
                <w:lang w:val="en-US" w:eastAsia="zh-CN"/>
              </w:rPr>
              <w:t>/</w:t>
            </w:r>
          </w:p>
        </w:tc>
      </w:tr>
      <w:tr w14:paraId="21AF16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vMerge w:val="continue"/>
            <w:tcBorders>
              <w:left w:val="single" w:color="B7C9D6" w:sz="4" w:space="0"/>
              <w:bottom w:val="single" w:color="B7C9D6" w:sz="4" w:space="0"/>
              <w:right w:val="single" w:color="B7C9D6" w:sz="4" w:space="0"/>
            </w:tcBorders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8F6166">
            <w:pPr>
              <w:spacing w:after="0" w:line="245" w:lineRule="auto"/>
              <w:jc w:val="center"/>
              <w:rPr>
                <w:rFonts w:hint="eastAsia"/>
                <w:sz w:val="17"/>
              </w:rPr>
            </w:pPr>
          </w:p>
        </w:tc>
        <w:tc>
          <w:tcPr>
            <w:tcW w:w="3036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BDC254">
            <w:pPr>
              <w:spacing w:after="0" w:line="245" w:lineRule="auto"/>
              <w:jc w:val="center"/>
              <w:rPr>
                <w:rFonts w:hint="eastAsia"/>
                <w:sz w:val="17"/>
              </w:rPr>
            </w:pPr>
            <w:r>
              <w:rPr>
                <w:rFonts w:hint="eastAsia"/>
                <w:sz w:val="17"/>
              </w:rPr>
              <w:t>网线</w:t>
            </w:r>
          </w:p>
        </w:tc>
        <w:tc>
          <w:tcPr>
            <w:tcW w:w="778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shd w:val="clear" w:color="auto" w:fill="F7FBF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1B8810">
            <w:pPr>
              <w:spacing w:after="0" w:line="245" w:lineRule="auto"/>
              <w:jc w:val="center"/>
              <w:rPr>
                <w:rFonts w:hint="eastAsia" w:eastAsiaTheme="minorEastAsia"/>
                <w:sz w:val="17"/>
                <w:lang w:val="en-US" w:eastAsia="zh-CN"/>
              </w:rPr>
            </w:pPr>
            <w:r>
              <w:rPr>
                <w:rFonts w:hint="eastAsia"/>
                <w:sz w:val="17"/>
                <w:lang w:val="en-US" w:eastAsia="zh-CN"/>
              </w:rPr>
              <w:t>/</w:t>
            </w:r>
          </w:p>
        </w:tc>
        <w:tc>
          <w:tcPr>
            <w:tcW w:w="6577" w:type="dxa"/>
            <w:tcBorders>
              <w:top w:val="single" w:color="B7C9D6" w:sz="4" w:space="0"/>
              <w:left w:val="single" w:color="B7C9D6" w:sz="4" w:space="0"/>
              <w:bottom w:val="single" w:color="B7C9D6" w:sz="4" w:space="0"/>
              <w:right w:val="single" w:color="B7C9D6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1C7A8E">
            <w:pPr>
              <w:spacing w:after="0" w:line="245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用于带外管理</w:t>
            </w:r>
          </w:p>
        </w:tc>
      </w:tr>
    </w:tbl>
    <w:p w14:paraId="3AE526BA">
      <w:pPr>
        <w:pStyle w:val="30"/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C6428CD"/>
    <w:rsid w:val="0D333FCA"/>
    <w:rsid w:val="0F58031A"/>
    <w:rsid w:val="110805BA"/>
    <w:rsid w:val="153455CA"/>
    <w:rsid w:val="170A6E3A"/>
    <w:rsid w:val="18946945"/>
    <w:rsid w:val="1AA072AE"/>
    <w:rsid w:val="210C3594"/>
    <w:rsid w:val="21894E00"/>
    <w:rsid w:val="23BC51DC"/>
    <w:rsid w:val="24FA7B37"/>
    <w:rsid w:val="27065C5E"/>
    <w:rsid w:val="29D37560"/>
    <w:rsid w:val="2BAA7930"/>
    <w:rsid w:val="351078BA"/>
    <w:rsid w:val="38591578"/>
    <w:rsid w:val="3A9211EF"/>
    <w:rsid w:val="415C66C8"/>
    <w:rsid w:val="4AFE1AB8"/>
    <w:rsid w:val="501F0982"/>
    <w:rsid w:val="58DF2F7C"/>
    <w:rsid w:val="5E99067F"/>
    <w:rsid w:val="603C45EF"/>
    <w:rsid w:val="640F431D"/>
    <w:rsid w:val="6A523EAB"/>
    <w:rsid w:val="6DFA6436"/>
    <w:rsid w:val="6E2C4ACE"/>
    <w:rsid w:val="6E647D04"/>
    <w:rsid w:val="6E737F96"/>
    <w:rsid w:val="75704EDD"/>
    <w:rsid w:val="77091498"/>
    <w:rsid w:val="77443A25"/>
    <w:rsid w:val="77642B72"/>
    <w:rsid w:val="77FC2DAB"/>
    <w:rsid w:val="7E26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unhideWhenUsed/>
    <w:qFormat/>
    <w:uiPriority w:val="1"/>
  </w:style>
  <w:style w:type="table" w:default="1" w:styleId="1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Normal (Web)"/>
    <w:basedOn w:val="1"/>
    <w:semiHidden/>
    <w:unhideWhenUsed/>
    <w:qFormat/>
    <w:uiPriority w:val="99"/>
    <w:rPr>
      <w:sz w:val="24"/>
    </w:rPr>
  </w:style>
  <w:style w:type="paragraph" w:styleId="13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5">
    <w:name w:val="Table Grid"/>
    <w:basedOn w:val="1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customStyle="1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customStyle="1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3514</Words>
  <Characters>4163</Characters>
  <Lines>1</Lines>
  <Paragraphs>1</Paragraphs>
  <TotalTime>5</TotalTime>
  <ScaleCrop>false</ScaleCrop>
  <LinksUpToDate>false</LinksUpToDate>
  <CharactersWithSpaces>4234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2025-06-12T12:19:00Z</dcterms:created>
  <dc:creator>www</dc:creator>
  <cp:lastModifiedBy>今天也是爱学习的我</cp:lastModifiedBy>
  <dcterms:modified xsi:type="dcterms:W3CDTF">2026-09-18T08:16:56Z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eyJoZGlkIjoiZTA3NTIzY2MxMjUzMmUwZjk5ZTk5Njk2ZjBkNTdhMTIiLCJ1c2VySWQiOiIxODkzNTg2MyJ9</vt:lpwstr>
  </property>
  <property fmtid="{D5CDD505-2E9C-101B-9397-08002B2CF9AE}" pid="3" name="KSOProductBuildVer">
    <vt:lpwstr>2052-12.1.0.28505</vt:lpwstr>
  </property>
  <property fmtid="{D5CDD505-2E9C-101B-9397-08002B2CF9AE}" pid="4" name="ICV">
    <vt:lpwstr>F6F9219D5DF24DBDB61ADB86C858D08B_13</vt:lpwstr>
  </property>
</Properties>
</file>