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DF7EA">
      <w:pPr>
        <w:pStyle w:val="4"/>
        <w:spacing w:before="156" w:beforeLines="50" w:after="156" w:afterLines="50" w:line="377" w:lineRule="auto"/>
        <w:jc w:val="center"/>
        <w:rPr>
          <w:rFonts w:hint="eastAsia" w:ascii="宋体" w:hAnsi="宋体" w:eastAsia="宋体"/>
          <w:lang w:val="en-US" w:eastAsia="zh-CN"/>
        </w:rPr>
      </w:pPr>
      <w:bookmarkStart w:id="0" w:name="选择性条款_包组数量_多包组_14"/>
      <w:r>
        <w:rPr>
          <w:rFonts w:hint="eastAsia" w:ascii="宋体" w:hAnsi="宋体" w:eastAsia="宋体"/>
          <w:lang w:val="en-US" w:eastAsia="zh-CN"/>
        </w:rPr>
        <w:t>技术评分表</w:t>
      </w:r>
      <w:bookmarkEnd w:id="0"/>
    </w:p>
    <w:p w14:paraId="49F1AC04">
      <w:pPr>
        <w:spacing w:line="360" w:lineRule="auto"/>
        <w:jc w:val="center"/>
        <w:rPr>
          <w:rFonts w:hint="eastAsia" w:ascii="宋体" w:hAnsi="宋体" w:eastAsia="宋体"/>
          <w:b/>
          <w:color w:val="auto"/>
          <w:lang w:eastAsia="zh-CN"/>
        </w:rPr>
      </w:pPr>
      <w:r>
        <w:rPr>
          <w:rFonts w:hint="eastAsia" w:ascii="宋体" w:hAnsi="宋体"/>
          <w:b/>
          <w:color w:val="auto"/>
          <w:lang w:eastAsia="zh-CN"/>
        </w:rPr>
        <w:t>（</w:t>
      </w:r>
      <w:r>
        <w:rPr>
          <w:rFonts w:hint="eastAsia" w:ascii="宋体" w:hAnsi="宋体"/>
          <w:b/>
          <w:color w:val="auto"/>
          <w:lang w:val="en-US" w:eastAsia="zh-CN"/>
        </w:rPr>
        <w:t>50分</w:t>
      </w:r>
      <w:r>
        <w:rPr>
          <w:rFonts w:hint="eastAsia" w:ascii="宋体" w:hAnsi="宋体"/>
          <w:b/>
          <w:color w:val="auto"/>
          <w:lang w:eastAsia="zh-CN"/>
        </w:rPr>
        <w:t>）</w:t>
      </w: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0"/>
        <w:gridCol w:w="1078"/>
        <w:gridCol w:w="6045"/>
        <w:gridCol w:w="766"/>
      </w:tblGrid>
      <w:tr w14:paraId="5E7FD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370" w:type="pct"/>
            <w:vAlign w:val="center"/>
          </w:tcPr>
          <w:p w14:paraId="287CB9A1">
            <w:pPr>
              <w:snapToGrid w:val="0"/>
              <w:spacing w:line="264" w:lineRule="auto"/>
              <w:ind w:left="-89" w:leftChars="-37" w:right="-84" w:rightChars="-35"/>
              <w:jc w:val="center"/>
              <w:rPr>
                <w:rFonts w:hint="eastAsia" w:ascii="宋体" w:hAnsi="宋体" w:cs="宋体"/>
                <w:b/>
                <w:color w:val="auto"/>
              </w:rPr>
            </w:pPr>
            <w:bookmarkStart w:id="1" w:name="敏感词检测_综合评分表_1"/>
            <w:bookmarkStart w:id="2" w:name="方案_综合评分表_1"/>
            <w:r>
              <w:rPr>
                <w:rFonts w:hint="eastAsia" w:ascii="宋体" w:hAnsi="宋体" w:cs="宋体"/>
                <w:b/>
                <w:color w:val="auto"/>
              </w:rPr>
              <w:t>序号</w:t>
            </w:r>
          </w:p>
        </w:tc>
        <w:tc>
          <w:tcPr>
            <w:tcW w:w="633" w:type="pct"/>
            <w:vAlign w:val="center"/>
          </w:tcPr>
          <w:p w14:paraId="53EA255C">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评审因素</w:t>
            </w:r>
          </w:p>
        </w:tc>
        <w:tc>
          <w:tcPr>
            <w:tcW w:w="3546" w:type="pct"/>
            <w:vAlign w:val="center"/>
          </w:tcPr>
          <w:p w14:paraId="58A82C63">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评分细则</w:t>
            </w:r>
          </w:p>
        </w:tc>
        <w:tc>
          <w:tcPr>
            <w:tcW w:w="449" w:type="pct"/>
            <w:vAlign w:val="center"/>
          </w:tcPr>
          <w:p w14:paraId="46BBB65E">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分值（分）</w:t>
            </w:r>
          </w:p>
        </w:tc>
      </w:tr>
      <w:tr w14:paraId="05E5F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370" w:type="pct"/>
            <w:vAlign w:val="center"/>
          </w:tcPr>
          <w:p w14:paraId="2331EA2F">
            <w:pPr>
              <w:keepNext w:val="0"/>
              <w:keepLines w:val="0"/>
              <w:widowControl/>
              <w:suppressLineNumbers w:val="0"/>
              <w:jc w:val="center"/>
              <w:rPr>
                <w:rFonts w:hint="default" w:ascii="宋体" w:hAnsi="宋体" w:eastAsia="宋体" w:cs="宋体"/>
                <w:kern w:val="0"/>
                <w:sz w:val="24"/>
                <w:szCs w:val="24"/>
                <w:lang w:val="en-US" w:eastAsia="zh-CN" w:bidi="ar"/>
              </w:rPr>
            </w:pPr>
            <w:bookmarkStart w:id="3" w:name="回填数据_技术评分_标准分值_1" w:colFirst="3" w:colLast="3"/>
            <w:bookmarkStart w:id="4" w:name="回填数据_技术评分_序号_自动生成_1" w:colFirst="0" w:colLast="0"/>
            <w:bookmarkStart w:id="5" w:name="回填数据_技术评分_权重_1" w:colFirst="4" w:colLast="4"/>
            <w:bookmarkStart w:id="6" w:name="回填数据_技术评分_评审规则_1" w:colFirst="2" w:colLast="2"/>
            <w:bookmarkStart w:id="7" w:name="回填数据_技术评分_评审项目_1" w:colFirst="1" w:colLast="1"/>
            <w:r>
              <w:rPr>
                <w:rFonts w:hint="eastAsia" w:ascii="宋体" w:hAnsi="宋体" w:cs="宋体"/>
                <w:kern w:val="0"/>
                <w:sz w:val="24"/>
                <w:szCs w:val="24"/>
                <w:lang w:val="en-US" w:eastAsia="zh-CN" w:bidi="ar"/>
              </w:rPr>
              <w:t>1</w:t>
            </w:r>
          </w:p>
        </w:tc>
        <w:tc>
          <w:tcPr>
            <w:tcW w:w="633" w:type="pct"/>
            <w:shd w:val="clear" w:color="auto" w:fill="auto"/>
            <w:vAlign w:val="center"/>
          </w:tcPr>
          <w:p w14:paraId="2EE9BD53">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整体实施计划</w:t>
            </w:r>
          </w:p>
        </w:tc>
        <w:tc>
          <w:tcPr>
            <w:tcW w:w="3546" w:type="pct"/>
            <w:shd w:val="clear" w:color="auto" w:fill="auto"/>
            <w:vAlign w:val="center"/>
          </w:tcPr>
          <w:p w14:paraId="202A7E5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根据响应人提供的项目整体实施计划进行综合评价，方案包括：</w:t>
            </w:r>
          </w:p>
          <w:p w14:paraId="1B4E4F8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1.</w:t>
            </w:r>
            <w:r>
              <w:rPr>
                <w:rFonts w:hint="eastAsia" w:ascii="宋体" w:hAnsi="宋体" w:eastAsia="宋体" w:cs="宋体"/>
                <w:kern w:val="0"/>
                <w:sz w:val="24"/>
                <w:szCs w:val="24"/>
                <w:lang w:val="en-US" w:eastAsia="zh-CN" w:bidi="ar"/>
              </w:rPr>
              <w:t>人力物力的安排；</w:t>
            </w:r>
          </w:p>
          <w:p w14:paraId="5CFEDB0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印刷制作方案；</w:t>
            </w:r>
          </w:p>
          <w:p w14:paraId="42F5F1F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货物配送方案；</w:t>
            </w:r>
          </w:p>
          <w:p w14:paraId="5A91843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w:t>
            </w:r>
            <w:r>
              <w:rPr>
                <w:rFonts w:hint="eastAsia" w:ascii="宋体" w:hAnsi="宋体" w:eastAsia="宋体" w:cs="宋体"/>
                <w:kern w:val="0"/>
                <w:sz w:val="24"/>
                <w:szCs w:val="24"/>
                <w:lang w:val="en-US" w:eastAsia="zh-CN" w:bidi="ar"/>
              </w:rPr>
              <w:t>质量保证措施。</w:t>
            </w:r>
          </w:p>
          <w:p w14:paraId="1D589D97">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注：每提供1项内容且表述完整、科学合理、全面且具针对性，完全满足或优于采购需求的得4分；若提供的内容能较好地满足采购需求，个别内容表述有瑕疵或不足的每项得3分；若提供的内容只能基本满足采购需求，内容表述欠缺或明显有瑕疵的每项得2分。不提供方案的不得分。</w:t>
            </w:r>
          </w:p>
        </w:tc>
        <w:tc>
          <w:tcPr>
            <w:tcW w:w="449" w:type="pct"/>
            <w:shd w:val="clear" w:color="auto" w:fill="auto"/>
            <w:vAlign w:val="center"/>
          </w:tcPr>
          <w:p w14:paraId="47358F8A">
            <w:pPr>
              <w:widowControl/>
              <w:jc w:val="center"/>
              <w:rPr>
                <w:rFonts w:hint="default" w:ascii="宋体" w:hAnsi="宋体" w:eastAsia="宋体" w:cs="宋体"/>
                <w:szCs w:val="24"/>
                <w:lang w:val="en-US" w:eastAsia="zh-CN" w:bidi="ar"/>
              </w:rPr>
            </w:pPr>
            <w:r>
              <w:rPr>
                <w:rFonts w:hint="eastAsia" w:ascii="宋体" w:hAnsi="宋体" w:cs="宋体"/>
                <w:szCs w:val="24"/>
                <w:lang w:val="en-US" w:eastAsia="zh-CN" w:bidi="ar"/>
              </w:rPr>
              <w:t>16</w:t>
            </w:r>
          </w:p>
        </w:tc>
      </w:tr>
      <w:tr w14:paraId="4A822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370" w:type="pct"/>
            <w:vAlign w:val="center"/>
          </w:tcPr>
          <w:p w14:paraId="1D06E314">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p>
        </w:tc>
        <w:tc>
          <w:tcPr>
            <w:tcW w:w="633" w:type="pct"/>
            <w:shd w:val="clear" w:color="auto" w:fill="auto"/>
            <w:vAlign w:val="center"/>
          </w:tcPr>
          <w:p w14:paraId="654A18CA">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售后及应急处置</w:t>
            </w:r>
          </w:p>
        </w:tc>
        <w:tc>
          <w:tcPr>
            <w:tcW w:w="3546" w:type="pct"/>
            <w:shd w:val="clear" w:color="auto" w:fill="auto"/>
            <w:vAlign w:val="center"/>
          </w:tcPr>
          <w:p w14:paraId="1D1CD53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响应人结合对本项目的理解与采购人的实际需求提供售后及应急处置方案，方案包括:</w:t>
            </w:r>
          </w:p>
          <w:p w14:paraId="5924DE3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1.</w:t>
            </w:r>
            <w:r>
              <w:rPr>
                <w:rFonts w:hint="eastAsia" w:ascii="宋体" w:hAnsi="宋体" w:eastAsia="宋体" w:cs="宋体"/>
                <w:kern w:val="0"/>
                <w:sz w:val="24"/>
                <w:szCs w:val="24"/>
                <w:lang w:val="en-US" w:eastAsia="zh-CN" w:bidi="ar"/>
              </w:rPr>
              <w:t>快速的退换货机制进行阐述，若出现漏配、错配等问题情况方案；</w:t>
            </w:r>
          </w:p>
          <w:p w14:paraId="2DC23279">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应急处理方案；</w:t>
            </w:r>
          </w:p>
          <w:p w14:paraId="63B770B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临时配送需求方案。</w:t>
            </w:r>
          </w:p>
          <w:p w14:paraId="314DC410">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注：每提供1项内容且表述完整、科学、全面且具针对性，完全满足或优于采购需求的得4分；若提供的内容能较好地满足采购需求，个别内容表述有瑕疵或不足的每项得3分；若提供的内容只能基本满足采购需求，内容表述欠缺或明显有瑕疵的每项得2分。不提供方案的不得分。</w:t>
            </w:r>
          </w:p>
        </w:tc>
        <w:tc>
          <w:tcPr>
            <w:tcW w:w="449" w:type="pct"/>
            <w:shd w:val="clear" w:color="auto" w:fill="auto"/>
            <w:vAlign w:val="center"/>
          </w:tcPr>
          <w:p w14:paraId="540F7B17">
            <w:pPr>
              <w:widowControl/>
              <w:jc w:val="center"/>
              <w:rPr>
                <w:rFonts w:hint="default" w:ascii="宋体" w:hAnsi="宋体" w:eastAsia="宋体" w:cs="宋体"/>
                <w:szCs w:val="24"/>
                <w:lang w:val="en-US" w:eastAsia="zh-CN" w:bidi="ar"/>
              </w:rPr>
            </w:pPr>
            <w:r>
              <w:rPr>
                <w:rFonts w:hint="eastAsia" w:ascii="宋体" w:hAnsi="宋体" w:cs="宋体"/>
                <w:szCs w:val="24"/>
                <w:lang w:val="en-US" w:eastAsia="zh-CN" w:bidi="ar"/>
              </w:rPr>
              <w:t>12</w:t>
            </w:r>
          </w:p>
        </w:tc>
      </w:tr>
      <w:tr w14:paraId="4285A8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370" w:type="pct"/>
            <w:vAlign w:val="center"/>
          </w:tcPr>
          <w:p w14:paraId="39195114">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3</w:t>
            </w:r>
          </w:p>
        </w:tc>
        <w:tc>
          <w:tcPr>
            <w:tcW w:w="633" w:type="pct"/>
            <w:shd w:val="clear" w:color="auto" w:fill="auto"/>
            <w:vAlign w:val="center"/>
          </w:tcPr>
          <w:p w14:paraId="216CE1A9">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样品的纸张质量、印刷质量、印刷方式等情况</w:t>
            </w:r>
          </w:p>
        </w:tc>
        <w:tc>
          <w:tcPr>
            <w:tcW w:w="3546" w:type="pct"/>
            <w:shd w:val="clear" w:color="auto" w:fill="auto"/>
            <w:vAlign w:val="center"/>
          </w:tcPr>
          <w:p w14:paraId="6FF4555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根据响应人提供的样品情况（2个样品）进行综合评审：</w:t>
            </w:r>
          </w:p>
          <w:p w14:paraId="29EE914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1.</w:t>
            </w:r>
            <w:r>
              <w:rPr>
                <w:rFonts w:hint="eastAsia" w:ascii="宋体" w:hAnsi="宋体" w:eastAsia="宋体" w:cs="宋体"/>
                <w:kern w:val="0"/>
                <w:sz w:val="24"/>
                <w:szCs w:val="24"/>
                <w:lang w:val="en-US" w:eastAsia="zh-CN" w:bidi="ar"/>
              </w:rPr>
              <w:t xml:space="preserve">提供样品切口平直光滑，无刀花，无压痕、无毛边，印刷颜色墨色饱满均匀，线条、文字、图案及底纹清晰，印刷无断线、断划、掉字的现象，印刷质量高，纸张质量优良、无杂质，每一项样品得4分； </w:t>
            </w:r>
          </w:p>
          <w:p w14:paraId="77D0F77B">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提供样品切口较为平直光滑，无刀花，无压痕、无毛边，印刷颜色墨色比较饱满均匀，线条、文字、图案及底纹比较清晰，印刷无断线、断划、掉字的现象，印刷质量较高，纸张质量较好、无杂质，每一项样品得3分；</w:t>
            </w:r>
          </w:p>
          <w:p w14:paraId="2FA0401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提供样品纸张质量、印刷质量、印刷方式存在明显缺陷，生产技术工艺有待提高，每一项样品得2分；</w:t>
            </w:r>
          </w:p>
          <w:p w14:paraId="0D07F652">
            <w:pPr>
              <w:keepNext w:val="0"/>
              <w:keepLines w:val="0"/>
              <w:widowControl/>
              <w:suppressLineNumbers w:val="0"/>
              <w:jc w:val="left"/>
              <w:rPr>
                <w:rFonts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w:t>
            </w:r>
            <w:bookmarkStart w:id="8" w:name="_GoBack"/>
            <w:bookmarkEnd w:id="8"/>
            <w:r>
              <w:rPr>
                <w:rFonts w:hint="eastAsia" w:ascii="宋体" w:hAnsi="宋体" w:eastAsia="宋体" w:cs="宋体"/>
                <w:kern w:val="0"/>
                <w:sz w:val="24"/>
                <w:szCs w:val="24"/>
                <w:lang w:val="en-US" w:eastAsia="zh-CN" w:bidi="ar"/>
              </w:rPr>
              <w:t>没有提供样品不得分。如果样品实物与采购需求中的技术参数(规格、克数、技术工艺、纸色、印色)不符的，不得分。</w:t>
            </w:r>
          </w:p>
        </w:tc>
        <w:tc>
          <w:tcPr>
            <w:tcW w:w="449" w:type="pct"/>
            <w:shd w:val="clear" w:color="auto" w:fill="auto"/>
            <w:vAlign w:val="center"/>
          </w:tcPr>
          <w:p w14:paraId="6C2E0C74">
            <w:pPr>
              <w:widowControl/>
              <w:jc w:val="center"/>
              <w:rPr>
                <w:rFonts w:hint="default" w:ascii="宋体" w:hAnsi="宋体" w:eastAsia="宋体" w:cs="宋体"/>
                <w:szCs w:val="24"/>
                <w:lang w:val="en-US" w:eastAsia="zh-CN" w:bidi="ar"/>
              </w:rPr>
            </w:pPr>
            <w:r>
              <w:rPr>
                <w:rFonts w:hint="eastAsia" w:ascii="宋体" w:hAnsi="宋体" w:cs="宋体"/>
                <w:szCs w:val="24"/>
                <w:lang w:val="en-US" w:eastAsia="zh-CN" w:bidi="ar"/>
              </w:rPr>
              <w:t>12</w:t>
            </w:r>
          </w:p>
        </w:tc>
      </w:tr>
      <w:tr w14:paraId="068B0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370" w:type="pct"/>
            <w:vAlign w:val="center"/>
          </w:tcPr>
          <w:p w14:paraId="663BBA3C">
            <w:pPr>
              <w:keepNext w:val="0"/>
              <w:keepLines w:val="0"/>
              <w:widowControl/>
              <w:suppressLineNumbers w:val="0"/>
              <w:jc w:val="center"/>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4</w:t>
            </w:r>
          </w:p>
        </w:tc>
        <w:tc>
          <w:tcPr>
            <w:tcW w:w="633" w:type="pct"/>
            <w:shd w:val="clear" w:color="auto" w:fill="auto"/>
            <w:vAlign w:val="center"/>
          </w:tcPr>
          <w:p w14:paraId="7B3C108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应急处理方案</w:t>
            </w:r>
          </w:p>
        </w:tc>
        <w:tc>
          <w:tcPr>
            <w:tcW w:w="3546" w:type="pct"/>
            <w:shd w:val="clear" w:color="auto" w:fill="auto"/>
            <w:vAlign w:val="center"/>
          </w:tcPr>
          <w:p w14:paraId="4EE7B0E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根据供应商提供的本项目实施的应急处理方案（列举可能出现的意外风险，并说明应急处理机制及每个风险具体的应对措施）进行评审：</w:t>
            </w:r>
          </w:p>
          <w:p w14:paraId="2D1029C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1.供应商在方案中提供应急处理方案的，方案详细、可行性强，得10分；</w:t>
            </w:r>
          </w:p>
          <w:p w14:paraId="580918F5">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2.供应商在方案中提供应急处理方案的，方案较为详细、可行性较强，得8分；</w:t>
            </w:r>
          </w:p>
          <w:p w14:paraId="4D914C7D">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3.供应商在方案中提供应急处理方案的，方案不详细、可行性一般，得6分；</w:t>
            </w:r>
          </w:p>
          <w:p w14:paraId="6AD624E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4.供应商在方案中提供应急处理方案的，方案空洞、可行性弱，得4分；</w:t>
            </w:r>
          </w:p>
          <w:p w14:paraId="782F94F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5.应急处理方案未提供得0分。</w:t>
            </w:r>
          </w:p>
        </w:tc>
        <w:tc>
          <w:tcPr>
            <w:tcW w:w="449" w:type="pct"/>
            <w:shd w:val="clear" w:color="auto" w:fill="auto"/>
            <w:vAlign w:val="center"/>
          </w:tcPr>
          <w:p w14:paraId="6042FA4F">
            <w:pPr>
              <w:widowControl/>
              <w:jc w:val="center"/>
              <w:rPr>
                <w:rFonts w:hint="default" w:ascii="宋体" w:hAnsi="宋体" w:cs="宋体"/>
                <w:szCs w:val="24"/>
                <w:lang w:val="en-US" w:eastAsia="zh-CN" w:bidi="ar"/>
              </w:rPr>
            </w:pPr>
            <w:r>
              <w:rPr>
                <w:rFonts w:hint="eastAsia" w:ascii="宋体" w:hAnsi="宋体" w:cs="宋体"/>
                <w:szCs w:val="24"/>
                <w:lang w:val="en-US" w:eastAsia="zh-CN" w:bidi="ar"/>
              </w:rPr>
              <w:t>10</w:t>
            </w:r>
          </w:p>
        </w:tc>
      </w:tr>
      <w:bookmarkEnd w:id="3"/>
      <w:bookmarkEnd w:id="4"/>
      <w:bookmarkEnd w:id="5"/>
      <w:bookmarkEnd w:id="6"/>
      <w:bookmarkEnd w:id="7"/>
      <w:tr w14:paraId="370CA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4" w:hRule="atLeast"/>
        </w:trPr>
        <w:tc>
          <w:tcPr>
            <w:tcW w:w="4550" w:type="pct"/>
            <w:gridSpan w:val="3"/>
            <w:vAlign w:val="center"/>
          </w:tcPr>
          <w:p w14:paraId="57FF838A">
            <w:pPr>
              <w:snapToGrid w:val="0"/>
              <w:spacing w:line="264" w:lineRule="auto"/>
              <w:ind w:left="-89" w:leftChars="-37" w:right="-84" w:rightChars="-35"/>
              <w:jc w:val="center"/>
              <w:rPr>
                <w:rFonts w:hint="eastAsia" w:ascii="宋体" w:hAnsi="宋体" w:cs="宋体"/>
                <w:b/>
              </w:rPr>
            </w:pPr>
            <w:r>
              <w:rPr>
                <w:rFonts w:hint="eastAsia" w:ascii="宋体" w:hAnsi="宋体"/>
                <w:b/>
              </w:rPr>
              <w:t>合计</w:t>
            </w:r>
          </w:p>
        </w:tc>
        <w:tc>
          <w:tcPr>
            <w:tcW w:w="449" w:type="pct"/>
            <w:vAlign w:val="center"/>
          </w:tcPr>
          <w:p w14:paraId="0066172F">
            <w:pPr>
              <w:snapToGrid w:val="0"/>
              <w:spacing w:line="264" w:lineRule="auto"/>
              <w:ind w:left="-89" w:leftChars="-37" w:right="-84" w:rightChars="-35"/>
              <w:jc w:val="center"/>
              <w:rPr>
                <w:rFonts w:hint="eastAsia" w:ascii="宋体" w:hAnsi="宋体" w:eastAsia="宋体" w:cs="宋体"/>
                <w:b/>
                <w:lang w:eastAsia="zh-CN"/>
              </w:rPr>
            </w:pPr>
            <w:r>
              <w:rPr>
                <w:rFonts w:hint="eastAsia" w:ascii="宋体" w:hAnsi="宋体" w:cs="宋体"/>
                <w:b/>
                <w:lang w:val="en-US" w:eastAsia="zh-CN"/>
              </w:rPr>
              <w:t>50</w:t>
            </w:r>
            <w:r>
              <w:rPr>
                <w:rFonts w:hint="eastAsia" w:ascii="宋体" w:hAnsi="宋体" w:cs="宋体"/>
                <w:b/>
              </w:rPr>
              <w:t>分</w:t>
            </w:r>
          </w:p>
        </w:tc>
      </w:tr>
      <w:bookmarkEnd w:id="1"/>
      <w:bookmarkEnd w:id="2"/>
    </w:tbl>
    <w:p w14:paraId="2BA9021B">
      <w:pPr>
        <w:snapToGrid w:val="0"/>
        <w:spacing w:line="360" w:lineRule="auto"/>
        <w:rPr>
          <w:rFonts w:ascii="宋体" w:cs="宋体"/>
          <w:snapToGrid w:val="0"/>
        </w:rPr>
      </w:pPr>
    </w:p>
    <w:p w14:paraId="3489F7A1">
      <w:pPr>
        <w:spacing w:before="156" w:beforeLines="50" w:after="156" w:afterLines="50" w:line="377" w:lineRule="auto"/>
        <w:jc w:val="center"/>
        <w:rPr>
          <w:rFonts w:hint="eastAsia" w:ascii="宋体" w:hAnsi="宋体" w:eastAsia="宋体"/>
          <w:lang w:val="en-US" w:eastAsia="zh-CN"/>
        </w:rPr>
      </w:pPr>
      <w:r>
        <w:rPr>
          <w:rFonts w:hint="eastAsia" w:ascii="宋体" w:hAnsi="宋体" w:eastAsia="宋体"/>
          <w:lang w:val="en-US" w:eastAsia="zh-CN"/>
        </w:rPr>
        <w:br w:type="page"/>
      </w:r>
    </w:p>
    <w:p w14:paraId="15214418">
      <w:pPr>
        <w:pStyle w:val="4"/>
        <w:spacing w:before="156" w:beforeLines="50" w:after="156" w:afterLines="50" w:line="377" w:lineRule="auto"/>
        <w:jc w:val="center"/>
        <w:rPr>
          <w:rFonts w:hint="eastAsia" w:ascii="宋体" w:hAnsi="宋体" w:eastAsia="宋体"/>
          <w:color w:val="auto"/>
        </w:rPr>
      </w:pPr>
      <w:r>
        <w:rPr>
          <w:rFonts w:hint="eastAsia" w:ascii="宋体" w:hAnsi="宋体" w:eastAsia="宋体"/>
          <w:lang w:val="en-US" w:eastAsia="zh-CN"/>
        </w:rPr>
        <w:t>商务</w:t>
      </w:r>
      <w:r>
        <w:rPr>
          <w:rFonts w:hint="eastAsia" w:ascii="宋体" w:hAnsi="宋体" w:eastAsia="宋体"/>
          <w:color w:val="auto"/>
        </w:rPr>
        <w:t>评分表</w:t>
      </w:r>
    </w:p>
    <w:p w14:paraId="4F0FCFEF">
      <w:pPr>
        <w:spacing w:line="360" w:lineRule="auto"/>
        <w:jc w:val="center"/>
        <w:rPr>
          <w:rFonts w:hint="eastAsia" w:ascii="宋体" w:hAnsi="宋体" w:eastAsia="宋体"/>
          <w:b/>
          <w:color w:val="auto"/>
          <w:lang w:eastAsia="zh-CN"/>
        </w:rPr>
      </w:pPr>
      <w:r>
        <w:rPr>
          <w:rFonts w:hint="eastAsia" w:ascii="宋体" w:hAnsi="宋体"/>
          <w:b/>
          <w:color w:val="auto"/>
          <w:lang w:eastAsia="zh-CN"/>
        </w:rPr>
        <w:t>（</w:t>
      </w:r>
      <w:r>
        <w:rPr>
          <w:rFonts w:hint="eastAsia" w:ascii="宋体" w:hAnsi="宋体"/>
          <w:b/>
          <w:color w:val="auto"/>
          <w:lang w:val="en-US" w:eastAsia="zh-CN"/>
        </w:rPr>
        <w:t>30分</w:t>
      </w:r>
      <w:r>
        <w:rPr>
          <w:rFonts w:hint="eastAsia" w:ascii="宋体" w:hAnsi="宋体"/>
          <w:b/>
          <w:color w:val="auto"/>
          <w:lang w:eastAsia="zh-CN"/>
        </w:rPr>
        <w:t>）</w:t>
      </w: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36"/>
        <w:gridCol w:w="1389"/>
        <w:gridCol w:w="5879"/>
        <w:gridCol w:w="815"/>
      </w:tblGrid>
      <w:tr w14:paraId="16CB08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256" w:type="pct"/>
            <w:vAlign w:val="center"/>
          </w:tcPr>
          <w:p w14:paraId="0644BB3F">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序号</w:t>
            </w:r>
          </w:p>
        </w:tc>
        <w:tc>
          <w:tcPr>
            <w:tcW w:w="815" w:type="pct"/>
            <w:vAlign w:val="center"/>
          </w:tcPr>
          <w:p w14:paraId="343DDB3A">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评审因素</w:t>
            </w:r>
          </w:p>
        </w:tc>
        <w:tc>
          <w:tcPr>
            <w:tcW w:w="3449" w:type="pct"/>
            <w:vAlign w:val="center"/>
          </w:tcPr>
          <w:p w14:paraId="3E7A8F02">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评分细则</w:t>
            </w:r>
          </w:p>
        </w:tc>
        <w:tc>
          <w:tcPr>
            <w:tcW w:w="478" w:type="pct"/>
            <w:vAlign w:val="center"/>
          </w:tcPr>
          <w:p w14:paraId="7C6D8FA2">
            <w:pPr>
              <w:snapToGrid w:val="0"/>
              <w:spacing w:line="264" w:lineRule="auto"/>
              <w:ind w:left="-89" w:leftChars="-37" w:right="-84" w:rightChars="-35"/>
              <w:jc w:val="center"/>
              <w:rPr>
                <w:rFonts w:hint="eastAsia" w:ascii="宋体" w:hAnsi="宋体" w:cs="宋体"/>
                <w:b/>
                <w:color w:val="auto"/>
              </w:rPr>
            </w:pPr>
            <w:r>
              <w:rPr>
                <w:rFonts w:hint="eastAsia" w:ascii="宋体" w:hAnsi="宋体" w:cs="宋体"/>
                <w:b/>
                <w:color w:val="auto"/>
              </w:rPr>
              <w:t>分值（分）</w:t>
            </w:r>
          </w:p>
        </w:tc>
      </w:tr>
      <w:tr w14:paraId="6832E6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256" w:type="pct"/>
            <w:vAlign w:val="center"/>
          </w:tcPr>
          <w:p w14:paraId="46CE218C">
            <w:pPr>
              <w:keepNext w:val="0"/>
              <w:keepLines w:val="0"/>
              <w:widowControl/>
              <w:suppressLineNumbers w:val="0"/>
              <w:jc w:val="center"/>
              <w:rPr>
                <w:rFonts w:hint="eastAsia" w:ascii="宋体" w:hAnsi="宋体" w:eastAsia="黑体"/>
                <w:sz w:val="24"/>
                <w:szCs w:val="24"/>
                <w:lang w:val="en-US" w:eastAsia="zh-CN"/>
              </w:rPr>
            </w:pPr>
            <w:r>
              <w:rPr>
                <w:rFonts w:ascii="宋体" w:hAnsi="宋体" w:eastAsia="宋体" w:cs="宋体"/>
                <w:kern w:val="0"/>
                <w:sz w:val="24"/>
                <w:szCs w:val="24"/>
                <w:lang w:val="en-US" w:eastAsia="zh-CN" w:bidi="ar"/>
              </w:rPr>
              <w:t>1</w:t>
            </w:r>
          </w:p>
        </w:tc>
        <w:tc>
          <w:tcPr>
            <w:tcW w:w="815" w:type="pct"/>
            <w:shd w:val="clear" w:color="auto" w:fill="auto"/>
            <w:vAlign w:val="center"/>
          </w:tcPr>
          <w:p w14:paraId="28B4A99D">
            <w:pPr>
              <w:keepNext w:val="0"/>
              <w:keepLines w:val="0"/>
              <w:widowControl/>
              <w:suppressLineNumbers w:val="0"/>
              <w:jc w:val="center"/>
              <w:rPr>
                <w:rFonts w:hint="eastAsia" w:ascii="宋体" w:hAnsi="宋体" w:eastAsia="宋体" w:cs="宋体"/>
                <w:i w:val="0"/>
                <w:iCs w:val="0"/>
                <w:color w:val="auto"/>
                <w:kern w:val="0"/>
                <w:sz w:val="24"/>
                <w:szCs w:val="24"/>
                <w:highlight w:val="none"/>
                <w:u w:val="none"/>
                <w:lang w:val="en-US" w:eastAsia="zh-CN" w:bidi="ar-SA"/>
              </w:rPr>
            </w:pPr>
            <w:r>
              <w:rPr>
                <w:rFonts w:ascii="宋体" w:hAnsi="宋体" w:eastAsia="宋体" w:cs="宋体"/>
                <w:kern w:val="0"/>
                <w:sz w:val="24"/>
                <w:szCs w:val="24"/>
                <w:lang w:val="en-US" w:eastAsia="zh-CN" w:bidi="ar"/>
              </w:rPr>
              <w:t>同类项目经验</w:t>
            </w:r>
          </w:p>
        </w:tc>
        <w:tc>
          <w:tcPr>
            <w:tcW w:w="3449" w:type="pct"/>
            <w:shd w:val="clear" w:color="auto" w:fill="auto"/>
            <w:vAlign w:val="center"/>
          </w:tcPr>
          <w:p w14:paraId="1DB4FD14">
            <w:pPr>
              <w:keepNext w:val="0"/>
              <w:keepLines w:val="0"/>
              <w:widowControl/>
              <w:suppressLineNumbers w:val="0"/>
              <w:jc w:val="left"/>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b w:val="0"/>
                <w:bCs w:val="0"/>
                <w:kern w:val="0"/>
                <w:sz w:val="24"/>
                <w:szCs w:val="24"/>
                <w:lang w:val="en-US" w:eastAsia="zh-CN" w:bidi="ar"/>
              </w:rPr>
              <w:t>根据</w:t>
            </w:r>
            <w:r>
              <w:rPr>
                <w:rFonts w:hint="eastAsia" w:ascii="宋体" w:hAnsi="宋体" w:cs="宋体"/>
                <w:b w:val="0"/>
                <w:bCs w:val="0"/>
                <w:kern w:val="0"/>
                <w:sz w:val="24"/>
                <w:szCs w:val="24"/>
                <w:lang w:val="en-US" w:eastAsia="zh-CN" w:bidi="ar"/>
              </w:rPr>
              <w:t>响应人自</w:t>
            </w:r>
            <w:r>
              <w:rPr>
                <w:rFonts w:ascii="宋体" w:hAnsi="宋体" w:eastAsia="宋体" w:cs="宋体"/>
                <w:b w:val="0"/>
                <w:bCs w:val="0"/>
                <w:kern w:val="0"/>
                <w:sz w:val="24"/>
                <w:szCs w:val="24"/>
                <w:lang w:val="en-US" w:eastAsia="zh-CN" w:bidi="ar"/>
              </w:rPr>
              <w:t>202</w:t>
            </w:r>
            <w:r>
              <w:rPr>
                <w:rFonts w:hint="eastAsia" w:ascii="宋体" w:hAnsi="宋体" w:cs="宋体"/>
                <w:b w:val="0"/>
                <w:bCs w:val="0"/>
                <w:kern w:val="0"/>
                <w:sz w:val="24"/>
                <w:szCs w:val="24"/>
                <w:lang w:val="en-US" w:eastAsia="zh-CN" w:bidi="ar"/>
              </w:rPr>
              <w:t>0</w:t>
            </w:r>
            <w:r>
              <w:rPr>
                <w:rFonts w:ascii="宋体" w:hAnsi="宋体" w:eastAsia="宋体" w:cs="宋体"/>
                <w:b w:val="0"/>
                <w:bCs w:val="0"/>
                <w:kern w:val="0"/>
                <w:sz w:val="24"/>
                <w:szCs w:val="24"/>
                <w:lang w:val="en-US" w:eastAsia="zh-CN" w:bidi="ar"/>
              </w:rPr>
              <w:t>年1月1日以来</w:t>
            </w:r>
            <w:r>
              <w:rPr>
                <w:rFonts w:hint="eastAsia" w:ascii="宋体" w:hAnsi="宋体" w:cs="宋体"/>
                <w:b w:val="0"/>
                <w:bCs w:val="0"/>
                <w:kern w:val="0"/>
                <w:sz w:val="24"/>
                <w:szCs w:val="24"/>
                <w:lang w:val="en-US" w:eastAsia="zh-CN" w:bidi="ar"/>
              </w:rPr>
              <w:t>，提供有</w:t>
            </w:r>
            <w:r>
              <w:rPr>
                <w:rFonts w:hint="eastAsia" w:ascii="宋体" w:hAnsi="宋体" w:cs="宋体"/>
                <w:b w:val="0"/>
                <w:bCs w:val="0"/>
                <w:szCs w:val="24"/>
                <w:lang w:bidi="ar"/>
              </w:rPr>
              <w:t>大型三甲综合公立</w:t>
            </w:r>
            <w:r>
              <w:rPr>
                <w:rStyle w:val="16"/>
                <w:rFonts w:ascii="宋体" w:hAnsi="宋体" w:cs="宋体"/>
                <w:b w:val="0"/>
                <w:bCs w:val="0"/>
                <w:szCs w:val="24"/>
                <w:lang w:bidi="ar"/>
              </w:rPr>
              <w:t>医院年报</w:t>
            </w:r>
            <w:r>
              <w:rPr>
                <w:rFonts w:ascii="宋体" w:hAnsi="宋体" w:eastAsia="宋体" w:cs="宋体"/>
                <w:b w:val="0"/>
                <w:bCs w:val="0"/>
                <w:kern w:val="0"/>
                <w:sz w:val="24"/>
                <w:szCs w:val="24"/>
                <w:lang w:val="en-US" w:eastAsia="zh-CN" w:bidi="ar"/>
              </w:rPr>
              <w:t>相关业绩：1份得</w:t>
            </w:r>
            <w:r>
              <w:rPr>
                <w:rStyle w:val="16"/>
                <w:rFonts w:hint="eastAsia" w:ascii="宋体" w:hAnsi="宋体" w:cs="宋体"/>
                <w:b w:val="0"/>
                <w:bCs w:val="0"/>
                <w:kern w:val="0"/>
                <w:sz w:val="24"/>
                <w:szCs w:val="24"/>
                <w:lang w:val="en-US" w:eastAsia="zh-CN" w:bidi="ar"/>
              </w:rPr>
              <w:t>3</w:t>
            </w:r>
            <w:r>
              <w:rPr>
                <w:rStyle w:val="16"/>
                <w:rFonts w:ascii="宋体" w:hAnsi="宋体" w:eastAsia="宋体" w:cs="宋体"/>
                <w:b w:val="0"/>
                <w:bCs w:val="0"/>
                <w:kern w:val="0"/>
                <w:sz w:val="24"/>
                <w:szCs w:val="24"/>
                <w:lang w:val="en-US" w:eastAsia="zh-CN" w:bidi="ar"/>
              </w:rPr>
              <w:t>分</w:t>
            </w:r>
            <w:r>
              <w:rPr>
                <w:rFonts w:ascii="宋体" w:hAnsi="宋体" w:eastAsia="宋体" w:cs="宋体"/>
                <w:b w:val="0"/>
                <w:bCs w:val="0"/>
                <w:kern w:val="0"/>
                <w:sz w:val="24"/>
                <w:szCs w:val="24"/>
                <w:lang w:val="en-US" w:eastAsia="zh-CN" w:bidi="ar"/>
              </w:rPr>
              <w:t>，最多</w:t>
            </w:r>
            <w:r>
              <w:rPr>
                <w:rStyle w:val="16"/>
                <w:rFonts w:hint="eastAsia" w:ascii="宋体" w:hAnsi="宋体" w:cs="宋体"/>
                <w:b w:val="0"/>
                <w:bCs w:val="0"/>
                <w:kern w:val="0"/>
                <w:sz w:val="24"/>
                <w:szCs w:val="24"/>
                <w:lang w:val="en-US" w:eastAsia="zh-CN" w:bidi="ar"/>
              </w:rPr>
              <w:t>15</w:t>
            </w:r>
            <w:r>
              <w:rPr>
                <w:rStyle w:val="16"/>
                <w:rFonts w:ascii="宋体" w:hAnsi="宋体" w:eastAsia="宋体" w:cs="宋体"/>
                <w:b w:val="0"/>
                <w:bCs w:val="0"/>
                <w:kern w:val="0"/>
                <w:sz w:val="24"/>
                <w:szCs w:val="24"/>
                <w:lang w:val="en-US" w:eastAsia="zh-CN" w:bidi="ar"/>
              </w:rPr>
              <w:t>分</w:t>
            </w:r>
            <w:r>
              <w:rPr>
                <w:rFonts w:ascii="宋体" w:hAnsi="宋体" w:eastAsia="宋体" w:cs="宋体"/>
                <w:b w:val="0"/>
                <w:bCs w:val="0"/>
                <w:kern w:val="0"/>
                <w:sz w:val="24"/>
                <w:szCs w:val="24"/>
                <w:lang w:val="en-US" w:eastAsia="zh-CN" w:bidi="ar"/>
              </w:rPr>
              <w:t>（提供合同关键页）</w:t>
            </w:r>
          </w:p>
        </w:tc>
        <w:tc>
          <w:tcPr>
            <w:tcW w:w="478" w:type="pct"/>
            <w:shd w:val="clear" w:color="auto" w:fill="auto"/>
            <w:vAlign w:val="center"/>
          </w:tcPr>
          <w:p w14:paraId="34D5955D">
            <w:pPr>
              <w:keepNext w:val="0"/>
              <w:keepLines w:val="0"/>
              <w:widowControl/>
              <w:suppressLineNumbers w:val="0"/>
              <w:jc w:val="center"/>
              <w:rPr>
                <w:rFonts w:hint="default" w:ascii="宋体" w:hAnsi="宋体" w:eastAsia="宋体" w:cs="宋体"/>
                <w:i w:val="0"/>
                <w:iCs w:val="0"/>
                <w:color w:val="auto"/>
                <w:sz w:val="24"/>
                <w:szCs w:val="24"/>
                <w:highlight w:val="none"/>
                <w:u w:val="none"/>
                <w:lang w:val="en-US" w:eastAsia="zh-CN" w:bidi="ar-SA"/>
              </w:rPr>
            </w:pPr>
            <w:r>
              <w:rPr>
                <w:rFonts w:hint="eastAsia" w:ascii="宋体" w:hAnsi="宋体" w:cs="宋体"/>
                <w:kern w:val="0"/>
                <w:sz w:val="24"/>
                <w:szCs w:val="24"/>
                <w:lang w:val="en-US" w:eastAsia="zh-CN" w:bidi="ar"/>
              </w:rPr>
              <w:t>15</w:t>
            </w:r>
          </w:p>
        </w:tc>
      </w:tr>
      <w:tr w14:paraId="35DED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256" w:type="pct"/>
            <w:vAlign w:val="center"/>
          </w:tcPr>
          <w:p w14:paraId="0A3A4FAD">
            <w:pPr>
              <w:keepNext w:val="0"/>
              <w:keepLines w:val="0"/>
              <w:widowControl/>
              <w:suppressLineNumbers w:val="0"/>
              <w:jc w:val="center"/>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p>
        </w:tc>
        <w:tc>
          <w:tcPr>
            <w:tcW w:w="815" w:type="pct"/>
            <w:shd w:val="clear" w:color="auto" w:fill="auto"/>
            <w:vAlign w:val="center"/>
          </w:tcPr>
          <w:p w14:paraId="7D03438C">
            <w:pPr>
              <w:keepNext w:val="0"/>
              <w:keepLines w:val="0"/>
              <w:widowControl/>
              <w:suppressLineNumbers w:val="0"/>
              <w:jc w:val="center"/>
              <w:rPr>
                <w:rFonts w:hint="default" w:ascii="宋体" w:hAnsi="宋体" w:eastAsia="宋体" w:cs="宋体"/>
                <w:color w:val="0000FF"/>
                <w:kern w:val="0"/>
                <w:sz w:val="24"/>
                <w:szCs w:val="24"/>
                <w:lang w:val="en-US" w:eastAsia="zh-CN" w:bidi="ar"/>
              </w:rPr>
            </w:pPr>
            <w:r>
              <w:rPr>
                <w:rFonts w:hint="eastAsia" w:ascii="宋体" w:hAnsi="宋体" w:cs="宋体"/>
                <w:color w:val="auto"/>
                <w:kern w:val="0"/>
                <w:sz w:val="24"/>
                <w:szCs w:val="24"/>
                <w:lang w:val="en-US" w:eastAsia="zh-CN" w:bidi="ar"/>
              </w:rPr>
              <w:t>项目负责人资历</w:t>
            </w:r>
          </w:p>
        </w:tc>
        <w:tc>
          <w:tcPr>
            <w:tcW w:w="3449" w:type="pct"/>
            <w:shd w:val="clear" w:color="auto" w:fill="auto"/>
            <w:vAlign w:val="center"/>
          </w:tcPr>
          <w:p w14:paraId="11DDB180">
            <w:pPr>
              <w:keepNext w:val="0"/>
              <w:keepLines w:val="0"/>
              <w:widowControl/>
              <w:suppressLineNumbers w:val="0"/>
              <w:jc w:val="left"/>
              <w:rPr>
                <w:rFonts w:hint="eastAsia" w:ascii="宋体" w:hAnsi="宋体" w:eastAsia="宋体" w:cs="宋体"/>
                <w:b w:val="0"/>
                <w:bCs w:val="0"/>
                <w:szCs w:val="24"/>
                <w:lang w:val="en-US" w:eastAsia="zh-CN" w:bidi="ar"/>
              </w:rPr>
            </w:pPr>
            <w:r>
              <w:rPr>
                <w:rFonts w:hint="eastAsia" w:ascii="宋体" w:hAnsi="宋体" w:eastAsia="宋体" w:cs="宋体"/>
                <w:b w:val="0"/>
                <w:bCs w:val="0"/>
                <w:szCs w:val="24"/>
                <w:lang w:val="en-US" w:eastAsia="zh-CN" w:bidi="ar"/>
              </w:rPr>
              <w:t>1.拟指派的项目负责人从业满3年不足5年的，得1分；从业5年及以上的，得5分。</w:t>
            </w:r>
          </w:p>
          <w:p w14:paraId="0592FDA7">
            <w:pPr>
              <w:keepNext w:val="0"/>
              <w:keepLines w:val="0"/>
              <w:widowControl/>
              <w:suppressLineNumbers w:val="0"/>
              <w:jc w:val="left"/>
              <w:rPr>
                <w:rFonts w:hint="eastAsia" w:ascii="宋体" w:hAnsi="宋体" w:eastAsia="宋体" w:cs="宋体"/>
                <w:b w:val="0"/>
                <w:bCs w:val="0"/>
                <w:szCs w:val="24"/>
                <w:lang w:val="en-US" w:eastAsia="zh-CN" w:bidi="ar"/>
              </w:rPr>
            </w:pPr>
            <w:r>
              <w:rPr>
                <w:rFonts w:hint="eastAsia" w:ascii="宋体" w:hAnsi="宋体" w:eastAsia="宋体" w:cs="宋体"/>
                <w:b w:val="0"/>
                <w:bCs w:val="0"/>
                <w:szCs w:val="24"/>
                <w:lang w:val="en-US" w:eastAsia="zh-CN" w:bidi="ar"/>
              </w:rPr>
              <w:t>2.项目负责人具有5年（含）或以上</w:t>
            </w:r>
            <w:r>
              <w:rPr>
                <w:rFonts w:hint="eastAsia" w:ascii="宋体" w:hAnsi="宋体" w:cs="宋体"/>
                <w:b w:val="0"/>
                <w:bCs w:val="0"/>
                <w:szCs w:val="24"/>
                <w:lang w:bidi="ar"/>
              </w:rPr>
              <w:t>大型三甲综合公立</w:t>
            </w:r>
            <w:r>
              <w:rPr>
                <w:rStyle w:val="16"/>
                <w:rFonts w:ascii="宋体" w:hAnsi="宋体" w:cs="宋体"/>
                <w:b w:val="0"/>
                <w:bCs w:val="0"/>
                <w:szCs w:val="24"/>
                <w:lang w:bidi="ar"/>
              </w:rPr>
              <w:t>医院年报编制</w:t>
            </w:r>
            <w:r>
              <w:rPr>
                <w:rFonts w:hint="eastAsia" w:ascii="宋体" w:hAnsi="宋体" w:eastAsia="宋体" w:cs="宋体"/>
                <w:b w:val="0"/>
                <w:bCs w:val="0"/>
                <w:szCs w:val="24"/>
                <w:lang w:val="en-US" w:eastAsia="zh-CN" w:bidi="ar"/>
              </w:rPr>
              <w:t>经验，得5分；5年以下经验的，得1分；无经验的，不得分。</w:t>
            </w:r>
          </w:p>
          <w:p w14:paraId="21B1B494">
            <w:pPr>
              <w:keepNext w:val="0"/>
              <w:keepLines w:val="0"/>
              <w:widowControl/>
              <w:suppressLineNumbers w:val="0"/>
              <w:jc w:val="left"/>
              <w:rPr>
                <w:rFonts w:hint="eastAsia" w:ascii="宋体" w:hAnsi="宋体" w:eastAsia="宋体" w:cs="宋体"/>
                <w:b w:val="0"/>
                <w:bCs w:val="0"/>
                <w:szCs w:val="24"/>
                <w:lang w:val="en-US" w:eastAsia="zh-CN" w:bidi="ar"/>
              </w:rPr>
            </w:pPr>
            <w:r>
              <w:rPr>
                <w:rFonts w:hint="eastAsia" w:ascii="宋体" w:hAnsi="宋体" w:eastAsia="宋体" w:cs="宋体"/>
                <w:b w:val="0"/>
                <w:bCs w:val="0"/>
                <w:szCs w:val="24"/>
                <w:lang w:val="en-US" w:eastAsia="zh-CN" w:bidi="ar"/>
              </w:rPr>
              <w:t>3.项目负责人具有研究生学历的，得3分。</w:t>
            </w:r>
          </w:p>
          <w:p w14:paraId="530880D4">
            <w:pPr>
              <w:keepNext w:val="0"/>
              <w:keepLines w:val="0"/>
              <w:widowControl/>
              <w:suppressLineNumbers w:val="0"/>
              <w:jc w:val="left"/>
              <w:rPr>
                <w:rFonts w:hint="eastAsia" w:ascii="宋体" w:hAnsi="宋体" w:eastAsia="宋体" w:cs="宋体"/>
                <w:color w:val="0000FF"/>
                <w:kern w:val="0"/>
                <w:sz w:val="24"/>
                <w:szCs w:val="24"/>
                <w:lang w:val="en-US" w:eastAsia="zh-CN" w:bidi="ar"/>
              </w:rPr>
            </w:pPr>
            <w:r>
              <w:rPr>
                <w:rFonts w:hint="eastAsia" w:ascii="宋体" w:hAnsi="宋体" w:eastAsia="宋体" w:cs="宋体"/>
                <w:b w:val="0"/>
                <w:bCs w:val="0"/>
                <w:szCs w:val="24"/>
                <w:lang w:val="en-US" w:eastAsia="zh-CN" w:bidi="ar"/>
              </w:rPr>
              <w:t>注：需提供学历证明，工作经验可作品发布时间、行业协会入会时间等材料佐证，形式不限；另需提供响应截止时间前三个月内任意一个月在响应人单位缴纳的有效社保证明，以上证明均须加盖响应人公章。</w:t>
            </w:r>
          </w:p>
        </w:tc>
        <w:tc>
          <w:tcPr>
            <w:tcW w:w="478" w:type="pct"/>
            <w:shd w:val="clear" w:color="auto" w:fill="auto"/>
            <w:vAlign w:val="center"/>
          </w:tcPr>
          <w:p w14:paraId="1C7DD78B">
            <w:pPr>
              <w:keepNext w:val="0"/>
              <w:keepLines w:val="0"/>
              <w:widowControl/>
              <w:suppressLineNumbers w:val="0"/>
              <w:jc w:val="center"/>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13</w:t>
            </w:r>
          </w:p>
        </w:tc>
      </w:tr>
      <w:tr w14:paraId="65112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trPr>
        <w:tc>
          <w:tcPr>
            <w:tcW w:w="256" w:type="pct"/>
            <w:vAlign w:val="center"/>
          </w:tcPr>
          <w:p w14:paraId="3D0A2169">
            <w:pPr>
              <w:keepNext w:val="0"/>
              <w:keepLines w:val="0"/>
              <w:widowControl/>
              <w:suppressLineNumbers w:val="0"/>
              <w:jc w:val="center"/>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3</w:t>
            </w:r>
          </w:p>
        </w:tc>
        <w:tc>
          <w:tcPr>
            <w:tcW w:w="815" w:type="pct"/>
            <w:shd w:val="clear" w:color="auto" w:fill="auto"/>
            <w:vAlign w:val="center"/>
          </w:tcPr>
          <w:p w14:paraId="7AA6AA2B">
            <w:pPr>
              <w:keepNext w:val="0"/>
              <w:keepLines w:val="0"/>
              <w:widowControl/>
              <w:suppressLineNumbers w:val="0"/>
              <w:jc w:val="center"/>
              <w:rPr>
                <w:rFonts w:hint="eastAsia" w:ascii="宋体" w:hAnsi="宋体" w:eastAsia="宋体" w:cs="宋体"/>
                <w:color w:val="0000FF"/>
                <w:kern w:val="0"/>
                <w:sz w:val="24"/>
                <w:szCs w:val="24"/>
                <w:lang w:val="en-US" w:eastAsia="zh-CN" w:bidi="ar"/>
              </w:rPr>
            </w:pPr>
            <w:r>
              <w:rPr>
                <w:rFonts w:hint="eastAsia" w:ascii="宋体" w:hAnsi="宋体" w:cs="宋体"/>
                <w:color w:val="auto"/>
                <w:kern w:val="0"/>
                <w:sz w:val="24"/>
                <w:szCs w:val="24"/>
                <w:lang w:val="en-US" w:eastAsia="zh-CN" w:bidi="ar"/>
              </w:rPr>
              <w:t>配送服务人员</w:t>
            </w:r>
          </w:p>
        </w:tc>
        <w:tc>
          <w:tcPr>
            <w:tcW w:w="3449" w:type="pct"/>
            <w:shd w:val="clear" w:color="auto" w:fill="auto"/>
            <w:vAlign w:val="center"/>
          </w:tcPr>
          <w:p w14:paraId="64E25902">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响应人承诺为本项目提供至少2名配送服务人员且未经采购人同意人员不得随意变更，得2分。</w:t>
            </w:r>
          </w:p>
          <w:p w14:paraId="5C8C3BC7">
            <w:pPr>
              <w:keepNext w:val="0"/>
              <w:keepLines w:val="0"/>
              <w:widowControl/>
              <w:suppressLineNumbers w:val="0"/>
              <w:jc w:val="left"/>
              <w:rPr>
                <w:rFonts w:hint="eastAsia" w:ascii="宋体" w:hAnsi="宋体" w:eastAsia="宋体" w:cs="宋体"/>
                <w:color w:val="0000FF"/>
                <w:kern w:val="0"/>
                <w:sz w:val="24"/>
                <w:szCs w:val="24"/>
                <w:lang w:val="en-US" w:eastAsia="zh-CN" w:bidi="ar"/>
              </w:rPr>
            </w:pPr>
            <w:r>
              <w:rPr>
                <w:rFonts w:hint="eastAsia" w:ascii="宋体" w:hAnsi="宋体" w:eastAsia="宋体" w:cs="宋体"/>
                <w:color w:val="auto"/>
                <w:kern w:val="0"/>
                <w:sz w:val="24"/>
                <w:szCs w:val="24"/>
                <w:lang w:val="en-US" w:eastAsia="zh-CN" w:bidi="ar"/>
              </w:rPr>
              <w:t>注:提供加盖响应人公章的相关承诺函（格式自拟）、人员名单及其在投标单位任职的证明文件，资料不完整不得分。</w:t>
            </w:r>
          </w:p>
        </w:tc>
        <w:tc>
          <w:tcPr>
            <w:tcW w:w="478" w:type="pct"/>
            <w:shd w:val="clear" w:color="auto" w:fill="auto"/>
            <w:vAlign w:val="center"/>
          </w:tcPr>
          <w:p w14:paraId="2978096D">
            <w:pPr>
              <w:keepNext w:val="0"/>
              <w:keepLines w:val="0"/>
              <w:widowControl/>
              <w:suppressLineNumbers w:val="0"/>
              <w:jc w:val="center"/>
              <w:rPr>
                <w:rFonts w:hint="default" w:ascii="宋体" w:hAnsi="宋体" w:cs="宋体"/>
                <w:kern w:val="0"/>
                <w:sz w:val="24"/>
                <w:szCs w:val="24"/>
                <w:lang w:val="en-US" w:eastAsia="zh-CN" w:bidi="ar"/>
              </w:rPr>
            </w:pPr>
            <w:r>
              <w:rPr>
                <w:rFonts w:hint="eastAsia" w:ascii="宋体" w:hAnsi="宋体" w:cs="宋体"/>
                <w:color w:val="auto"/>
                <w:kern w:val="0"/>
                <w:sz w:val="24"/>
                <w:szCs w:val="24"/>
                <w:lang w:val="en-US" w:eastAsia="zh-CN" w:bidi="ar"/>
              </w:rPr>
              <w:t>2</w:t>
            </w:r>
          </w:p>
        </w:tc>
      </w:tr>
      <w:tr w14:paraId="7443CC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4" w:hRule="atLeast"/>
        </w:trPr>
        <w:tc>
          <w:tcPr>
            <w:tcW w:w="4521" w:type="pct"/>
            <w:gridSpan w:val="3"/>
            <w:vAlign w:val="center"/>
          </w:tcPr>
          <w:p w14:paraId="238AEDC0">
            <w:pPr>
              <w:snapToGrid w:val="0"/>
              <w:spacing w:line="264" w:lineRule="auto"/>
              <w:ind w:left="-89" w:leftChars="-37" w:right="-84" w:rightChars="-35"/>
              <w:jc w:val="center"/>
              <w:rPr>
                <w:rFonts w:hint="eastAsia" w:ascii="宋体" w:hAnsi="宋体" w:cs="宋体"/>
                <w:b/>
              </w:rPr>
            </w:pPr>
            <w:r>
              <w:rPr>
                <w:rFonts w:hint="eastAsia" w:ascii="宋体" w:hAnsi="宋体"/>
                <w:b/>
              </w:rPr>
              <w:t>合计</w:t>
            </w:r>
          </w:p>
        </w:tc>
        <w:tc>
          <w:tcPr>
            <w:tcW w:w="478" w:type="pct"/>
            <w:vAlign w:val="center"/>
          </w:tcPr>
          <w:p w14:paraId="5195B9E1">
            <w:pPr>
              <w:snapToGrid w:val="0"/>
              <w:spacing w:line="264" w:lineRule="auto"/>
              <w:ind w:left="-89" w:leftChars="-37" w:right="-84" w:rightChars="-35"/>
              <w:jc w:val="center"/>
              <w:rPr>
                <w:rFonts w:hint="eastAsia" w:ascii="宋体" w:hAnsi="宋体" w:eastAsia="宋体" w:cs="宋体"/>
                <w:b/>
                <w:lang w:eastAsia="zh-CN"/>
              </w:rPr>
            </w:pPr>
            <w:r>
              <w:rPr>
                <w:rFonts w:hint="eastAsia" w:ascii="宋体" w:hAnsi="宋体" w:cs="宋体"/>
                <w:b/>
                <w:lang w:val="en-US" w:eastAsia="zh-CN"/>
              </w:rPr>
              <w:t>30</w:t>
            </w:r>
            <w:r>
              <w:rPr>
                <w:rFonts w:hint="eastAsia" w:ascii="宋体" w:hAnsi="宋体" w:cs="宋体"/>
                <w:b/>
              </w:rPr>
              <w:t>分</w:t>
            </w:r>
          </w:p>
        </w:tc>
      </w:tr>
    </w:tbl>
    <w:p w14:paraId="23EBB19E">
      <w:pPr>
        <w:spacing w:before="156" w:beforeLines="50" w:after="156" w:afterLines="50" w:line="377" w:lineRule="auto"/>
        <w:jc w:val="center"/>
        <w:rPr>
          <w:rFonts w:hint="eastAsia" w:ascii="宋体" w:hAnsi="宋体" w:eastAsia="宋体"/>
        </w:rPr>
      </w:pPr>
    </w:p>
    <w:p w14:paraId="422D6CA9">
      <w:pPr>
        <w:spacing w:before="156" w:beforeLines="50" w:after="156" w:afterLines="50" w:line="377" w:lineRule="auto"/>
        <w:jc w:val="center"/>
        <w:rPr>
          <w:rFonts w:hint="eastAsia" w:ascii="宋体" w:hAnsi="宋体" w:eastAsia="宋体"/>
        </w:rPr>
      </w:pPr>
      <w:r>
        <w:rPr>
          <w:rFonts w:hint="eastAsia" w:ascii="宋体" w:hAnsi="宋体" w:eastAsia="宋体"/>
        </w:rPr>
        <w:br w:type="page"/>
      </w:r>
    </w:p>
    <w:p w14:paraId="2B24554D">
      <w:pPr>
        <w:pStyle w:val="4"/>
        <w:spacing w:before="156" w:beforeLines="50" w:after="156" w:afterLines="50" w:line="377" w:lineRule="auto"/>
        <w:jc w:val="center"/>
        <w:rPr>
          <w:rFonts w:hint="eastAsia" w:ascii="宋体" w:hAnsi="宋体" w:eastAsia="宋体"/>
        </w:rPr>
      </w:pPr>
      <w:r>
        <w:rPr>
          <w:rFonts w:hint="eastAsia" w:ascii="宋体" w:hAnsi="宋体" w:eastAsia="宋体"/>
        </w:rPr>
        <w:t>价格评分表</w:t>
      </w:r>
    </w:p>
    <w:p w14:paraId="79CA637A">
      <w:pPr>
        <w:spacing w:line="360" w:lineRule="auto"/>
        <w:ind w:left="0"/>
        <w:jc w:val="center"/>
        <w:rPr>
          <w:rFonts w:hint="eastAsia" w:ascii="宋体" w:hAnsi="宋体"/>
          <w:b/>
          <w:color w:val="auto"/>
        </w:rPr>
      </w:pPr>
      <w:r>
        <w:rPr>
          <w:rFonts w:hint="eastAsia" w:ascii="宋体" w:hAnsi="宋体"/>
          <w:b/>
          <w:color w:val="auto"/>
          <w:lang w:val="en-US" w:eastAsia="zh-CN"/>
        </w:rPr>
        <w:t>（20</w:t>
      </w:r>
      <w:r>
        <w:rPr>
          <w:rFonts w:hint="eastAsia" w:ascii="宋体" w:hAnsi="宋体"/>
          <w:b/>
          <w:color w:val="auto"/>
        </w:rPr>
        <w:t>分</w:t>
      </w:r>
      <w:r>
        <w:rPr>
          <w:rFonts w:hint="eastAsia" w:ascii="宋体" w:hAnsi="宋体"/>
          <w:b/>
          <w:color w:val="auto"/>
          <w:lang w:val="en-US" w:eastAsia="zh-CN"/>
        </w:rPr>
        <w:t>）</w:t>
      </w:r>
    </w:p>
    <w:p w14:paraId="184CA17F">
      <w:pPr>
        <w:numPr>
          <w:ilvl w:val="0"/>
          <w:numId w:val="0"/>
        </w:numPr>
        <w:autoSpaceDE/>
        <w:autoSpaceDN/>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价格评分：以</w:t>
      </w:r>
      <w:r>
        <w:rPr>
          <w:rFonts w:hint="eastAsia" w:ascii="宋体" w:hAnsi="宋体" w:cs="宋体"/>
          <w:b/>
          <w:bCs/>
          <w:color w:val="auto"/>
          <w:sz w:val="24"/>
          <w:szCs w:val="24"/>
          <w:highlight w:val="none"/>
          <w:u w:val="single"/>
          <w:lang w:val="en-US" w:eastAsia="zh-CN"/>
        </w:rPr>
        <w:t>总价</w:t>
      </w:r>
      <w:r>
        <w:rPr>
          <w:rFonts w:hint="eastAsia" w:ascii="宋体" w:hAnsi="宋体" w:eastAsia="宋体" w:cs="宋体"/>
          <w:color w:val="auto"/>
          <w:sz w:val="24"/>
          <w:szCs w:val="24"/>
          <w:highlight w:val="none"/>
          <w:lang w:val="en-US" w:eastAsia="zh-CN"/>
        </w:rPr>
        <w:t>作为价格评分的评审依据。</w:t>
      </w:r>
      <w:r>
        <w:rPr>
          <w:rFonts w:hint="eastAsia" w:ascii="宋体" w:hAnsi="宋体" w:eastAsia="宋体" w:cs="宋体"/>
          <w:color w:val="auto"/>
          <w:sz w:val="24"/>
          <w:szCs w:val="24"/>
          <w:highlight w:val="none"/>
        </w:rPr>
        <w:t>即</w:t>
      </w:r>
      <w:r>
        <w:rPr>
          <w:rFonts w:hint="eastAsia" w:ascii="宋体" w:hAnsi="宋体" w:cs="宋体"/>
          <w:color w:val="auto"/>
          <w:sz w:val="24"/>
          <w:szCs w:val="24"/>
          <w:highlight w:val="none"/>
          <w:lang w:val="en-US" w:eastAsia="zh-CN"/>
        </w:rPr>
        <w:t>金额</w:t>
      </w:r>
      <w:r>
        <w:rPr>
          <w:rFonts w:hint="eastAsia" w:ascii="宋体" w:hAnsi="宋体" w:eastAsia="宋体" w:cs="宋体"/>
          <w:color w:val="auto"/>
          <w:sz w:val="24"/>
          <w:szCs w:val="24"/>
          <w:highlight w:val="none"/>
        </w:rPr>
        <w:t>最低的为</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基准折扣，其价格分为满分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分。其他供应商的价格分统一按照下列</w:t>
      </w:r>
      <w:r>
        <w:rPr>
          <w:rFonts w:hint="eastAsia" w:ascii="宋体" w:hAnsi="宋体" w:eastAsia="宋体" w:cs="宋体"/>
          <w:color w:val="auto"/>
          <w:sz w:val="24"/>
          <w:szCs w:val="24"/>
          <w:highlight w:val="none"/>
          <w:lang w:val="en-US" w:eastAsia="zh-CN"/>
        </w:rPr>
        <w:t>公式</w:t>
      </w:r>
      <w:r>
        <w:rPr>
          <w:rFonts w:hint="eastAsia" w:ascii="宋体" w:hAnsi="宋体" w:eastAsia="宋体" w:cs="宋体"/>
          <w:color w:val="auto"/>
          <w:sz w:val="24"/>
          <w:szCs w:val="24"/>
          <w:highlight w:val="none"/>
        </w:rPr>
        <w:t xml:space="preserve">计算： </w:t>
      </w:r>
    </w:p>
    <w:p w14:paraId="3A1BA8E2">
      <w:pPr>
        <w:pStyle w:val="1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报价得分＝（</w:t>
      </w:r>
      <w:r>
        <w:rPr>
          <w:rFonts w:hint="eastAsia" w:ascii="宋体" w:hAnsi="宋体" w:cs="宋体"/>
          <w:color w:val="auto"/>
          <w:sz w:val="24"/>
          <w:szCs w:val="24"/>
          <w:highlight w:val="none"/>
          <w:lang w:val="en-US" w:eastAsia="zh-CN"/>
        </w:rPr>
        <w:t>所有报价中最低价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单个供应商报价</w:t>
      </w:r>
      <w:r>
        <w:rPr>
          <w:rFonts w:hint="eastAsia" w:ascii="宋体" w:hAnsi="宋体" w:eastAsia="宋体" w:cs="宋体"/>
          <w:color w:val="auto"/>
          <w:sz w:val="24"/>
          <w:szCs w:val="24"/>
          <w:highlight w:val="none"/>
        </w:rPr>
        <w:t>）×100%×</w:t>
      </w:r>
      <w:r>
        <w:rPr>
          <w:rFonts w:hint="eastAsia" w:ascii="宋体" w:hAnsi="宋体" w:cs="宋体"/>
          <w:color w:val="auto"/>
          <w:sz w:val="24"/>
          <w:szCs w:val="24"/>
          <w:highlight w:val="none"/>
          <w:lang w:val="en-US" w:eastAsia="zh-CN"/>
        </w:rPr>
        <w:t>20</w:t>
      </w:r>
    </w:p>
    <w:p w14:paraId="6F9C40BA">
      <w:pPr>
        <w:pStyle w:val="19"/>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p>
    <w:p w14:paraId="2702159D"/>
    <w:p w14:paraId="7C2BDA43"/>
    <w:p w14:paraId="684828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9414D1"/>
    <w:rsid w:val="04F42B49"/>
    <w:rsid w:val="05726DA2"/>
    <w:rsid w:val="062B0959"/>
    <w:rsid w:val="063B3638"/>
    <w:rsid w:val="08F14A19"/>
    <w:rsid w:val="10401C27"/>
    <w:rsid w:val="1081305B"/>
    <w:rsid w:val="10DC09D3"/>
    <w:rsid w:val="12F6543D"/>
    <w:rsid w:val="149414D1"/>
    <w:rsid w:val="176522C3"/>
    <w:rsid w:val="1BF12377"/>
    <w:rsid w:val="1C607288"/>
    <w:rsid w:val="22FA00AC"/>
    <w:rsid w:val="231161CE"/>
    <w:rsid w:val="263F45A6"/>
    <w:rsid w:val="2DF532D7"/>
    <w:rsid w:val="2FEF49C8"/>
    <w:rsid w:val="320B6956"/>
    <w:rsid w:val="33391BFE"/>
    <w:rsid w:val="33C875D3"/>
    <w:rsid w:val="3BC238A4"/>
    <w:rsid w:val="3CE143BF"/>
    <w:rsid w:val="408848DF"/>
    <w:rsid w:val="46A3725C"/>
    <w:rsid w:val="495C2C76"/>
    <w:rsid w:val="4F225FB1"/>
    <w:rsid w:val="521F5187"/>
    <w:rsid w:val="52392D6D"/>
    <w:rsid w:val="539354E6"/>
    <w:rsid w:val="55594C6A"/>
    <w:rsid w:val="56237528"/>
    <w:rsid w:val="580012C3"/>
    <w:rsid w:val="5B6E0452"/>
    <w:rsid w:val="5C9C18B0"/>
    <w:rsid w:val="5E7742CA"/>
    <w:rsid w:val="5FD300A1"/>
    <w:rsid w:val="606F72DB"/>
    <w:rsid w:val="608B39BA"/>
    <w:rsid w:val="60AD3AF8"/>
    <w:rsid w:val="6139713B"/>
    <w:rsid w:val="626A0AFC"/>
    <w:rsid w:val="6BBF45AB"/>
    <w:rsid w:val="725140CD"/>
    <w:rsid w:val="72E90827"/>
    <w:rsid w:val="7521427B"/>
    <w:rsid w:val="78D73073"/>
    <w:rsid w:val="79B648E3"/>
    <w:rsid w:val="7DC533FE"/>
    <w:rsid w:val="7FB47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宋体" w:cs="Times New Roman"/>
      <w:sz w:val="24"/>
      <w:szCs w:val="21"/>
      <w:lang w:val="en-US" w:eastAsia="zh-CN" w:bidi="ar-SA"/>
    </w:rPr>
  </w:style>
  <w:style w:type="paragraph" w:styleId="2">
    <w:name w:val="heading 1"/>
    <w:basedOn w:val="1"/>
    <w:next w:val="1"/>
    <w:qFormat/>
    <w:uiPriority w:val="0"/>
    <w:pPr>
      <w:keepNext/>
      <w:widowControl/>
      <w:autoSpaceDE/>
      <w:autoSpaceDN/>
      <w:adjustRightInd/>
      <w:outlineLvl w:val="0"/>
    </w:pPr>
    <w:rPr>
      <w:b/>
      <w:bCs/>
      <w:szCs w:val="24"/>
      <w:lang w:val="zh-CN"/>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qFormat/>
    <w:uiPriority w:val="0"/>
    <w:pPr>
      <w:keepNext/>
      <w:keepLines/>
      <w:widowControl/>
      <w:autoSpaceDE/>
      <w:autoSpaceDN/>
      <w:adjustRightInd/>
      <w:spacing w:before="280" w:after="290" w:line="376" w:lineRule="auto"/>
      <w:outlineLvl w:val="3"/>
    </w:pPr>
    <w:rPr>
      <w:rFonts w:ascii="Arial" w:hAnsi="Arial" w:eastAsia="黑体"/>
      <w:b/>
      <w:bCs/>
      <w:sz w:val="28"/>
      <w:szCs w:val="28"/>
      <w:lang w:val="zh-CN"/>
    </w:rPr>
  </w:style>
  <w:style w:type="character" w:default="1" w:styleId="15">
    <w:name w:val="Default Paragraph Font"/>
    <w:autoRedefine/>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rPr>
      <w:sz w:val="20"/>
      <w:szCs w:val="20"/>
    </w:rPr>
  </w:style>
  <w:style w:type="paragraph" w:styleId="6">
    <w:name w:val="Body Text"/>
    <w:basedOn w:val="1"/>
    <w:qFormat/>
    <w:uiPriority w:val="0"/>
    <w:pPr>
      <w:spacing w:line="360" w:lineRule="auto"/>
    </w:pPr>
    <w:rPr>
      <w:szCs w:val="20"/>
    </w:rPr>
  </w:style>
  <w:style w:type="paragraph" w:styleId="7">
    <w:name w:val="Body Text Indent"/>
    <w:basedOn w:val="1"/>
    <w:next w:val="1"/>
    <w:qFormat/>
    <w:uiPriority w:val="0"/>
    <w:pPr>
      <w:ind w:firstLine="570"/>
    </w:pPr>
    <w:rPr>
      <w:rFonts w:ascii="宋体" w:hAnsi="宋体"/>
      <w:sz w:val="28"/>
      <w:szCs w:val="20"/>
    </w:rPr>
  </w:style>
  <w:style w:type="paragraph" w:styleId="8">
    <w:name w:val="Body Text Indent 2"/>
    <w:basedOn w:val="1"/>
    <w:qFormat/>
    <w:uiPriority w:val="99"/>
    <w:pPr>
      <w:spacing w:after="120" w:line="480" w:lineRule="auto"/>
      <w:ind w:left="420" w:leftChars="200"/>
    </w:pPr>
    <w:rPr>
      <w:rFonts w:ascii="Calibri" w:hAnsi="Calibri"/>
      <w:kern w:val="0"/>
      <w:sz w:val="20"/>
    </w:rPr>
  </w:style>
  <w:style w:type="paragraph" w:styleId="9">
    <w:name w:val="footer"/>
    <w:basedOn w:val="1"/>
    <w:qFormat/>
    <w:uiPriority w:val="0"/>
    <w:pPr>
      <w:tabs>
        <w:tab w:val="center" w:pos="4153"/>
        <w:tab w:val="right" w:pos="8306"/>
      </w:tabs>
      <w:snapToGrid w:val="0"/>
    </w:pPr>
    <w:rPr>
      <w:sz w:val="18"/>
      <w:szCs w:val="18"/>
      <w:lang w:val="zh-CN"/>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Indent 3"/>
    <w:basedOn w:val="1"/>
    <w:qFormat/>
    <w:uiPriority w:val="0"/>
    <w:pPr>
      <w:spacing w:line="360" w:lineRule="auto"/>
      <w:ind w:firstLine="420" w:firstLineChars="200"/>
    </w:pPr>
    <w:rPr>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7"/>
    <w:next w:val="8"/>
    <w:qFormat/>
    <w:uiPriority w:val="0"/>
    <w:pPr>
      <w:ind w:firstLine="420" w:firstLineChars="200"/>
    </w:pPr>
  </w:style>
  <w:style w:type="character" w:styleId="16">
    <w:name w:val="Strong"/>
    <w:basedOn w:val="15"/>
    <w:qFormat/>
    <w:uiPriority w:val="0"/>
    <w:rPr>
      <w:b/>
    </w:rPr>
  </w:style>
  <w:style w:type="character" w:styleId="17">
    <w:name w:val="page number"/>
    <w:basedOn w:val="15"/>
    <w:qFormat/>
    <w:uiPriority w:val="0"/>
  </w:style>
  <w:style w:type="paragraph" w:styleId="18">
    <w:name w:val="List Paragraph"/>
    <w:basedOn w:val="1"/>
    <w:qFormat/>
    <w:uiPriority w:val="99"/>
    <w:pPr>
      <w:autoSpaceDE/>
      <w:autoSpaceDN/>
      <w:adjustRightInd/>
      <w:ind w:firstLine="420" w:firstLineChars="200"/>
      <w:jc w:val="both"/>
    </w:pPr>
    <w:rPr>
      <w:rFonts w:eastAsia="黑体"/>
      <w:bCs/>
      <w:kern w:val="2"/>
      <w:sz w:val="30"/>
      <w:szCs w:val="30"/>
    </w:rPr>
  </w:style>
  <w:style w:type="paragraph" w:customStyle="1" w:styleId="19">
    <w:name w:val="_Style 3"/>
    <w:basedOn w:val="1"/>
    <w:qFormat/>
    <w:uiPriority w:val="0"/>
    <w:pPr>
      <w:ind w:firstLine="420" w:firstLineChars="200"/>
    </w:pPr>
    <w:rPr>
      <w:sz w:val="20"/>
    </w:rPr>
  </w:style>
  <w:style w:type="paragraph" w:customStyle="1" w:styleId="20">
    <w:name w:val="font5"/>
    <w:basedOn w:val="1"/>
    <w:qFormat/>
    <w:uiPriority w:val="0"/>
    <w:pPr>
      <w:widowControl/>
      <w:spacing w:before="100" w:beforeAutospacing="1" w:after="100" w:afterAutospacing="1"/>
      <w:jc w:val="left"/>
    </w:pPr>
    <w:rPr>
      <w:rFonts w:ascii="宋体" w:hAnsi="宋体"/>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1498</Words>
  <Characters>1527</Characters>
  <Lines>0</Lines>
  <Paragraphs>0</Paragraphs>
  <TotalTime>3</TotalTime>
  <ScaleCrop>false</ScaleCrop>
  <LinksUpToDate>false</LinksUpToDate>
  <CharactersWithSpaces>1529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2025-09-28T01:27:00Z</dcterms:created>
  <dc:creator>古皓</dc:creator>
  <cp:lastModifiedBy>Administrator</cp:lastModifiedBy>
  <dcterms:modified xsi:type="dcterms:W3CDTF">2026-06-10T01:13:16Z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DD355EBE1BEB49A59A7D6796712D4E82_13</vt:lpwstr>
  </property>
  <property fmtid="{D5CDD505-2E9C-101B-9397-08002B2CF9AE}" pid="4" name="KSOTemplateDocerSaveRecord">
    <vt:lpwstr>eyJoZGlkIjoiMzVlZmNmYzViMWU0NTU5YzUxZDNjM2YzMGY0ZDc0NzkiLCJ1c2VySWQiOiIzOTQ0MTcyODcifQ==</vt:lpwstr>
  </property>
</Properties>
</file>