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</w:t>
      </w:r>
      <w:bookmarkStart w:id="0" w:name="_GoBack"/>
      <w:bookmarkEnd w:id="0"/>
      <w:r>
        <w:rPr>
          <w:rFonts w:hint="eastAsia" w:ascii="宋体" w:hAnsi="华文细黑"/>
          <w:szCs w:val="21"/>
          <w:lang w:eastAsia="zh-CN"/>
        </w:rPr>
        <w:t xml:space="preserve"> 编号： </w:t>
      </w:r>
      <w:r>
        <w:rPr>
          <w:rFonts w:hint="eastAsia" w:ascii="宋体" w:hAnsi="华文细黑"/>
          <w:szCs w:val="21"/>
          <w:u w:val="single"/>
          <w:lang w:eastAsia="zh-CN"/>
        </w:rPr>
        <w:t>201</w:t>
      </w:r>
      <w:r>
        <w:rPr>
          <w:rFonts w:hint="eastAsia" w:ascii="宋体" w:hAnsi="华文细黑"/>
          <w:szCs w:val="21"/>
          <w:u w:val="single"/>
          <w:lang w:val="en-US" w:eastAsia="zh-CN"/>
        </w:rPr>
        <w:t>80413</w:t>
      </w:r>
      <w:r>
        <w:rPr>
          <w:rFonts w:hint="eastAsia" w:ascii="宋体" w:hAnsi="华文细黑"/>
          <w:szCs w:val="21"/>
          <w:u w:val="single"/>
          <w:lang w:eastAsia="zh-CN"/>
        </w:rPr>
        <w:t>-（试剂序号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6"/>
        <w:tblW w:w="10398" w:type="dxa"/>
        <w:tblInd w:w="-79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tabs>
          <w:tab w:val="left" w:pos="142"/>
        </w:tabs>
        <w:ind w:left="708" w:leftChars="-258" w:hanging="1276" w:hangingChars="709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            5. 提供公司所在区检察院出具的、通过“全国检察系统行贿犯罪档案查询”系统、近三年“无行贿犯罪记录”的证明；</w:t>
      </w:r>
    </w:p>
    <w:p>
      <w:pPr>
        <w:ind w:left="811" w:leftChars="246" w:hanging="270" w:hangingChars="15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</w:t>
      </w:r>
      <w:r>
        <w:rPr>
          <w:rFonts w:hint="eastAsia" w:ascii="宋体" w:hAnsi="宋体" w:cs="宋体"/>
          <w:sz w:val="21"/>
          <w:szCs w:val="21"/>
          <w:lang w:eastAsia="zh-CN"/>
        </w:rPr>
        <w:t>和</w:t>
      </w:r>
      <w:r>
        <w:rPr>
          <w:rFonts w:hint="eastAsia"/>
          <w:sz w:val="18"/>
          <w:szCs w:val="18"/>
          <w:lang w:eastAsia="zh-CN"/>
        </w:rPr>
        <w:t>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5"/>
          <w:rFonts w:hint="eastAsia"/>
          <w:sz w:val="18"/>
          <w:szCs w:val="18"/>
          <w:lang w:eastAsia="zh-CN"/>
        </w:rPr>
        <w:t>sumsjk@163.com</w:t>
      </w:r>
      <w:r>
        <w:rPr>
          <w:rStyle w:val="5"/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 xml:space="preserve"> </w:t>
      </w: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4F97D36"/>
    <w:rsid w:val="3190599C"/>
    <w:rsid w:val="58A154A3"/>
    <w:rsid w:val="67A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76</TotalTime>
  <ScaleCrop>false</ScaleCrop>
  <LinksUpToDate>false</LinksUpToDate>
  <CharactersWithSpaces>1140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yuyi</cp:lastModifiedBy>
  <cp:lastPrinted>2017-10-18T08:24:00Z</cp:lastPrinted>
  <dcterms:modified xsi:type="dcterms:W3CDTF">2018-04-11T01:23:40Z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