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bookmarkStart w:id="0" w:name="_GoBack"/>
      <w:r>
        <w:rPr>
          <w:rFonts w:hint="eastAsia" w:ascii="仿宋" w:hAnsi="仿宋" w:eastAsia="仿宋" w:cs="仿宋"/>
          <w:sz w:val="28"/>
          <w:szCs w:val="28"/>
        </w:rPr>
        <w:t>拟资助清单</w:t>
      </w:r>
      <w:bookmarkEnd w:id="0"/>
      <w:r>
        <w:rPr>
          <w:rFonts w:hint="eastAsia" w:ascii="仿宋" w:hAnsi="仿宋" w:eastAsia="仿宋" w:cs="仿宋"/>
          <w:sz w:val="28"/>
          <w:szCs w:val="28"/>
        </w:rPr>
        <w:t>（排名不分先后）</w:t>
      </w:r>
    </w:p>
    <w:tbl>
      <w:tblPr>
        <w:tblStyle w:val="2"/>
        <w:tblW w:w="8640" w:type="dxa"/>
        <w:tblInd w:w="93" w:type="dxa"/>
        <w:tblLayout w:type="autofit"/>
        <w:tblCellMar>
          <w:top w:w="0" w:type="dxa"/>
          <w:left w:w="108" w:type="dxa"/>
          <w:bottom w:w="0" w:type="dxa"/>
          <w:right w:w="108" w:type="dxa"/>
        </w:tblCellMar>
      </w:tblPr>
      <w:tblGrid>
        <w:gridCol w:w="997"/>
        <w:gridCol w:w="1130"/>
        <w:gridCol w:w="1130"/>
        <w:gridCol w:w="3371"/>
        <w:gridCol w:w="2012"/>
      </w:tblGrid>
      <w:tr>
        <w:tblPrEx>
          <w:tblCellMar>
            <w:top w:w="0" w:type="dxa"/>
            <w:left w:w="108" w:type="dxa"/>
            <w:bottom w:w="0" w:type="dxa"/>
            <w:right w:w="108" w:type="dxa"/>
          </w:tblCellMar>
        </w:tblPrEx>
        <w:trPr>
          <w:trHeight w:val="68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b/>
                <w:bCs/>
                <w:color w:val="000000"/>
                <w:sz w:val="22"/>
                <w:szCs w:val="22"/>
              </w:rPr>
            </w:pPr>
            <w:r>
              <w:rPr>
                <w:rFonts w:hint="eastAsia" w:ascii="仿宋" w:hAnsi="仿宋" w:eastAsia="仿宋" w:cs="仿宋"/>
                <w:b/>
                <w:bCs/>
                <w:color w:val="000000"/>
                <w:kern w:val="0"/>
                <w:sz w:val="22"/>
                <w:szCs w:val="22"/>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b/>
                <w:bCs/>
                <w:color w:val="000000"/>
                <w:sz w:val="22"/>
                <w:szCs w:val="22"/>
              </w:rPr>
            </w:pPr>
            <w:r>
              <w:rPr>
                <w:rFonts w:hint="eastAsia" w:ascii="仿宋" w:hAnsi="仿宋" w:eastAsia="仿宋" w:cs="仿宋"/>
                <w:b/>
                <w:bCs/>
                <w:color w:val="000000"/>
                <w:kern w:val="0"/>
                <w:sz w:val="22"/>
                <w:szCs w:val="22"/>
              </w:rPr>
              <w:t>项目负责人</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b/>
                <w:bCs/>
                <w:color w:val="000000"/>
                <w:sz w:val="22"/>
                <w:szCs w:val="22"/>
              </w:rPr>
            </w:pPr>
            <w:r>
              <w:rPr>
                <w:rFonts w:hint="eastAsia" w:ascii="仿宋" w:hAnsi="仿宋" w:eastAsia="仿宋" w:cs="仿宋"/>
                <w:b/>
                <w:bCs/>
                <w:color w:val="000000"/>
                <w:kern w:val="0"/>
                <w:sz w:val="22"/>
                <w:szCs w:val="22"/>
              </w:rPr>
              <w:t>科室</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b/>
                <w:bCs/>
                <w:color w:val="000000"/>
                <w:sz w:val="22"/>
                <w:szCs w:val="22"/>
              </w:rPr>
            </w:pPr>
            <w:r>
              <w:rPr>
                <w:rFonts w:hint="eastAsia" w:ascii="仿宋" w:hAnsi="仿宋" w:eastAsia="仿宋" w:cs="仿宋"/>
                <w:b/>
                <w:bCs/>
                <w:color w:val="000000"/>
                <w:kern w:val="0"/>
                <w:sz w:val="22"/>
                <w:szCs w:val="22"/>
              </w:rPr>
              <w:t>项目名称</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b/>
                <w:bCs/>
                <w:color w:val="000000"/>
                <w:sz w:val="22"/>
                <w:szCs w:val="22"/>
              </w:rPr>
            </w:pPr>
            <w:r>
              <w:rPr>
                <w:rFonts w:hint="eastAsia" w:ascii="仿宋" w:hAnsi="仿宋" w:eastAsia="仿宋" w:cs="仿宋"/>
                <w:b/>
                <w:bCs/>
                <w:color w:val="000000"/>
                <w:kern w:val="0"/>
                <w:sz w:val="22"/>
                <w:szCs w:val="22"/>
              </w:rPr>
              <w:t>类型</w:t>
            </w:r>
          </w:p>
        </w:tc>
      </w:tr>
      <w:tr>
        <w:tblPrEx>
          <w:tblCellMar>
            <w:top w:w="0" w:type="dxa"/>
            <w:left w:w="108" w:type="dxa"/>
            <w:bottom w:w="0" w:type="dxa"/>
            <w:right w:w="108" w:type="dxa"/>
          </w:tblCellMar>
        </w:tblPrEx>
        <w:trPr>
          <w:trHeight w:val="60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李雷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基础与转化医学研究中心</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肿瘤微环境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逸仙优秀青年科学基金</w:t>
            </w:r>
          </w:p>
        </w:tc>
      </w:tr>
      <w:tr>
        <w:tblPrEx>
          <w:tblCellMar>
            <w:top w:w="0" w:type="dxa"/>
            <w:left w:w="108" w:type="dxa"/>
            <w:bottom w:w="0" w:type="dxa"/>
            <w:right w:w="108" w:type="dxa"/>
          </w:tblCellMar>
        </w:tblPrEx>
        <w:trPr>
          <w:trHeight w:val="62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余运芳</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肿瘤内科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肿瘤大数据与人工智能</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逸仙优秀青年科学基金</w:t>
            </w:r>
          </w:p>
        </w:tc>
      </w:tr>
      <w:tr>
        <w:tblPrEx>
          <w:tblCellMar>
            <w:top w:w="0" w:type="dxa"/>
            <w:left w:w="108" w:type="dxa"/>
            <w:bottom w:w="0" w:type="dxa"/>
            <w:right w:w="108" w:type="dxa"/>
          </w:tblCellMar>
        </w:tblPrEx>
        <w:trPr>
          <w:trHeight w:val="92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周强华</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泌尿外科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APOC1通过调控CCL2募集肿瘤相关巨噬细胞促进前列腺癌骨转移的机制研究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逸仙优秀青年科学基金</w:t>
            </w:r>
          </w:p>
        </w:tc>
      </w:tr>
      <w:tr>
        <w:tblPrEx>
          <w:tblCellMar>
            <w:top w:w="0" w:type="dxa"/>
            <w:left w:w="108" w:type="dxa"/>
            <w:bottom w:w="0" w:type="dxa"/>
            <w:right w:w="108" w:type="dxa"/>
          </w:tblCellMar>
        </w:tblPrEx>
        <w:trPr>
          <w:trHeight w:val="70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林建子</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风湿内科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成肌细胞在类风湿关节炎肌少症与关节破坏中的作用机制研究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逸仙优秀青年科学基金</w:t>
            </w:r>
          </w:p>
        </w:tc>
      </w:tr>
      <w:tr>
        <w:tblPrEx>
          <w:tblCellMar>
            <w:top w:w="0" w:type="dxa"/>
            <w:left w:w="108" w:type="dxa"/>
            <w:bottom w:w="0" w:type="dxa"/>
            <w:right w:w="108" w:type="dxa"/>
          </w:tblCellMar>
        </w:tblPrEx>
        <w:trPr>
          <w:trHeight w:val="92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陶俊</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心血管外科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ELOVL4调控IL-33/ST2L信号轴在肥胖相关性心肌病中的作用和临床意义</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逸仙优秀青年科学基金</w:t>
            </w:r>
          </w:p>
        </w:tc>
      </w:tr>
      <w:tr>
        <w:tblPrEx>
          <w:tblCellMar>
            <w:top w:w="0" w:type="dxa"/>
            <w:left w:w="108" w:type="dxa"/>
            <w:bottom w:w="0" w:type="dxa"/>
            <w:right w:w="108" w:type="dxa"/>
          </w:tblCellMar>
        </w:tblPrEx>
        <w:trPr>
          <w:trHeight w:val="72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侯景义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骨外科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肩袖损伤的修复</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逸仙优秀青年科学基金</w:t>
            </w:r>
          </w:p>
        </w:tc>
      </w:tr>
      <w:tr>
        <w:tblPrEx>
          <w:tblCellMar>
            <w:top w:w="0" w:type="dxa"/>
            <w:left w:w="108" w:type="dxa"/>
            <w:bottom w:w="0" w:type="dxa"/>
            <w:right w:w="108" w:type="dxa"/>
          </w:tblCellMar>
        </w:tblPrEx>
        <w:trPr>
          <w:trHeight w:val="12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黄志权</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口腔科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基于多模态影像组学建立头颈鳞癌原位肿瘤对侧颈部淋巴结转移的人工智能诊断模型：前瞻性、观察性队列研究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人工智能培育项目</w:t>
            </w:r>
          </w:p>
        </w:tc>
      </w:tr>
      <w:tr>
        <w:tblPrEx>
          <w:tblCellMar>
            <w:top w:w="0" w:type="dxa"/>
            <w:left w:w="108" w:type="dxa"/>
            <w:bottom w:w="0" w:type="dxa"/>
            <w:right w:w="108" w:type="dxa"/>
          </w:tblCellMar>
        </w:tblPrEx>
        <w:trPr>
          <w:trHeight w:val="88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赵慧英</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基础与转化医学研究中心</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生物医学大数据平台在二型糖尿病并发症早期诊断中的示范应用</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人工智能培育项目</w:t>
            </w:r>
          </w:p>
        </w:tc>
      </w:tr>
      <w:tr>
        <w:tblPrEx>
          <w:tblCellMar>
            <w:top w:w="0" w:type="dxa"/>
            <w:left w:w="108" w:type="dxa"/>
            <w:bottom w:w="0" w:type="dxa"/>
            <w:right w:w="108" w:type="dxa"/>
          </w:tblCellMar>
        </w:tblPrEx>
        <w:trPr>
          <w:trHeight w:val="102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刘洁琼</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乳腺肿瘤中心</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基于影像组学及人工智能建立晚期三阴乳腺癌的免疫联合治疗疗效预测模型-多中心回顾性研究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人工智能培育项目</w:t>
            </w:r>
          </w:p>
        </w:tc>
      </w:tr>
      <w:tr>
        <w:tblPrEx>
          <w:tblCellMar>
            <w:top w:w="0" w:type="dxa"/>
            <w:left w:w="108" w:type="dxa"/>
            <w:bottom w:w="0" w:type="dxa"/>
            <w:right w:w="108" w:type="dxa"/>
          </w:tblCellMar>
        </w:tblPrEx>
        <w:trPr>
          <w:trHeight w:val="82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伍俊妍</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药学部</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基于人工智能的超说明书用药循证决策系统开发</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人工智能培育项目</w:t>
            </w:r>
          </w:p>
        </w:tc>
      </w:tr>
      <w:tr>
        <w:tblPrEx>
          <w:tblCellMar>
            <w:top w:w="0" w:type="dxa"/>
            <w:left w:w="108" w:type="dxa"/>
            <w:bottom w:w="0" w:type="dxa"/>
            <w:right w:w="108" w:type="dxa"/>
          </w:tblCellMar>
        </w:tblPrEx>
        <w:trPr>
          <w:trHeight w:val="78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莫颖倩</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风湿内科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干燥综合征病理诊断“金标准”的智能分析系统</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人工智能培育项目</w:t>
            </w:r>
          </w:p>
        </w:tc>
      </w:tr>
      <w:tr>
        <w:tblPrEx>
          <w:tblCellMar>
            <w:top w:w="0" w:type="dxa"/>
            <w:left w:w="108" w:type="dxa"/>
            <w:bottom w:w="0" w:type="dxa"/>
            <w:right w:w="108" w:type="dxa"/>
          </w:tblCellMar>
        </w:tblPrEx>
        <w:trPr>
          <w:trHeight w:val="9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蔡跃新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耳鼻喉科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基于深度学习构建外周性眩晕疾病诊断模型与耳石症自动复位系统研发</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医工融合培育专项</w:t>
            </w:r>
          </w:p>
        </w:tc>
      </w:tr>
      <w:tr>
        <w:trPr>
          <w:trHeight w:val="84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张锐</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胆胰外科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新型可降解生物材料胆道支架的构建与临床前期应用</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医工融合培育专项</w:t>
            </w:r>
          </w:p>
        </w:tc>
      </w:tr>
      <w:tr>
        <w:tblPrEx>
          <w:tblCellMar>
            <w:top w:w="0" w:type="dxa"/>
            <w:left w:w="108" w:type="dxa"/>
            <w:bottom w:w="0" w:type="dxa"/>
            <w:right w:w="108" w:type="dxa"/>
          </w:tblCellMar>
        </w:tblPrEx>
        <w:trPr>
          <w:trHeight w:val="90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杨正飞</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急诊科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面向室颤心电波形精准识别和除颤时机优化的智能诊断装置的设计与研发</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医工融合培育专项</w:t>
            </w:r>
          </w:p>
        </w:tc>
      </w:tr>
      <w:tr>
        <w:tblPrEx>
          <w:tblCellMar>
            <w:top w:w="0" w:type="dxa"/>
            <w:left w:w="108" w:type="dxa"/>
            <w:bottom w:w="0" w:type="dxa"/>
            <w:right w:w="108" w:type="dxa"/>
          </w:tblCellMar>
        </w:tblPrEx>
        <w:trPr>
          <w:trHeight w:val="78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陈样新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心血管内科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基于增强现实技术的全科慢病健康教育系统</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医工融合培育专项</w:t>
            </w:r>
          </w:p>
        </w:tc>
      </w:tr>
      <w:tr>
        <w:tblPrEx>
          <w:tblCellMar>
            <w:top w:w="0" w:type="dxa"/>
            <w:left w:w="108" w:type="dxa"/>
            <w:bottom w:w="0" w:type="dxa"/>
            <w:right w:w="108" w:type="dxa"/>
          </w:tblCellMar>
        </w:tblPrEx>
        <w:trPr>
          <w:trHeight w:val="760"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曾钢</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骨外科</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3D打印个性化全距骨人工假体的安全性和有效性研究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医工融合培育专项</w:t>
            </w:r>
          </w:p>
        </w:tc>
      </w:tr>
      <w:tr>
        <w:tblPrEx>
          <w:tblCellMar>
            <w:top w:w="0" w:type="dxa"/>
            <w:left w:w="108" w:type="dxa"/>
            <w:bottom w:w="0" w:type="dxa"/>
            <w:right w:w="108" w:type="dxa"/>
          </w:tblCellMar>
        </w:tblPrEx>
        <w:trPr>
          <w:trHeight w:val="76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17</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杨睿</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骨外科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增强无结双排技术与传统缝线桥技术治疗全层肩袖损伤术后肩关节功能及再撕裂率前瞻、多中心、随机对照研究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102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增强无结双排技术治疗全层肩袖损伤术后功能及愈合率前瞻性研究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110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刘强</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乳腺肿瘤中心</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循环肿瘤DNA指导下的非病理完全缓解的三阴乳腺癌患者新辅助治疗后加强辅助治疗的多中心临床研究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rPr>
          <w:trHeight w:val="86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金亮</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循环肿瘤DNA鉴别高复发风险三阴型乳腺癌的多中心临床研究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84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19</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韩方海</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胃肠外科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腹腔镜近端胃切除食管胃双肌瓣吻合（double-flap）对比全胃切除食管空肠Roux-en-Y吻合治疗早期近端胃癌的多中心随机对照研究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80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杨斌</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机器人辅助近端胃切除双肌瓣（double flap）吻合术治疗早期近端胃癌的可行性和安全性分析：一项II期多中心单臂研究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120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刘超</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胆胰外科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HAIC联合靶免药物降期治疗下扩展肝癌肝移植米兰标准的前瞻性、单臂临床研究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114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许磊波</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PD1术前用于超米兰标准肝癌肝移植安全性和有效性的前瞻性、单臂临床研究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126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陈样新</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心血管内科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长期低剂量秋水仙碱治疗腹主动脉瘤的有效性和安全性的多中心、随机对照、开放、优效性临床试验</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98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林茂欢</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腹主动脉瘤患者短期瘤体扩张进展代谢特征分析</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78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黄晓波</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乳腺肿瘤中心</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基于RecurIndex风险预测的pT1-2N1M0乳腺癌术后放疗对比免除区域淋巴结放疗的多中心、开放、随机对照 III 期临床研究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94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谭玉婷</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结合RecurIndex风险预测的pT1-2N1M0乳腺癌术后免除区域淋巴结放疗的多中心、前瞻性、观察性临床研究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940"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徐明彤</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内分泌内科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标准方案联用他汀对比标准方案治疗中重度Graves眼病疗效与安全性的多中心RCT研究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78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24</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汪颖</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乳腺肿瘤中心</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Disitamab Vedotin(DV)治疗激素受体阳性/HER2低表达转移性乳腺癌的III期随机对照临床研究(the Rosy trial)</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81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丁林潇潇</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采用PRO量表评估不同治疗方案对HER-2低表达转移性乳腺癌患者生活质量与心理状况的影响</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blPrEx>
          <w:tblCellMar>
            <w:top w:w="0" w:type="dxa"/>
            <w:left w:w="108" w:type="dxa"/>
            <w:bottom w:w="0" w:type="dxa"/>
            <w:right w:w="108" w:type="dxa"/>
          </w:tblCellMar>
        </w:tblPrEx>
        <w:trPr>
          <w:trHeight w:val="108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黄晓明</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耳鼻喉科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经口机器人内镜手术对比经鼻内镜手术治疗局部复发鼻咽癌的前瞻性、随机、对照、多中心临床研究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81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韩萍</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经口机器人内镜手术对比经鼻内镜手术治疗局部复发鼻咽癌的安全性、生活质量及近期疗效评价</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r>
        <w:trPr>
          <w:trHeight w:val="108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56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26</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容小明</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神经内科</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经皮耳迷走神经电刺激（taVNS）治疗头颈部肿瘤患者放射治疗后神经痛的多中心、随机、双盲对照试验</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临床研究5010专项（项目）</w:t>
            </w:r>
          </w:p>
        </w:tc>
      </w:tr>
      <w:tr>
        <w:tblPrEx>
          <w:tblCellMar>
            <w:top w:w="0" w:type="dxa"/>
            <w:left w:w="108" w:type="dxa"/>
            <w:bottom w:w="0" w:type="dxa"/>
            <w:right w:w="108" w:type="dxa"/>
          </w:tblCellMar>
        </w:tblPrEx>
        <w:trPr>
          <w:trHeight w:val="540"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560"/>
              <w:jc w:val="left"/>
              <w:rPr>
                <w:rFonts w:ascii="仿宋" w:hAnsi="仿宋" w:eastAsia="仿宋" w:cs="仿宋"/>
                <w:color w:val="000000"/>
                <w:sz w:val="22"/>
                <w:szCs w:val="22"/>
              </w:rPr>
            </w:pP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头颈部肿瘤放疗后神经痛的前瞻性队列研究</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left"/>
              <w:textAlignment w:val="auto"/>
              <w:rPr>
                <w:rFonts w:ascii="仿宋" w:hAnsi="仿宋" w:eastAsia="仿宋" w:cs="仿宋"/>
                <w:color w:val="000000"/>
                <w:sz w:val="22"/>
                <w:szCs w:val="22"/>
              </w:rPr>
            </w:pPr>
            <w:r>
              <w:rPr>
                <w:rFonts w:hint="eastAsia" w:ascii="仿宋" w:hAnsi="仿宋" w:eastAsia="仿宋" w:cs="仿宋"/>
                <w:color w:val="000000"/>
                <w:kern w:val="0"/>
                <w:sz w:val="22"/>
                <w:szCs w:val="22"/>
              </w:rPr>
              <w:t>临床研究5010专项（子课题）</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Dg5ZjhiMzFkOWE1NTAyZTEwZGFhMTBjMjZmNTEifQ=="/>
  </w:docVars>
  <w:rsids>
    <w:rsidRoot w:val="7FF336DF"/>
    <w:rsid w:val="7FF33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2022-05-16T08:34:00Z</dcterms:created>
  <dc:creator>huangrui</dc:creator>
  <cp:lastModifiedBy>huangrui</cp:lastModifiedBy>
  <dcterms:modified xsi:type="dcterms:W3CDTF">2022-05-16T08:34:57Z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EE0AEF065F804434BD4C607CA24E6F5C</vt:lpwstr>
  </property>
</Properties>
</file>