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360" w:lineRule="exact"/>
        <w:ind w:firstLine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附件：</w:t>
      </w:r>
    </w:p>
    <w:p>
      <w:pPr>
        <w:pStyle w:val="3"/>
        <w:adjustRightInd w:val="0"/>
        <w:snapToGrid w:val="0"/>
        <w:spacing w:line="360" w:lineRule="exact"/>
        <w:ind w:left="0"/>
      </w:pPr>
    </w:p>
    <w:p>
      <w:pPr>
        <w:spacing w:after="312" w:afterLines="100"/>
        <w:ind w:leftChars="-200" w:hanging="420" w:hangingChars="95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 xml:space="preserve">    </w:t>
      </w:r>
      <w:bookmarkStart w:id="0" w:name="_GoBack"/>
      <w:r>
        <w:rPr>
          <w:rFonts w:hint="eastAsia" w:ascii="宋体" w:hAnsi="宋体"/>
          <w:b/>
          <w:bCs/>
          <w:sz w:val="44"/>
        </w:rPr>
        <w:t>获取遴选文件报名登记表</w:t>
      </w:r>
      <w:bookmarkEnd w:id="0"/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>
              <w:rPr>
                <w:rFonts w:hint="eastAsia" w:hAnsi="宋体"/>
                <w:b/>
                <w:bCs/>
                <w:kern w:val="2"/>
                <w:szCs w:val="28"/>
              </w:rPr>
              <w:t>中山大学孙逸仙纪念医院公开遴选便民服务共享设施供应商项目</w:t>
            </w:r>
            <w:r>
              <w:rPr>
                <w:rFonts w:hint="eastAsia" w:hAnsi="宋体"/>
                <w:b/>
                <w:bCs/>
                <w:color w:val="0000FF"/>
                <w:kern w:val="2"/>
                <w:szCs w:val="28"/>
              </w:rPr>
              <w:t>/包号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供应商须按要求如实、详细地填写此表。如供应商填写的信息不详细或不实，由此引起的一切责任由供应商自行承担。</w:t>
      </w:r>
    </w:p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遴选效率，节约社会交易成本与时间，我院希望已报名并获取遴选文件而决定不参选本项目的供应商，在参选文件递交截止时间的前3日，按《遴选邀请函》中的联系方式，以电子邮件形式告知我院指定联系人。</w:t>
      </w:r>
    </w:p>
    <w:p>
      <w:pPr>
        <w:pStyle w:val="8"/>
        <w:ind w:firstLine="4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65660F7E"/>
    <w:rsid w:val="656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2022-07-13T04:53:00Z</dcterms:created>
  <dc:creator>小奀</dc:creator>
  <cp:lastModifiedBy>小奀</cp:lastModifiedBy>
  <dcterms:modified xsi:type="dcterms:W3CDTF">2022-07-13T04:54:14Z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42B3990A9722413CA85B843620D21295</vt:lpwstr>
  </property>
</Properties>
</file>