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公开采购</w:t>
      </w:r>
      <w: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项目编号：ZCB-20220</w:t>
      </w:r>
      <w:r>
        <w:rPr>
          <w:rFonts w:hint="eastAsia" w:ascii="方正仿宋简体" w:hAnsi="方正仿宋简体" w:eastAsia="方正仿宋简体" w:cs="方正仿宋简体"/>
          <w:b/>
          <w:bCs/>
          <w:sz w:val="28"/>
          <w:szCs w:val="28"/>
          <w:highlight w:val="none"/>
          <w:lang w:val="en-US" w:eastAsia="zh-CN"/>
        </w:rPr>
        <w:t>85</w:t>
      </w:r>
    </w:p>
    <w:p>
      <w:pPr>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sz w:val="28"/>
          <w:szCs w:val="28"/>
          <w:highlight w:val="none"/>
          <w:u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202</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-202</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5</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年公务车辆保险服务采购项目（第二次）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11</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22日</w:t>
      </w: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r>
        <w:rPr>
          <w:rFonts w:hint="eastAsia" w:ascii="华文中宋" w:hAnsi="华文中宋" w:eastAsia="华文中宋" w:cs="华文中宋"/>
          <w:b/>
          <w:bCs/>
          <w:color w:val="000000" w:themeColor="text1"/>
          <w:sz w:val="48"/>
          <w:szCs w:val="48"/>
          <w:highlight w:val="none"/>
          <w14:textFill>
            <w14:solidFill>
              <w14:schemeClr w14:val="tx1"/>
            </w14:solidFill>
          </w14:textFill>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themeColor="text1"/>
          <w:sz w:val="30"/>
          <w:szCs w:val="30"/>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TOC \o "1-1" \h \z \u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"_Toc417914517"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第一章  </w:t>
      </w:r>
      <w:r>
        <w:rPr>
          <w:rStyle w:val="24"/>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Style w:val="24"/>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"_Toc417914518"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第二章  </w:t>
      </w:r>
      <w:r>
        <w:rPr>
          <w:rStyle w:val="24"/>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用户</w:t>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需求书</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"_Toc417914519"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第三章  </w:t>
      </w:r>
      <w:r>
        <w:rPr>
          <w:rStyle w:val="24"/>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响应</w:t>
      </w:r>
      <w:r>
        <w:rPr>
          <w:rStyle w:val="24"/>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须知</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737285"/>
      <w:bookmarkStart w:id="1" w:name="_Toc50736465"/>
      <w:bookmarkStart w:id="2" w:name="_Toc50691018"/>
      <w:bookmarkStart w:id="3" w:name="_Toc50737317"/>
      <w:bookmarkStart w:id="4" w:name="_Toc385940868"/>
      <w:bookmarkStart w:id="5" w:name="_Toc76354913"/>
      <w:bookmarkStart w:id="6" w:name="_Toc385939527"/>
      <w:bookmarkStart w:id="7" w:name="_Toc417914517"/>
      <w:r>
        <w:rPr>
          <w:rFonts w:hint="eastAsia" w:ascii="微软雅黑" w:hAnsi="微软雅黑" w:eastAsia="微软雅黑" w:cs="微软雅黑"/>
          <w:color w:val="000000" w:themeColor="text1"/>
          <w:highlight w:val="none"/>
          <w14:textFill>
            <w14:solidFill>
              <w14:schemeClr w14:val="tx1"/>
            </w14:solidFill>
          </w14:textFill>
        </w:rPr>
        <w:t xml:space="preserve">第一章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采购</w:t>
      </w:r>
      <w:r>
        <w:rPr>
          <w:rFonts w:hint="eastAsia" w:ascii="微软雅黑" w:hAnsi="微软雅黑" w:eastAsia="微软雅黑" w:cs="微软雅黑"/>
          <w:color w:val="000000" w:themeColor="text1"/>
          <w:highlight w:val="none"/>
          <w14:textFill>
            <w14:solidFill>
              <w14:schemeClr w14:val="tx1"/>
            </w14:solidFill>
          </w14:textFill>
        </w:rPr>
        <w:t>邀</w:t>
      </w:r>
      <w:bookmarkEnd w:id="0"/>
      <w:bookmarkEnd w:id="1"/>
      <w:bookmarkEnd w:id="2"/>
      <w:bookmarkEnd w:id="3"/>
      <w:r>
        <w:rPr>
          <w:rFonts w:hint="eastAsia" w:ascii="微软雅黑" w:hAnsi="微软雅黑" w:eastAsia="微软雅黑" w:cs="微软雅黑"/>
          <w:color w:val="000000" w:themeColor="text1"/>
          <w:highlight w:val="none"/>
          <w14:textFill>
            <w14:solidFill>
              <w14:schemeClr w14:val="tx1"/>
            </w14:solidFill>
          </w14:textFill>
        </w:rPr>
        <w:t>请</w:t>
      </w:r>
      <w:bookmarkEnd w:id="4"/>
      <w:bookmarkEnd w:id="5"/>
      <w:bookmarkEnd w:id="6"/>
      <w:r>
        <w:rPr>
          <w:rFonts w:hint="eastAsia" w:ascii="微软雅黑" w:hAnsi="微软雅黑" w:eastAsia="微软雅黑" w:cs="微软雅黑"/>
          <w:color w:val="000000" w:themeColor="text1"/>
          <w:highlight w:val="none"/>
          <w14:textFill>
            <w14:solidFill>
              <w14:schemeClr w14:val="tx1"/>
            </w14:solidFill>
          </w14:textFill>
        </w:rPr>
        <w:t>函</w:t>
      </w:r>
      <w:bookmarkEnd w:id="7"/>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themeColor="text1"/>
          <w:kern w:val="44"/>
          <w:sz w:val="36"/>
          <w:szCs w:val="36"/>
          <w:highlight w:val="none"/>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t>采购</w:t>
      </w:r>
      <w:r>
        <w:rPr>
          <w:rFonts w:hint="eastAsia" w:ascii="宋体" w:hAnsi="宋体" w:cs="宋体"/>
          <w:b/>
          <w:bCs/>
          <w:color w:val="000000" w:themeColor="text1"/>
          <w:kern w:val="44"/>
          <w:sz w:val="36"/>
          <w:szCs w:val="36"/>
          <w:highlight w:val="none"/>
          <w14:textFill>
            <w14:solidFill>
              <w14:schemeClr w14:val="tx1"/>
            </w14:solidFill>
          </w14:textFill>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各</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中山大学孙逸仙纪念医院</w:t>
      </w:r>
      <w:r>
        <w:rPr>
          <w:rFonts w:hint="eastAsia" w:ascii="宋体" w:hAnsi="宋体" w:eastAsia="宋体" w:cs="宋体"/>
          <w:bCs/>
          <w:color w:val="000000" w:themeColor="text1"/>
          <w:sz w:val="24"/>
          <w:szCs w:val="24"/>
          <w:highlight w:val="none"/>
          <w14:textFill>
            <w14:solidFill>
              <w14:schemeClr w14:val="tx1"/>
            </w14:solidFill>
          </w14:textFill>
        </w:rPr>
        <w:t>（以下简称“</w:t>
      </w:r>
      <w:r>
        <w:rPr>
          <w:rFonts w:hint="eastAsia" w:ascii="宋体" w:hAnsi="宋体" w:eastAsia="宋体" w:cs="宋体"/>
          <w:bCs/>
          <w:color w:val="000000" w:themeColor="text1"/>
          <w:sz w:val="24"/>
          <w:szCs w:val="24"/>
          <w:highlight w:val="none"/>
          <w:lang w:eastAsia="zh-CN"/>
          <w14:textFill>
            <w14:solidFill>
              <w14:schemeClr w14:val="tx1"/>
            </w14:solidFill>
          </w14:textFill>
        </w:rPr>
        <w:t>我院</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依据我院的需求，现</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我院2023-2025年公务车辆保险服务采购项目</w:t>
      </w:r>
      <w:r>
        <w:rPr>
          <w:rFonts w:hint="eastAsia" w:ascii="宋体" w:hAnsi="宋体" w:eastAsia="宋体" w:cs="宋体"/>
          <w:bCs/>
          <w:color w:val="000000" w:themeColor="text1"/>
          <w:sz w:val="24"/>
          <w:szCs w:val="24"/>
          <w:highlight w:val="none"/>
          <w:lang w:eastAsia="zh-CN"/>
          <w14:textFill>
            <w14:solidFill>
              <w14:schemeClr w14:val="tx1"/>
            </w14:solidFill>
          </w14:textFill>
        </w:rPr>
        <w:t>公开挂网</w:t>
      </w:r>
      <w:r>
        <w:rPr>
          <w:rFonts w:hint="eastAsia" w:ascii="宋体" w:hAnsi="宋体" w:eastAsia="宋体" w:cs="宋体"/>
          <w:bCs/>
          <w:color w:val="000000" w:themeColor="text1"/>
          <w:sz w:val="24"/>
          <w:szCs w:val="24"/>
          <w:highlight w:val="none"/>
          <w14:textFill>
            <w14:solidFill>
              <w14:schemeClr w14:val="tx1"/>
            </w14:solidFill>
          </w14:textFill>
        </w:rPr>
        <w:t>采购，欢迎符合条件的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报名</w:t>
      </w:r>
      <w:r>
        <w:rPr>
          <w:rFonts w:hint="eastAsia" w:ascii="宋体" w:hAnsi="宋体" w:eastAsia="宋体" w:cs="宋体"/>
          <w:bCs/>
          <w:color w:val="000000" w:themeColor="text1"/>
          <w:sz w:val="24"/>
          <w:szCs w:val="24"/>
          <w:highlight w:val="none"/>
          <w14:textFill>
            <w14:solidFill>
              <w14:schemeClr w14:val="tx1"/>
            </w14:solidFill>
          </w14:textFill>
        </w:rPr>
        <w:t>人参加</w:t>
      </w:r>
      <w:r>
        <w:rPr>
          <w:rFonts w:hint="eastAsia" w:ascii="宋体" w:hAnsi="宋体" w:eastAsia="宋体" w:cs="宋体"/>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项目编号：ZCB-20220</w:t>
      </w:r>
      <w:r>
        <w:rPr>
          <w:rFonts w:hint="eastAsia" w:ascii="宋体" w:hAnsi="宋体" w:cs="宋体"/>
          <w:b/>
          <w:bCs w:val="0"/>
          <w:color w:val="000000" w:themeColor="text1"/>
          <w:sz w:val="24"/>
          <w:szCs w:val="24"/>
          <w:highlight w:val="none"/>
          <w:lang w:val="en-US" w:eastAsia="zh-CN"/>
          <w14:textFill>
            <w14:solidFill>
              <w14:schemeClr w14:val="tx1"/>
            </w14:solidFill>
          </w14:textFill>
        </w:rPr>
        <w:t>85</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项目名称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：中山大学孙逸仙纪念医院2023-2025年公务车辆保险服务采购项目（第二次）</w:t>
      </w:r>
      <w:r>
        <w:rPr>
          <w:rFonts w:hint="eastAsia" w:ascii="宋体" w:hAnsi="宋体" w:eastAsia="宋体" w:cs="宋体"/>
          <w:b/>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宋体" w:hAnsi="宋体" w:eastAsia="宋体" w:cs="宋体"/>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val="0"/>
          <w:color w:val="000000" w:themeColor="text1"/>
          <w:sz w:val="24"/>
          <w:szCs w:val="24"/>
          <w:highlight w:val="none"/>
          <w14:textFill>
            <w14:solidFill>
              <w14:schemeClr w14:val="tx1"/>
            </w14:solidFill>
          </w14:textFill>
        </w:rPr>
        <w:t>内容及需求：</w:t>
      </w:r>
    </w:p>
    <w:tbl>
      <w:tblPr>
        <w:tblStyle w:val="20"/>
        <w:tblpPr w:leftFromText="180" w:rightFromText="180" w:vertAnchor="text" w:horzAnchor="page" w:tblpXSpec="center" w:tblpY="295"/>
        <w:tblOverlap w:val="never"/>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129"/>
        <w:gridCol w:w="247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20"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12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47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技术规格、参数及要求</w:t>
            </w:r>
          </w:p>
        </w:tc>
        <w:tc>
          <w:tcPr>
            <w:tcW w:w="245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2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中山大学孙逸仙纪念医院2023-2025年公务车辆保险服务采购项目（第二次）</w:t>
            </w:r>
          </w:p>
        </w:tc>
        <w:tc>
          <w:tcPr>
            <w:tcW w:w="112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详见附件1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文件第二部分用户需求书</w:t>
            </w:r>
          </w:p>
        </w:tc>
        <w:tc>
          <w:tcPr>
            <w:tcW w:w="245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eastAsia="宋体" w:cs="宋体"/>
                <w:color w:val="000000" w:themeColor="text1"/>
                <w:sz w:val="22"/>
                <w:szCs w:val="22"/>
                <w:highlight w:val="none"/>
                <w14:textFill>
                  <w14:solidFill>
                    <w14:schemeClr w14:val="tx1"/>
                  </w14:solidFill>
                </w14:textFill>
              </w:rPr>
              <w:t>294050.31</w:t>
            </w:r>
            <w:r>
              <w:rPr>
                <w:rFonts w:hint="eastAsia" w:ascii="宋体" w:hAnsi="宋体" w:eastAsia="宋体" w:cs="宋体"/>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详细技术规范请参阅采购文件中的“用户需求书”。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2、合同履行期限：</w:t>
      </w:r>
      <w:r>
        <w:rPr>
          <w:rFonts w:hint="eastAsia" w:hAnsi="宋体" w:cs="宋体"/>
          <w:color w:val="000000" w:themeColor="text1"/>
          <w:sz w:val="24"/>
          <w:szCs w:val="24"/>
          <w:highlight w:val="none"/>
          <w:lang w:val="en-US" w:eastAsia="zh-CN"/>
          <w14:textFill>
            <w14:solidFill>
              <w14:schemeClr w14:val="tx1"/>
            </w14:solidFill>
          </w14:textFill>
        </w:rPr>
        <w:t>2023年1月-2025年12月。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hAnsi="宋体" w:cs="宋体"/>
          <w:color w:val="000000" w:themeColor="text1"/>
          <w:sz w:val="24"/>
          <w:szCs w:val="24"/>
          <w:highlight w:val="none"/>
          <w:lang w:val="en-US" w:eastAsia="zh-CN"/>
          <w14:textFill>
            <w14:solidFill>
              <w14:schemeClr w14:val="tx1"/>
            </w14:solidFill>
          </w14:textFill>
        </w:rPr>
        <w:t>服务对象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院方参保车辆共22辆，具体清单见附件1采购文件。</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本项目不接受联合体响应，</w:t>
      </w:r>
      <w:r>
        <w:rPr>
          <w:rFonts w:hint="eastAsia"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不得分包、转包。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000000"/>
          <w:spacing w:val="0"/>
          <w:sz w:val="24"/>
          <w:szCs w:val="24"/>
          <w:u w:val="none"/>
          <w:vertAlign w:val="baseline"/>
          <w:lang w:val="en-US" w:eastAsia="zh-CN"/>
        </w:rPr>
        <w:t>四</w:t>
      </w:r>
      <w:r>
        <w:rPr>
          <w:rStyle w:val="23"/>
          <w:rFonts w:hint="eastAsia" w:ascii="宋体" w:hAnsi="宋体" w:eastAsia="宋体" w:cs="宋体"/>
          <w:b/>
          <w:bCs/>
          <w:i w:val="0"/>
          <w:iCs w:val="0"/>
          <w:caps w:val="0"/>
          <w:color w:val="000000"/>
          <w:spacing w:val="0"/>
          <w:sz w:val="24"/>
          <w:szCs w:val="24"/>
          <w:u w:val="none"/>
          <w:vertAlign w:val="baseline"/>
        </w:rPr>
        <w:t>、提供资料相关事项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3"/>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3"/>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邮件主题：车辆保险服务采购项目-某某公司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报名截止时间：2022年11月</w:t>
      </w:r>
      <w:r>
        <w:rPr>
          <w:rFonts w:hint="eastAsia" w:ascii="宋体" w:hAnsi="宋体" w:cs="宋体"/>
          <w:i w:val="0"/>
          <w:iCs w:val="0"/>
          <w:caps w:val="0"/>
          <w:color w:val="000000"/>
          <w:spacing w:val="0"/>
          <w:sz w:val="24"/>
          <w:szCs w:val="24"/>
          <w:u w:val="none"/>
          <w:vertAlign w:val="baseline"/>
          <w:lang w:val="en-US" w:eastAsia="zh-CN"/>
        </w:rPr>
        <w:t>28</w:t>
      </w:r>
      <w:r>
        <w:rPr>
          <w:rFonts w:hint="default" w:ascii="宋体" w:hAnsi="宋体" w:eastAsia="宋体" w:cs="宋体"/>
          <w:i w:val="0"/>
          <w:iCs w:val="0"/>
          <w:caps w:val="0"/>
          <w:color w:val="000000"/>
          <w:spacing w:val="0"/>
          <w:sz w:val="24"/>
          <w:szCs w:val="24"/>
          <w:u w:val="none"/>
          <w:vertAlign w:val="baseline"/>
        </w:rPr>
        <w:t>日下午17:00，以邮件接收时间为准，超时视为无效报名。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i w:val="0"/>
          <w:iCs w:val="0"/>
          <w:caps w:val="0"/>
          <w:color w:val="FF0000"/>
          <w:spacing w:val="0"/>
          <w:sz w:val="24"/>
          <w:szCs w:val="24"/>
          <w:u w:val="none"/>
          <w:vertAlign w:val="baseline"/>
          <w:lang w:val="en-US" w:eastAsia="zh-CN"/>
        </w:rPr>
        <w:t>5</w:t>
      </w:r>
      <w:r>
        <w:rPr>
          <w:rStyle w:val="23"/>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shd w:val="clear" w:fill="FFFFFF"/>
        </w:rPr>
        <w:t>报名资料打印出来盖章后，</w:t>
      </w:r>
      <w:r>
        <w:rPr>
          <w:rFonts w:hint="eastAsia" w:ascii="宋体" w:hAnsi="宋体" w:eastAsia="宋体" w:cs="宋体"/>
          <w:i w:val="0"/>
          <w:iCs w:val="0"/>
          <w:caps w:val="0"/>
          <w:color w:val="FF0000"/>
          <w:spacing w:val="0"/>
          <w:sz w:val="24"/>
          <w:szCs w:val="24"/>
          <w:u w:val="none"/>
          <w:vertAlign w:val="baseline"/>
        </w:rPr>
        <w:t>扫描成PDF版，各报名供应商应确保所提供报名资料一定要真实、完整、清晰可辨，报名资料模糊不清、难以辨认，视为未提供处理，由此造成报名不成功、不能进入评审环节等严重后果由供应商自行负责。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供应商资质要求</w:t>
      </w:r>
      <w:r>
        <w:rPr>
          <w:rFonts w:hint="eastAsia" w:hAnsi="宋体" w:cs="宋体"/>
          <w:b/>
          <w:bCs/>
          <w:color w:val="000000" w:themeColor="text1"/>
          <w:sz w:val="24"/>
          <w:szCs w:val="24"/>
          <w:highlight w:val="none"/>
          <w:lang w:val="en-US" w:eastAsia="zh-CN"/>
          <w14:textFill>
            <w14:solidFill>
              <w14:schemeClr w14:val="tx1"/>
            </w14:solidFill>
          </w14:textFill>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被“信用中国”网站列入失信被执行人和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lang w:eastAsia="zh-CN"/>
          <w14:textFill>
            <w14:solidFill>
              <w14:schemeClr w14:val="tx1"/>
            </w14:solidFill>
          </w14:textFill>
        </w:rPr>
        <w:t>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的授权书原件</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注：供应商若不能同时满足以上条件则视为</w:t>
      </w:r>
      <w:r>
        <w:rPr>
          <w:rFonts w:hint="eastAsia"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参与无效。（如发现提供虚假材料者，取消其参加评审资格）</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电话：020-81338019</w:t>
      </w:r>
      <w:r>
        <w:rPr>
          <w:rFonts w:hint="eastAsia"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电子邮箱：syxzcbgs02@163.com</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联系地址：广州市越秀区长堤大马路171号威力斯酒店907室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、响应文件提交的截止时间、地点：</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待定（根据医院工作安排通知报名成功的供应商）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w:t>
      </w:r>
      <w:r>
        <w:rPr>
          <w:rFonts w:hint="eastAsia" w:ascii="宋体" w:hAnsi="宋体" w:cs="宋体"/>
          <w:sz w:val="24"/>
          <w:szCs w:val="24"/>
          <w:highlight w:val="none"/>
          <w:u w:val="single"/>
          <w:lang w:val="en-US" w:eastAsia="zh-CN"/>
        </w:rPr>
        <w:t>六</w:t>
      </w:r>
      <w:r>
        <w:rPr>
          <w:rFonts w:hint="eastAsia" w:ascii="宋体" w:hAnsi="宋体" w:eastAsia="宋体" w:cs="宋体"/>
          <w:sz w:val="24"/>
          <w:szCs w:val="24"/>
          <w:highlight w:val="none"/>
          <w:u w:val="single"/>
        </w:rPr>
        <w:t>份（正本1份/副本</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份），具体要求详见格式《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应由响应人或其授权代表亲自送达，</w:t>
      </w:r>
      <w:r>
        <w:rPr>
          <w:rFonts w:hint="eastAsia" w:ascii="宋体" w:hAnsi="宋体" w:cs="宋体"/>
          <w:sz w:val="24"/>
          <w:szCs w:val="24"/>
          <w:highlight w:val="none"/>
          <w:u w:val="single"/>
          <w:lang w:val="en-US" w:eastAsia="zh-CN"/>
        </w:rPr>
        <w:t>疫情防控期间也可</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形式递交的响应文件。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九、评审会议时间、地点：待定（根据医院工作安排通知报名成功的供应商）</w:t>
      </w:r>
      <w:r>
        <w:rPr>
          <w:rFonts w:hint="eastAsia" w:ascii="宋体" w:hAnsi="宋体" w:eastAsia="宋体" w:cs="宋体"/>
          <w:b/>
          <w:bCs/>
          <w:color w:val="000000" w:themeColor="text1"/>
          <w:sz w:val="24"/>
          <w:szCs w:val="24"/>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温馨提醒：</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参加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lang w:eastAsia="zh-CN"/>
        </w:rPr>
        <w:t>评审会议供应商必须</w:t>
      </w:r>
      <w:r>
        <w:rPr>
          <w:rFonts w:hint="eastAsia" w:ascii="宋体" w:hAnsi="宋体" w:eastAsia="宋体" w:cs="宋体"/>
          <w:sz w:val="24"/>
          <w:szCs w:val="24"/>
          <w:highlight w:val="none"/>
        </w:rPr>
        <w:t>严格按照我院现行疫情防控要求，来访者需具备以下条件：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①无新冠肺炎症状及流行病学史；</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③有</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小时内核酸检测阴性结果（核酸有效期随疫情动态调整）</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lang w:val="en-US" w:eastAsia="zh-CN"/>
        </w:rPr>
        <w:t>在医院期间全程佩戴口罩；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lang w:val="en-US" w:eastAsia="zh-CN"/>
        </w:rPr>
        <w:t>⑤</w:t>
      </w:r>
      <w:r>
        <w:rPr>
          <w:rFonts w:hint="eastAsia" w:ascii="宋体" w:hAnsi="宋体" w:cs="宋体"/>
          <w:sz w:val="24"/>
          <w:szCs w:val="24"/>
          <w:highlight w:val="none"/>
          <w:u w:val="none"/>
          <w:lang w:val="en-US" w:eastAsia="zh-CN"/>
        </w:rPr>
        <w:t>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请配合医院工作人员并主动提供健康码、行程码、核酸检测等证明。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中山大学</w:t>
      </w:r>
      <w:r>
        <w:rPr>
          <w:rFonts w:hint="eastAsia" w:ascii="宋体" w:hAnsi="宋体" w:eastAsia="宋体" w:cs="宋体"/>
          <w:color w:val="000000" w:themeColor="text1"/>
          <w:sz w:val="24"/>
          <w:szCs w:val="24"/>
          <w:highlight w:val="none"/>
          <w:lang w:eastAsia="zh-CN"/>
          <w14:textFill>
            <w14:solidFill>
              <w14:schemeClr w14:val="tx1"/>
            </w14:solidFill>
          </w14:textFill>
        </w:rPr>
        <w:t>孙逸仙纪念医院</w:t>
      </w:r>
      <w:r>
        <w:rPr>
          <w:rFonts w:hint="eastAsia" w:ascii="宋体" w:hAnsi="宋体" w:eastAsia="宋体" w:cs="宋体"/>
          <w:color w:val="000000" w:themeColor="text1"/>
          <w:sz w:val="24"/>
          <w:szCs w:val="24"/>
          <w:highlight w:val="none"/>
          <w14:textFill>
            <w14:solidFill>
              <w14:schemeClr w14:val="tx1"/>
            </w14:solidFill>
          </w14:textFill>
        </w:rPr>
        <w:t xml:space="preserve">                                                                2022年</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737288"/>
      <w:bookmarkStart w:id="9" w:name="_Toc50737320"/>
      <w:bookmarkStart w:id="10" w:name="_Toc76354916"/>
      <w:bookmarkStart w:id="11" w:name="_Toc50691021"/>
      <w:bookmarkStart w:id="12" w:name="_Toc50736468"/>
      <w:bookmarkStart w:id="13" w:name="_Toc385939528"/>
      <w:bookmarkStart w:id="14" w:name="_Toc385940869"/>
      <w:bookmarkStart w:id="15" w:name="_Toc417914518"/>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1.</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人须对本项目所有标的物进行整体</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，任何只对其中一部分内容进行的</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都被视为无效</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.《用户需求书》中标注有“★”号的条款为不可负偏离条款，响应人要特别加以注意，必须对此作出一一响应。任一项未响应或不满足要求的，将导致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无效。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条款</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为重要条款要求，如不满足将导致严重扣分</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但不作为无效响应处理。</w:t>
      </w:r>
    </w:p>
    <w:p>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4.响应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人在响应详细内容中必须列出具体数值或作出具体承诺。如果</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人只注明“正偏离”或“无偏离”，将可能被视为“负偏离”，从而可能导致严重影响评分结果。</w:t>
      </w:r>
    </w:p>
    <w:p>
      <w:pPr>
        <w:keepNext w:val="0"/>
        <w:keepLines w:val="0"/>
        <w:widowControl/>
        <w:suppressLineNumbers w:val="0"/>
        <w:jc w:val="left"/>
        <w:rPr>
          <w:b/>
          <w:bCs/>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417914519"/>
      <w:bookmarkStart w:id="17" w:name="_Toc385940875"/>
      <w:bookmarkStart w:id="18" w:name="_Toc385939529"/>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采购项目内容：</w:t>
      </w:r>
    </w:p>
    <w:tbl>
      <w:tblPr>
        <w:tblStyle w:val="20"/>
        <w:tblpPr w:leftFromText="180" w:rightFromText="180" w:vertAnchor="text" w:horzAnchor="page" w:tblpXSpec="center" w:tblpY="295"/>
        <w:tblOverlap w:val="never"/>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24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76"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24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37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2023-2025年公务车辆保险服务采购项目</w:t>
            </w:r>
          </w:p>
        </w:tc>
        <w:tc>
          <w:tcPr>
            <w:tcW w:w="124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37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294050.31</w:t>
            </w:r>
            <w:r>
              <w:rPr>
                <w:rFonts w:hint="eastAsia" w:ascii="宋体" w:hAnsi="宋体" w:eastAsia="宋体" w:cs="宋体"/>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详细技术规范请参阅采购文件中的“用户需求书”。</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人必须对本项目的全部内容进行响应报价，如有缺漏或超出采购预算，将导致响应无效；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本项目不接受联合体响应，</w:t>
      </w:r>
      <w:r>
        <w:rPr>
          <w:rFonts w:hint="eastAsia" w:ascii="宋体" w:hAnsi="宋体" w:eastAsia="宋体" w:cs="宋体"/>
          <w:color w:val="000000" w:themeColor="text1"/>
          <w:sz w:val="24"/>
          <w:szCs w:val="24"/>
          <w:highlight w:val="none"/>
          <w:lang w:val="zh-TW"/>
          <w14:textFill>
            <w14:solidFill>
              <w14:schemeClr w14:val="tx1"/>
            </w14:solidFill>
          </w14:textFill>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cs="宋体"/>
          <w:b/>
          <w:color w:val="000000" w:themeColor="text1"/>
          <w:sz w:val="24"/>
          <w:szCs w:val="24"/>
          <w:highlight w:val="none"/>
          <w:lang w:val="en-US" w:eastAsia="zh-CN"/>
          <w14:textFill>
            <w14:solidFill>
              <w14:schemeClr w14:val="tx1"/>
            </w14:solidFill>
          </w14:textFill>
        </w:rPr>
        <w:t>采购范围</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1.本项目采购的保险服务需包括中山大学孙逸仙纪念医院</w:t>
      </w:r>
      <w:r>
        <w:rPr>
          <w:rFonts w:hint="eastAsia" w:ascii="宋体" w:hAnsi="宋体" w:cs="宋体"/>
          <w:color w:val="000000" w:themeColor="text1"/>
          <w:sz w:val="24"/>
          <w:szCs w:val="24"/>
          <w:highlight w:val="none"/>
          <w:lang w:val="en-US" w:eastAsia="zh-CN"/>
          <w14:textFill>
            <w14:solidFill>
              <w14:schemeClr w14:val="tx1"/>
            </w14:solidFill>
          </w14:textFill>
        </w:rPr>
        <w:t>直接管理</w:t>
      </w:r>
      <w:r>
        <w:rPr>
          <w:rFonts w:hint="eastAsia" w:ascii="宋体" w:hAnsi="宋体" w:eastAsia="宋体" w:cs="宋体"/>
          <w:color w:val="000000" w:themeColor="text1"/>
          <w:sz w:val="24"/>
          <w:szCs w:val="24"/>
          <w:highlight w:val="none"/>
          <w:lang w:val="zh-TW"/>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22台</w:t>
      </w:r>
      <w:r>
        <w:rPr>
          <w:rFonts w:hint="eastAsia" w:ascii="宋体" w:hAnsi="宋体" w:eastAsia="宋体" w:cs="宋体"/>
          <w:color w:val="000000" w:themeColor="text1"/>
          <w:sz w:val="24"/>
          <w:szCs w:val="24"/>
          <w:highlight w:val="none"/>
          <w:lang w:val="zh-TW"/>
          <w14:textFill>
            <w14:solidFill>
              <w14:schemeClr w14:val="tx1"/>
            </w14:solidFill>
          </w14:textFill>
        </w:rPr>
        <w:t>车辆（考虑到车辆</w:t>
      </w:r>
      <w:r>
        <w:rPr>
          <w:rFonts w:hint="eastAsia" w:ascii="宋体" w:hAnsi="宋体" w:cs="宋体"/>
          <w:b w:val="0"/>
          <w:bCs/>
          <w:color w:val="000000" w:themeColor="text1"/>
          <w:sz w:val="24"/>
          <w:szCs w:val="24"/>
          <w:highlight w:val="none"/>
          <w:lang w:val="en-US" w:eastAsia="zh-CN"/>
          <w14:textFill>
            <w14:solidFill>
              <w14:schemeClr w14:val="tx1"/>
            </w14:solidFill>
          </w14:textFill>
        </w:rPr>
        <w:t>增购</w:t>
      </w:r>
      <w:r>
        <w:rPr>
          <w:rFonts w:hint="eastAsia" w:ascii="宋体" w:hAnsi="宋体" w:eastAsia="宋体" w:cs="宋体"/>
          <w:color w:val="000000" w:themeColor="text1"/>
          <w:sz w:val="24"/>
          <w:szCs w:val="24"/>
          <w:highlight w:val="none"/>
          <w:lang w:val="zh-TW"/>
          <w14:textFill>
            <w14:solidFill>
              <w14:schemeClr w14:val="tx1"/>
            </w14:solidFill>
          </w14:textFill>
        </w:rPr>
        <w:t>、调拨和报废的情况变化，</w:t>
      </w:r>
      <w:bookmarkStart w:id="22" w:name="_GoBack"/>
      <w:bookmarkEnd w:id="22"/>
      <w:r>
        <w:rPr>
          <w:rFonts w:hint="eastAsia" w:ascii="宋体" w:hAnsi="宋体" w:eastAsia="宋体" w:cs="宋体"/>
          <w:color w:val="000000" w:themeColor="text1"/>
          <w:sz w:val="24"/>
          <w:szCs w:val="24"/>
          <w:highlight w:val="none"/>
          <w:lang w:val="zh-TW"/>
          <w14:textFill>
            <w14:solidFill>
              <w14:schemeClr w14:val="tx1"/>
            </w14:solidFill>
          </w14:textFill>
        </w:rPr>
        <w:t>最终的数量和车辆信息</w:t>
      </w:r>
      <w:r>
        <w:rPr>
          <w:rFonts w:hint="eastAsia" w:ascii="宋体" w:hAnsi="宋体" w:cs="宋体"/>
          <w:b w:val="0"/>
          <w:bCs/>
          <w:color w:val="000000" w:themeColor="text1"/>
          <w:sz w:val="24"/>
          <w:szCs w:val="24"/>
          <w:highlight w:val="none"/>
          <w:lang w:val="en-US" w:eastAsia="zh-CN"/>
          <w14:textFill>
            <w14:solidFill>
              <w14:schemeClr w14:val="tx1"/>
            </w14:solidFill>
          </w14:textFill>
        </w:rPr>
        <w:t>随实际增购、报废情况变动</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FF"/>
          <w:sz w:val="24"/>
          <w:szCs w:val="24"/>
          <w:highlight w:val="none"/>
          <w:lang w:val="zh-TW"/>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14:textFill>
            <w14:solidFill>
              <w14:schemeClr w14:val="tx1"/>
            </w14:solidFill>
          </w14:textFill>
        </w:rPr>
        <w:t>.响应供应商作为本次车辆保险统一采购选择的保险服务供应商，采购人在本合同有效期内在响应</w:t>
      </w:r>
      <w:r>
        <w:rPr>
          <w:rFonts w:hint="eastAsia" w:ascii="宋体" w:hAnsi="宋体" w:eastAsia="宋体" w:cs="宋体"/>
          <w:color w:val="auto"/>
          <w:sz w:val="24"/>
          <w:szCs w:val="24"/>
          <w:highlight w:val="none"/>
          <w:lang w:val="zh-TW"/>
        </w:rPr>
        <w:t>供应商出单承保，成交供应商根据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TW"/>
        </w:rPr>
        <w:t>选择投保的险种，</w:t>
      </w:r>
      <w:r>
        <w:rPr>
          <w:rFonts w:hint="eastAsia" w:ascii="宋体" w:hAnsi="宋体" w:cs="宋体"/>
          <w:color w:val="auto"/>
          <w:sz w:val="24"/>
          <w:szCs w:val="24"/>
          <w:highlight w:val="none"/>
          <w:lang w:val="en-US" w:eastAsia="zh-CN"/>
        </w:rPr>
        <w:t>依照</w:t>
      </w:r>
      <w:r>
        <w:rPr>
          <w:rFonts w:hint="eastAsia" w:ascii="宋体" w:hAnsi="宋体" w:eastAsia="宋体" w:cs="宋体"/>
          <w:color w:val="auto"/>
          <w:sz w:val="24"/>
          <w:szCs w:val="24"/>
          <w:highlight w:val="none"/>
          <w:lang w:val="zh-TW"/>
        </w:rPr>
        <w:t>中国银保监会</w:t>
      </w:r>
      <w:r>
        <w:rPr>
          <w:rFonts w:hint="eastAsia" w:ascii="宋体" w:hAnsi="宋体" w:cs="宋体"/>
          <w:color w:val="auto"/>
          <w:sz w:val="24"/>
          <w:szCs w:val="24"/>
          <w:highlight w:val="none"/>
          <w:lang w:val="zh-TW" w:eastAsia="zh-CN"/>
        </w:rPr>
        <w:t>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zh-TW"/>
        </w:rPr>
        <w:t>统一执行。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3.参保车辆明细</w:t>
      </w:r>
    </w:p>
    <w:tbl>
      <w:tblPr>
        <w:tblStyle w:val="20"/>
        <w:tblW w:w="9029" w:type="dxa"/>
        <w:jc w:val="center"/>
        <w:tblLayout w:type="fixed"/>
        <w:tblCellMar>
          <w:top w:w="0" w:type="dxa"/>
          <w:left w:w="108" w:type="dxa"/>
          <w:bottom w:w="0" w:type="dxa"/>
          <w:right w:w="108" w:type="dxa"/>
        </w:tblCellMar>
      </w:tblPr>
      <w:tblGrid>
        <w:gridCol w:w="670"/>
        <w:gridCol w:w="3195"/>
        <w:gridCol w:w="2119"/>
        <w:gridCol w:w="675"/>
        <w:gridCol w:w="1211"/>
        <w:gridCol w:w="1159"/>
      </w:tblGrid>
      <w:tr>
        <w:tblPrEx>
          <w:tblCellMar>
            <w:top w:w="0" w:type="dxa"/>
            <w:left w:w="108" w:type="dxa"/>
            <w:bottom w:w="0" w:type="dxa"/>
            <w:right w:w="108" w:type="dxa"/>
          </w:tblCellMar>
        </w:tblPrEx>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规格型号</w:t>
            </w:r>
          </w:p>
        </w:tc>
        <w:tc>
          <w:tcPr>
            <w:tcW w:w="2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车辆类型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座位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color w:val="000000"/>
                <w:sz w:val="18"/>
                <w:szCs w:val="18"/>
              </w:rPr>
              <w:t>车辆排量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L</w:t>
            </w:r>
            <w:r>
              <w:rPr>
                <w:rFonts w:hint="eastAsia" w:ascii="宋体" w:hAnsi="宋体" w:eastAsia="宋体" w:cs="宋体"/>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color w:val="000000"/>
                <w:sz w:val="18"/>
                <w:szCs w:val="18"/>
              </w:rPr>
              <w:t>购置时间</w:t>
            </w:r>
          </w:p>
        </w:tc>
      </w:tr>
      <w:tr>
        <w:tblPrEx>
          <w:tblCellMar>
            <w:top w:w="0" w:type="dxa"/>
            <w:left w:w="108" w:type="dxa"/>
            <w:bottom w:w="0" w:type="dxa"/>
            <w:right w:w="108" w:type="dxa"/>
          </w:tblCellMar>
        </w:tblPrEx>
        <w:trPr>
          <w:trHeight w:val="65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2009.3.30</w:t>
            </w:r>
          </w:p>
        </w:tc>
      </w:tr>
      <w:tr>
        <w:tblPrEx>
          <w:tblCellMar>
            <w:top w:w="0" w:type="dxa"/>
            <w:left w:w="108" w:type="dxa"/>
            <w:bottom w:w="0" w:type="dxa"/>
            <w:right w:w="108" w:type="dxa"/>
          </w:tblCellMar>
        </w:tblPrEx>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金杯SY6521G2S3BG/8236051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2.6930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丰田柯斯达SCT6702TRB53LE/8196095</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2.6940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别克SGM6520UYAA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小型普通客车（商务车）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2.3840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奔驰宾士北地牌ND5043XJH/27297931404038</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金龙XML5033XJH/E2R22599993</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2002.1.29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奔驰北地牌ND5040XJH-3H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金龙XMQ5140AXYL</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大型专用客车（乳腺普查车）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6.4940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金杯SY6521MS3BG/05156A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2010.9.13</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宇通牌ZK6860HB/G21YA800016</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5.2000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厦门金旅XML6101J13/A68LAA60089</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7.2550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2010.8.24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2021.8.27</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金龙XMQ6606DYD6D客车</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年底</w:t>
            </w:r>
            <w:r>
              <w:rPr>
                <w:rFonts w:hint="eastAsia" w:ascii="宋体" w:hAnsi="宋体" w:eastAsia="宋体" w:cs="宋体"/>
                <w:i w:val="0"/>
                <w:iCs w:val="0"/>
                <w:color w:val="000000"/>
                <w:kern w:val="0"/>
                <w:sz w:val="18"/>
                <w:szCs w:val="18"/>
                <w:u w:val="none"/>
                <w:lang w:val="en-US" w:eastAsia="zh-CN" w:bidi="ar"/>
              </w:rPr>
              <w:t>购置</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三、车辆保险内容</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2"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（一）投保险种、赔偿限额</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2、机动车商业险险种：</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（1）机动车损失险（按车辆价值购买）；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（2）机动车第三者责任险：每车每年保险金额100万元；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（3）车上人员责任险：保险金额5万元/座，以车辆行驶证核定座位数为准。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（二）保费费率</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机动车辆交通事故责任强制险按中国银保监会制定的《机动车交通事故责任强制保险费率方案》</w:t>
      </w:r>
      <w:r>
        <w:rPr>
          <w:rFonts w:hint="eastAsia" w:ascii="宋体" w:hAnsi="宋体" w:eastAsia="宋体" w:cs="宋体"/>
          <w:color w:val="000000" w:themeColor="text1"/>
          <w:sz w:val="24"/>
          <w:szCs w:val="24"/>
          <w:highlight w:val="none"/>
          <w:lang w:val="zh-TW"/>
          <w14:textFill>
            <w14:solidFill>
              <w14:schemeClr w14:val="tx1"/>
            </w14:solidFill>
          </w14:textFill>
        </w:rPr>
        <w:t>（以最新版本为准）</w:t>
      </w:r>
      <w:r>
        <w:rPr>
          <w:rFonts w:hint="eastAsia" w:ascii="宋体" w:hAnsi="宋体" w:cs="宋体"/>
          <w:b w:val="0"/>
          <w:bCs/>
          <w:color w:val="000000" w:themeColor="text1"/>
          <w:sz w:val="24"/>
          <w:szCs w:val="24"/>
          <w:highlight w:val="none"/>
          <w:lang w:val="en-US" w:eastAsia="zh-CN"/>
          <w14:textFill>
            <w14:solidFill>
              <w14:schemeClr w14:val="tx1"/>
            </w14:solidFill>
          </w14:textFill>
        </w:rPr>
        <w:t>统一执行。</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人对项目中汽车、特种车的商业保险按《中国保险行业协会机动车综合商业保险示范条款》、《中国保险行业协会特种车综合商业保险示范条款》（以最新版本为准）的规定执行，车辆保险价格=中国保险行业协会商业车险费率基准×无赔款优待系数（NCD级数）×自主定价系数。（注：具体费率基准以在中国银行保险监督管理委员会网站“在线服务-查询服务-商业车险示范条款及费率基准查询”栏目查询为准，NCD级数=出险次数-连续投保年限；根据全国联网的中保信平台反馈数据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（三）保险责任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default" w:ascii="宋体" w:hAnsi="宋体" w:cs="宋体"/>
          <w:b w:val="0"/>
          <w:bCs/>
          <w:color w:val="000000" w:themeColor="text1"/>
          <w:sz w:val="24"/>
          <w:szCs w:val="24"/>
          <w:highlight w:val="none"/>
          <w:lang w:val="en-US" w:eastAsia="zh-CN"/>
          <w14:textFill>
            <w14:solidFill>
              <w14:schemeClr w14:val="tx1"/>
            </w14:solidFill>
          </w14:textFill>
        </w:rPr>
        <w:t>在保险期限内，</w:t>
      </w:r>
      <w:r>
        <w:rPr>
          <w:rFonts w:hint="eastAsia" w:ascii="宋体" w:hAnsi="宋体" w:cs="宋体"/>
          <w:b w:val="0"/>
          <w:bCs/>
          <w:color w:val="000000" w:themeColor="text1"/>
          <w:sz w:val="24"/>
          <w:szCs w:val="24"/>
          <w:highlight w:val="none"/>
          <w:lang w:val="en-US" w:eastAsia="zh-CN"/>
          <w14:textFill>
            <w14:solidFill>
              <w14:schemeClr w14:val="tx1"/>
            </w14:solidFill>
          </w14:textFill>
        </w:rPr>
        <w:t>成交供应商</w:t>
      </w:r>
      <w:r>
        <w:rPr>
          <w:rFonts w:hint="default" w:ascii="宋体" w:hAnsi="宋体" w:cs="宋体"/>
          <w:b w:val="0"/>
          <w:bCs/>
          <w:color w:val="000000" w:themeColor="text1"/>
          <w:sz w:val="24"/>
          <w:szCs w:val="24"/>
          <w:highlight w:val="none"/>
          <w:lang w:val="en-US" w:eastAsia="zh-CN"/>
          <w14:textFill>
            <w14:solidFill>
              <w14:schemeClr w14:val="tx1"/>
            </w14:solidFill>
          </w14:textFill>
        </w:rPr>
        <w:t>根据</w:t>
      </w:r>
      <w:r>
        <w:rPr>
          <w:rFonts w:hint="eastAsia" w:ascii="宋体" w:hAnsi="宋体" w:cs="宋体"/>
          <w:b w:val="0"/>
          <w:bCs/>
          <w:color w:val="000000" w:themeColor="text1"/>
          <w:sz w:val="24"/>
          <w:szCs w:val="24"/>
          <w:highlight w:val="none"/>
          <w:lang w:val="en-US" w:eastAsia="zh-CN"/>
          <w14:textFill>
            <w14:solidFill>
              <w14:schemeClr w14:val="tx1"/>
            </w14:solidFill>
          </w14:textFill>
        </w:rPr>
        <w:t>采购人</w:t>
      </w:r>
      <w:r>
        <w:rPr>
          <w:rFonts w:hint="default" w:ascii="宋体" w:hAnsi="宋体" w:cs="宋体"/>
          <w:b w:val="0"/>
          <w:bCs/>
          <w:color w:val="000000" w:themeColor="text1"/>
          <w:sz w:val="24"/>
          <w:szCs w:val="24"/>
          <w:highlight w:val="none"/>
          <w:lang w:val="en-US" w:eastAsia="zh-CN"/>
          <w14:textFill>
            <w14:solidFill>
              <w14:schemeClr w14:val="tx1"/>
            </w14:solidFill>
          </w14:textFill>
        </w:rPr>
        <w:t>选择投保的险种，按照中国保险监督管理委员会批复条款所载明的保险责任承担赔偿。</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四、服务要求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1、成交供应商应设有24小时全天报案服务电话，并派专人受理索赔报案及便利的定损理赔等服务。</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成交供应商在接到采购人的出险报案后，广州市内（天河区、越秀区、荔湾区、海珠区、白云区）应30分钟时内赶到现场，郊区（黄埔区、番禺区、南沙区、增城区、从化区）60分钟内应赶到现场。如果采购人的参保车辆在广东省范围内（除广州市）出险，应在2小时内到达现场或由成交供应商出险地分支机构现场查勘、检验定损。</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3、经响应人查勘现场的轻微人伤案件，人伤损失在3000元以内的，查勘员能现场处理且解决费用支付，响应人给予确认赔付。</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参保车辆发生人伤事故时，且在明确事故责任后，成交供应商能提供伤者医疗跟踪、伤残鉴定等咨询服务，要求成交供应商至少安排一名人伤事故处理经验丰富的人员，专门负责全程跟进医疗核损服务和理赔事宜，并根据伤者病情前往探望、了解病情、核实费用，促进赔案快速、圆满解决。</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5、对于重大案件或发生纠纷的案件，成交供应商协助采购人处理事故，提供法律援助服务，避免不必要的损失。</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2" w:firstLineChars="175"/>
        <w:jc w:val="left"/>
        <w:textAlignment w:val="auto"/>
        <w:rPr>
          <w:rFonts w:hint="default" w:ascii="宋体" w:hAnsi="宋体" w:cs="宋体"/>
          <w:b/>
          <w:bCs w:val="0"/>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bCs w:val="0"/>
          <w:i w:val="0"/>
          <w:iCs w:val="0"/>
          <w:color w:val="000000" w:themeColor="text1"/>
          <w:sz w:val="24"/>
          <w:szCs w:val="24"/>
          <w:highlight w:val="none"/>
          <w:lang w:val="en-US" w:eastAsia="zh-CN"/>
          <w14:textFill>
            <w14:solidFill>
              <w14:schemeClr w14:val="tx1"/>
            </w14:solidFill>
          </w14:textFill>
        </w:rPr>
        <w:t>五、报价要求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1、机动车辆交通事故责任强制险按中国银保监会制定的《机动车交通事故责任强制保险费率方案》（以最新版本为准）统一执行，无需响应人报价。</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实际保费=中国保险行业协会商业车险费率基准（下简称“标准保费”）×无赔款优待系数（NCD系数）×自主定价系数，其中标准保费和无赔款优待系数（NCD系数）所包含的基准纯风险保费、交通违法系数等费率均参照中国保险行业协会拟定的费率基准（费率基准编号为F2015103）执行，因此无需对标准保费及无赔款优待系数（NCD系数），</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响应人仅需对机动车商业险的自主定价系数进行报价</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自主定价系数由各响应人自行报价，响应人可根据市场供求关系、客户车辆出险等情况确定自主定价系数。自主定价系数需在中国银行保险监督管理委员会确定范围之内，自主定价系数须为65%-100%之间的数值，且报价是固定唯一，不能为区间值（如：80%～90%），超出范围视为无效响应。</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、结算方式</w:t>
      </w:r>
    </w:p>
    <w:p>
      <w:pPr>
        <w:pStyle w:val="19"/>
        <w:keepNext w:val="0"/>
        <w:keepLines w:val="0"/>
        <w:pageBreakBefore w:val="0"/>
        <w:widowControl w:val="0"/>
        <w:numPr>
          <w:ilvl w:val="0"/>
          <w:numId w:val="3"/>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保险费以实际购买车辆数支付，经采购人确认后，成交方向采购人开具正式发票。采购人在收到发票的20个工作日内支付费用。</w:t>
      </w:r>
    </w:p>
    <w:p>
      <w:pPr>
        <w:pStyle w:val="19"/>
        <w:keepNext w:val="0"/>
        <w:keepLines w:val="0"/>
        <w:pageBreakBefore w:val="0"/>
        <w:widowControl w:val="0"/>
        <w:numPr>
          <w:ilvl w:val="0"/>
          <w:numId w:val="3"/>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在服务期内不超过合同总价的情况下，按实际发生金额进行结算，在服务期内结算总金额达到合同总价时合同终止，但成交人仍须按照“机动车交通事故责任强制保险”及“机动车辆商业保险”相关规定，在相应保险期间内承担保险责任。</w:t>
      </w:r>
    </w:p>
    <w:p>
      <w:pPr>
        <w:pStyle w:val="26"/>
        <w:keepNext w:val="0"/>
        <w:keepLines w:val="0"/>
        <w:pageBreakBefore w:val="0"/>
        <w:numPr>
          <w:ilvl w:val="0"/>
          <w:numId w:val="3"/>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付款方式：采用支票、银行汇付（含电汇）等形式。</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七、其他</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交供应商在实际服务时，若被发现提供的服务未能达到采购文件中的有关要求和响应文件的承诺，将按有关法规进行处罚，采购人将有权单方面中止合同的执行,并追究因成交供应商所提供的未达到所承诺准确率服务而产生的所有损失和责任。</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如因国家相关政策发生变化，应以最新的国家相关政策为准并进行执行，如因国家相关政策发生变化而导致本次项目的合同无法继续执行，采购人不承担任何责任，响应供应商自行承担由此带来的任何风险及后果。</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微软雅黑" w:hAnsi="微软雅黑" w:eastAsia="微软雅黑" w:cs="微软雅黑"/>
          <w:b w:val="0"/>
          <w:bCs w:val="0"/>
          <w:color w:val="auto"/>
          <w:sz w:val="24"/>
          <w:szCs w:val="24"/>
          <w:highlight w:val="none"/>
          <w:lang w:eastAsia="zh-CN"/>
        </w:rPr>
      </w:pPr>
    </w:p>
    <w:p>
      <w:pPr>
        <w:pStyle w:val="26"/>
        <w:ind w:left="0" w:leftChars="0" w:firstLine="0" w:firstLineChars="0"/>
        <w:rPr>
          <w:rFonts w:hint="eastAsia" w:ascii="微软雅黑" w:hAnsi="微软雅黑" w:eastAsia="微软雅黑" w:cs="微软雅黑"/>
          <w:color w:val="auto"/>
          <w:highlight w:val="none"/>
          <w:lang w:eastAsia="zh-CN"/>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rPr>
      </w:pPr>
    </w:p>
    <w:p>
      <w:pPr>
        <w:pStyle w:val="2"/>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both"/>
        <w:rPr>
          <w:rFonts w:hint="eastAsia"/>
        </w:rPr>
      </w:pPr>
    </w:p>
    <w:p>
      <w:pPr>
        <w:rPr>
          <w:rFonts w:hint="eastAsia"/>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须按本</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文件中提供的</w:t>
      </w:r>
      <w:r>
        <w:rPr>
          <w:rFonts w:hint="eastAsia" w:ascii="宋体" w:hAnsi="宋体" w:cs="宋体"/>
          <w:color w:val="000000" w:themeColor="text1"/>
          <w:sz w:val="24"/>
          <w:szCs w:val="24"/>
          <w:highlight w:val="none"/>
          <w:lang w:val="en-US" w:eastAsia="zh-CN"/>
          <w14:textFill>
            <w14:solidFill>
              <w14:schemeClr w14:val="tx1"/>
            </w14:solidFill>
          </w14:textFill>
        </w:rPr>
        <w:t>响应文件编制要求</w:t>
      </w:r>
      <w:r>
        <w:rPr>
          <w:rFonts w:hint="eastAsia" w:ascii="宋体" w:hAnsi="宋体" w:cs="宋体"/>
          <w:color w:val="000000" w:themeColor="text1"/>
          <w:sz w:val="24"/>
          <w:szCs w:val="24"/>
          <w:highlight w:val="none"/>
          <w14:textFill>
            <w14:solidFill>
              <w14:schemeClr w14:val="tx1"/>
            </w14:solidFill>
          </w14:textFill>
        </w:rPr>
        <w:t>（见</w:t>
      </w:r>
      <w:r>
        <w:rPr>
          <w:rFonts w:hint="eastAsia" w:ascii="宋体" w:hAnsi="宋体" w:cs="宋体"/>
          <w:color w:val="000000" w:themeColor="text1"/>
          <w:sz w:val="24"/>
          <w:szCs w:val="24"/>
          <w:highlight w:val="none"/>
          <w:lang w:val="en-US" w:eastAsia="zh-CN"/>
          <w14:textFill>
            <w14:solidFill>
              <w14:schemeClr w14:val="tx1"/>
            </w14:solidFill>
          </w14:textFill>
        </w:rPr>
        <w:t>第五章</w:t>
      </w:r>
      <w:r>
        <w:rPr>
          <w:rFonts w:hint="eastAsia" w:ascii="宋体" w:hAnsi="宋体" w:cs="宋体"/>
          <w:color w:val="000000" w:themeColor="text1"/>
          <w:sz w:val="24"/>
          <w:szCs w:val="24"/>
          <w:highlight w:val="none"/>
          <w14:textFill>
            <w14:solidFill>
              <w14:schemeClr w14:val="tx1"/>
            </w14:solidFill>
          </w14:textFill>
        </w:rPr>
        <w:t>）以A4版面统一编制</w:t>
      </w:r>
      <w:r>
        <w:rPr>
          <w:rFonts w:hint="eastAsia" w:ascii="宋体" w:hAnsi="宋体" w:eastAsia="宋体" w:cs="宋体"/>
          <w:color w:val="000000" w:themeColor="text1"/>
          <w:sz w:val="24"/>
          <w:szCs w:val="24"/>
          <w:highlight w:val="none"/>
          <w14:textFill>
            <w14:solidFill>
              <w14:schemeClr w14:val="tx1"/>
            </w14:solidFill>
          </w14:textFill>
        </w:rPr>
        <w:t>（每份内页须按顺序加注页码），以及按有关要求提供相关的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二、响应</w:t>
      </w:r>
      <w:r>
        <w:rPr>
          <w:rFonts w:hint="eastAsia" w:ascii="宋体" w:hAnsi="宋体" w:eastAsia="宋体" w:cs="宋体"/>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（一）响应</w:t>
      </w:r>
      <w:r>
        <w:rPr>
          <w:rFonts w:hint="eastAsia" w:ascii="宋体" w:hAnsi="宋体" w:eastAsia="宋体" w:cs="宋体"/>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应将纸质</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cs="宋体"/>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2.为方便在</w:t>
      </w:r>
      <w:r>
        <w:rPr>
          <w:rFonts w:hint="eastAsia"/>
          <w:b w:val="0"/>
          <w:bCs/>
          <w:color w:val="000000" w:themeColor="text1"/>
          <w:sz w:val="24"/>
          <w:szCs w:val="36"/>
          <w:highlight w:val="none"/>
          <w:lang w:val="en-US" w:eastAsia="zh-CN"/>
          <w14:textFill>
            <w14:solidFill>
              <w14:schemeClr w14:val="tx1"/>
            </w14:solidFill>
          </w14:textFill>
        </w:rPr>
        <w:t>采购评审会议</w:t>
      </w:r>
      <w:r>
        <w:rPr>
          <w:rFonts w:hint="eastAsia" w:ascii="宋体" w:hAnsi="宋体" w:cs="宋体"/>
          <w:b w:val="0"/>
          <w:bCs/>
          <w:color w:val="000000" w:themeColor="text1"/>
          <w:sz w:val="24"/>
          <w:szCs w:val="24"/>
          <w:highlight w:val="none"/>
          <w:lang w:val="en-US" w:eastAsia="zh-CN"/>
          <w14:textFill>
            <w14:solidFill>
              <w14:schemeClr w14:val="tx1"/>
            </w14:solidFill>
          </w14:textFill>
        </w:rPr>
        <w:t>时公开宣读报价，响应人应将《报价一览表》单独封装，信封封口处加盖公章，并在信封封面上按以下要求清楚标明：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3.响应人应编制响应文件</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正本一份和副本伍份</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，响应文件的副本可采用正本的复印件并加盖鲜章。若副本与正本不符，内容以正本为准。</w:t>
      </w:r>
    </w:p>
    <w:p>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对未经装订的响应文件可能发生的文件散落或缺损，由此产生的后果由</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承担。</w:t>
      </w:r>
    </w:p>
    <w:p>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响应文件的</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正本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及所有</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副本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的封面及骑缝均须加盖</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lang w:val="en-US" w:eastAsia="zh-CN"/>
          <w14:textFill>
            <w14:solidFill>
              <w14:schemeClr w14:val="tx1"/>
            </w14:solidFill>
          </w14:textFill>
        </w:rPr>
        <w:t>鲜章</w:t>
      </w:r>
      <w:r>
        <w:rPr>
          <w:rFonts w:hint="default"/>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14:textFill>
            <w14:solidFill>
              <w14:schemeClr w14:val="tx1"/>
            </w14:solidFill>
          </w14:textFill>
        </w:rPr>
        <w:t>对</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应当在响应文件提交截止时间前，将响应文件密封送达</w:t>
      </w:r>
      <w:r>
        <w:rPr>
          <w:rFonts w:hint="eastAsia" w:ascii="宋体" w:hAnsi="宋体" w:cs="宋体"/>
          <w:color w:val="000000" w:themeColor="text1"/>
          <w:sz w:val="24"/>
          <w:szCs w:val="24"/>
          <w:highlight w:val="none"/>
          <w:lang w:eastAsia="zh-CN"/>
          <w14:textFill>
            <w14:solidFill>
              <w14:schemeClr w14:val="tx1"/>
            </w14:solidFill>
          </w14:textFill>
        </w:rPr>
        <w:t>我院</w:t>
      </w:r>
      <w:r>
        <w:rPr>
          <w:rFonts w:hint="eastAsia" w:ascii="宋体" w:hAnsi="宋体" w:cs="宋体"/>
          <w:color w:val="000000" w:themeColor="text1"/>
          <w:sz w:val="24"/>
          <w:szCs w:val="24"/>
          <w:highlight w:val="none"/>
          <w14:textFill>
            <w14:solidFill>
              <w14:schemeClr w14:val="tx1"/>
            </w14:solidFill>
          </w14:textFill>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2.响应</w:t>
      </w:r>
      <w:r>
        <w:rPr>
          <w:rFonts w:hint="eastAsia" w:ascii="宋体" w:hAnsi="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val="en-US" w:eastAsia="zh-CN"/>
          <w14:textFill>
            <w14:solidFill>
              <w14:schemeClr w14:val="tx1"/>
            </w14:solidFill>
          </w14:textFill>
        </w:rPr>
        <w:t>递交</w:t>
      </w:r>
      <w:r>
        <w:rPr>
          <w:rFonts w:hint="eastAsia" w:ascii="宋体" w:hAnsi="宋体" w:cs="宋体"/>
          <w:color w:val="000000" w:themeColor="text1"/>
          <w:sz w:val="24"/>
          <w:szCs w:val="24"/>
          <w:highlight w:val="none"/>
          <w14:textFill>
            <w14:solidFill>
              <w14:schemeClr w14:val="tx1"/>
            </w14:solidFill>
          </w14:textFill>
        </w:rPr>
        <w:t>须由</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代表签名确认。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（三）响应</w:t>
      </w:r>
      <w:r>
        <w:rPr>
          <w:rFonts w:hint="eastAsia" w:ascii="宋体" w:hAnsi="宋体" w:cs="宋体"/>
          <w:b w:val="0"/>
          <w:bCs/>
          <w:color w:val="000000" w:themeColor="text1"/>
          <w:sz w:val="24"/>
          <w:szCs w:val="24"/>
          <w:highlight w:val="none"/>
          <w14:textFill>
            <w14:solidFill>
              <w14:schemeClr w14:val="tx1"/>
            </w14:solidFill>
          </w14:textFill>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截止时间前，可以对所递交的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文件进行补充、修改或者撤回，并</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通知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。补充、修改的内容应当按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要求签署、盖章，并作为</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lang w:eastAsia="zh-CN"/>
          <w14:textFill>
            <w14:solidFill>
              <w14:schemeClr w14:val="tx1"/>
            </w14:solidFill>
          </w14:textFill>
        </w:rPr>
        <w:t>截止</w:t>
      </w:r>
      <w:r>
        <w:rPr>
          <w:rFonts w:hint="eastAsia" w:ascii="宋体" w:hAnsi="宋体" w:cs="宋体"/>
          <w:color w:val="000000" w:themeColor="text1"/>
          <w:sz w:val="24"/>
          <w:szCs w:val="24"/>
          <w:highlight w:val="none"/>
          <w14:textFill>
            <w14:solidFill>
              <w14:schemeClr w14:val="tx1"/>
            </w14:solidFill>
          </w14:textFill>
        </w:rPr>
        <w:t>时间之后，</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不得对其</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邀请函》</w:t>
      </w:r>
      <w:r>
        <w:rPr>
          <w:rFonts w:hint="eastAsia" w:ascii="宋体" w:hAnsi="宋体" w:cs="宋体"/>
          <w:color w:val="000000" w:themeColor="text1"/>
          <w:sz w:val="24"/>
          <w:szCs w:val="24"/>
          <w:highlight w:val="none"/>
          <w:lang w:val="en-US" w:eastAsia="zh-CN"/>
          <w14:textFill>
            <w14:solidFill>
              <w14:schemeClr w14:val="tx1"/>
            </w14:solidFill>
          </w14:textFill>
        </w:rPr>
        <w:t>中规定外的响应文件递交形式</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所提交的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文件在</w:t>
      </w:r>
      <w:r>
        <w:rPr>
          <w:rFonts w:hint="eastAsia" w:ascii="宋体" w:hAnsi="宋体" w:cs="宋体"/>
          <w:color w:val="000000" w:themeColor="text1"/>
          <w:sz w:val="24"/>
          <w:szCs w:val="24"/>
          <w:highlight w:val="none"/>
          <w:lang w:val="en-US" w:eastAsia="zh-CN"/>
          <w14:textFill>
            <w14:solidFill>
              <w14:schemeClr w14:val="tx1"/>
            </w14:solidFill>
          </w14:textFill>
        </w:rPr>
        <w:t>采购评审会议</w:t>
      </w:r>
      <w:r>
        <w:rPr>
          <w:rFonts w:hint="eastAsia" w:ascii="宋体" w:hAnsi="宋体" w:cs="宋体"/>
          <w:color w:val="000000" w:themeColor="text1"/>
          <w:sz w:val="24"/>
          <w:szCs w:val="24"/>
          <w:highlight w:val="none"/>
          <w14:textFill>
            <w14:solidFill>
              <w14:schemeClr w14:val="tx1"/>
            </w14:solidFill>
          </w14:textFill>
        </w:rPr>
        <w:t>结束后，无论</w:t>
      </w:r>
      <w:r>
        <w:rPr>
          <w:rFonts w:hint="eastAsia" w:ascii="宋体" w:hAnsi="宋体" w:cs="宋体"/>
          <w:color w:val="000000" w:themeColor="text1"/>
          <w:sz w:val="24"/>
          <w:szCs w:val="24"/>
          <w:highlight w:val="none"/>
          <w:lang w:eastAsia="zh-CN"/>
          <w14:textFill>
            <w14:solidFill>
              <w14:schemeClr w14:val="tx1"/>
            </w14:solidFill>
          </w14:textFill>
        </w:rPr>
        <w:t>采购结果</w:t>
      </w:r>
      <w:r>
        <w:rPr>
          <w:rFonts w:hint="eastAsia" w:ascii="宋体" w:hAnsi="宋体" w:cs="宋体"/>
          <w:color w:val="000000" w:themeColor="text1"/>
          <w:sz w:val="24"/>
          <w:szCs w:val="24"/>
          <w:highlight w:val="none"/>
          <w14:textFill>
            <w14:solidFill>
              <w14:schemeClr w14:val="tx1"/>
            </w14:solidFill>
          </w14:textFill>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cs="宋体"/>
          <w:b w:val="0"/>
          <w:bCs/>
          <w:color w:val="000000" w:themeColor="text1"/>
          <w:sz w:val="24"/>
          <w:szCs w:val="24"/>
          <w:highlight w:val="none"/>
          <w14:textFill>
            <w14:solidFill>
              <w14:schemeClr w14:val="tx1"/>
            </w14:solidFill>
          </w14:textFill>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lang w:eastAsia="zh-CN"/>
          <w14:textFill>
            <w14:solidFill>
              <w14:schemeClr w14:val="tx1"/>
            </w14:solidFill>
          </w14:textFill>
        </w:rPr>
        <w:t>在参与</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响应文件提交</w:t>
      </w:r>
      <w:r>
        <w:rPr>
          <w:rFonts w:hint="eastAsia" w:ascii="宋体" w:hAnsi="宋体" w:cs="宋体"/>
          <w:b w:val="0"/>
          <w:bCs/>
          <w:color w:val="000000" w:themeColor="text1"/>
          <w:sz w:val="24"/>
          <w:szCs w:val="24"/>
          <w:highlight w:val="none"/>
          <w:lang w:eastAsia="zh-CN"/>
          <w14:textFill>
            <w14:solidFill>
              <w14:schemeClr w14:val="tx1"/>
            </w14:solidFill>
          </w14:textFill>
        </w:rPr>
        <w:t>截止时间后送达的或未送达指定地点的响应</w:t>
      </w:r>
      <w:r>
        <w:rPr>
          <w:rFonts w:hint="eastAsia" w:ascii="宋体" w:hAnsi="宋体" w:cs="宋体"/>
          <w:color w:val="000000" w:themeColor="text1"/>
          <w:sz w:val="24"/>
          <w:szCs w:val="24"/>
          <w:highlight w:val="none"/>
          <w:lang w:eastAsia="zh-CN"/>
          <w14:textFill>
            <w14:solidFill>
              <w14:schemeClr w14:val="tx1"/>
            </w14:solidFill>
          </w14:textFill>
        </w:rPr>
        <w:t>文件</w:t>
      </w:r>
      <w:r>
        <w:rPr>
          <w:rFonts w:hint="eastAsia" w:ascii="宋体" w:hAnsi="宋体" w:cs="宋体"/>
          <w:color w:val="000000" w:themeColor="text1"/>
          <w:sz w:val="24"/>
          <w:szCs w:val="24"/>
          <w:highlight w:val="none"/>
          <w:lang w:val="en-US" w:eastAsia="zh-CN"/>
          <w14:textFill>
            <w14:solidFill>
              <w14:schemeClr w14:val="tx1"/>
            </w14:solidFill>
          </w14:textFill>
        </w:rPr>
        <w:t>或响应</w:t>
      </w:r>
      <w:r>
        <w:rPr>
          <w:rFonts w:hint="eastAsia" w:ascii="宋体" w:hAnsi="宋体" w:cs="宋体"/>
          <w:color w:val="000000" w:themeColor="text1"/>
          <w:sz w:val="24"/>
          <w:szCs w:val="24"/>
          <w:highlight w:val="none"/>
          <w:lang w:eastAsia="zh-CN"/>
          <w14:textFill>
            <w14:solidFill>
              <w14:schemeClr w14:val="tx1"/>
            </w14:solidFill>
          </w14:textFill>
        </w:rPr>
        <w:t>文件未密封的，</w:t>
      </w:r>
      <w:r>
        <w:rPr>
          <w:rFonts w:hint="eastAsia" w:ascii="宋体" w:hAnsi="宋体" w:cs="宋体"/>
          <w:color w:val="000000" w:themeColor="text1"/>
          <w:sz w:val="24"/>
          <w:szCs w:val="24"/>
          <w:highlight w:val="none"/>
          <w:lang w:val="en-US" w:eastAsia="zh-CN"/>
          <w14:textFill>
            <w14:solidFill>
              <w14:schemeClr w14:val="tx1"/>
            </w14:solidFill>
          </w14:textFill>
        </w:rPr>
        <w:t>均</w:t>
      </w:r>
      <w:r>
        <w:rPr>
          <w:rFonts w:hint="eastAsia" w:ascii="宋体" w:hAnsi="宋体" w:cs="宋体"/>
          <w:color w:val="000000" w:themeColor="text1"/>
          <w:sz w:val="24"/>
          <w:szCs w:val="24"/>
          <w:highlight w:val="none"/>
          <w:lang w:eastAsia="zh-CN"/>
          <w14:textFill>
            <w14:solidFill>
              <w14:schemeClr w14:val="tx1"/>
            </w14:solidFill>
          </w14:textFill>
        </w:rPr>
        <w:t>为无效文件，</w:t>
      </w:r>
      <w:r>
        <w:rPr>
          <w:rFonts w:hint="eastAsia" w:ascii="宋体" w:hAnsi="宋体" w:cs="宋体"/>
          <w:color w:val="000000" w:themeColor="text1"/>
          <w:sz w:val="24"/>
          <w:szCs w:val="24"/>
          <w:highlight w:val="none"/>
          <w:lang w:val="en-US" w:eastAsia="zh-CN"/>
          <w14:textFill>
            <w14:solidFill>
              <w14:schemeClr w14:val="tx1"/>
            </w14:solidFill>
          </w14:textFill>
        </w:rPr>
        <w:t>我院有权利</w:t>
      </w:r>
      <w:r>
        <w:rPr>
          <w:rFonts w:hint="eastAsia" w:ascii="宋体" w:hAnsi="宋体" w:cs="宋体"/>
          <w:color w:val="000000" w:themeColor="text1"/>
          <w:sz w:val="24"/>
          <w:szCs w:val="24"/>
          <w:highlight w:val="none"/>
          <w:lang w:eastAsia="zh-CN"/>
          <w14:textFill>
            <w14:solidFill>
              <w14:schemeClr w14:val="tx1"/>
            </w14:solidFill>
          </w14:textFill>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三、采购评审会议和评审</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（一）组织采购评审会议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1.采购人按照约定的时间、地点组织采购评审会议。原则上应有采购人代表和响应人代表参加，参加采购评审会议的代表应签到以证明出席。响应人不足3家的，不得组织采购评审会议。</w:t>
      </w:r>
    </w:p>
    <w:p>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2.采购评审会议正式开始前时，由响应人或其推选的代表检查响应文件的密封情况，经确认无误后由采购方工作人员当众拆封，并公开宣读响应人名称、《报价一览表》内容。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3.采购人做好报价一览表记录，记录应由各参会响应人代表签字确认。</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4.报价一览表内容与响应文件中的明细报价表内容不一致的，以报价一览表为准。</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2.本次评审采用综合评分法</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只接受一次报价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按少数服从多数原则表决决定。</w:t>
      </w:r>
    </w:p>
    <w:p>
      <w:pPr>
        <w:pStyle w:val="29"/>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7.资格审查</w:t>
      </w:r>
    </w:p>
    <w:p>
      <w:pPr>
        <w:pStyle w:val="5"/>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themeColor="text1"/>
          <w:sz w:val="24"/>
          <w:szCs w:val="28"/>
          <w:highlight w:val="none"/>
          <w14:textFill>
            <w14:solidFill>
              <w14:schemeClr w14:val="tx1"/>
            </w14:solidFill>
          </w14:textFill>
        </w:rPr>
      </w:pPr>
      <w:r>
        <w:rPr>
          <w:rFonts w:hint="eastAsia" w:ascii="宋体" w:hAnsi="宋体" w:eastAsia="宋体" w:cs="宋体"/>
          <w:b/>
          <w:bCs w:val="0"/>
          <w:color w:val="000000" w:themeColor="text1"/>
          <w:sz w:val="24"/>
          <w:szCs w:val="28"/>
          <w:highlight w:val="none"/>
          <w14:textFill>
            <w14:solidFill>
              <w14:schemeClr w14:val="tx1"/>
            </w14:solidFill>
          </w14:textFill>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w:t>
            </w:r>
            <w:r>
              <w:rPr>
                <w:rFonts w:hint="eastAsia" w:ascii="宋体" w:hAnsi="宋体" w:eastAsia="宋体" w:cs="宋体"/>
                <w:color w:val="000000" w:themeColor="text1"/>
                <w:sz w:val="20"/>
                <w:szCs w:val="20"/>
                <w:highlight w:val="none"/>
                <w14:textFill>
                  <w14:solidFill>
                    <w14:schemeClr w14:val="tx1"/>
                  </w14:solidFill>
                </w14:textFill>
              </w:rPr>
              <w:t>人应具备以下条件：（</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、重大税收违法失信主体</w:t>
            </w:r>
            <w:r>
              <w:rPr>
                <w:rFonts w:hint="eastAsia" w:ascii="宋体" w:hAnsi="宋体" w:eastAsia="宋体" w:cs="宋体"/>
                <w:sz w:val="20"/>
                <w:szCs w:val="20"/>
                <w:lang w:val="zh-CN"/>
              </w:rPr>
              <w:t>、政府采购严重违法失信行为记录名单（处罚期限尚未届满的）的供应商，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评审会议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themeColor="text1"/>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z w:val="20"/>
                <w:szCs w:val="20"/>
                <w:highlight w:val="none"/>
                <w:lang w:val="en-US" w:eastAsia="zh-CN"/>
                <w14:textFill>
                  <w14:solidFill>
                    <w14:schemeClr w14:val="tx1"/>
                  </w14:solidFill>
                </w14:textFill>
              </w:rPr>
              <w:t>提供总公司的营业执照副本复印件及总公司针对本项目响应的授权书原件。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5</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本项目不接受联合体响应，</w:t>
            </w:r>
            <w:r>
              <w:rPr>
                <w:rFonts w:hint="eastAsia" w:ascii="宋体" w:hAnsi="宋体" w:cs="宋体"/>
                <w:color w:val="000000" w:themeColor="text1"/>
                <w:sz w:val="20"/>
                <w:szCs w:val="20"/>
                <w:highlight w:val="none"/>
                <w:lang w:val="en-US" w:eastAsia="zh-CN"/>
                <w14:textFill>
                  <w14:solidFill>
                    <w14:schemeClr w14:val="tx1"/>
                  </w14:solidFill>
                </w14:textFill>
              </w:rPr>
              <w:t>成交供应商</w:t>
            </w:r>
            <w:r>
              <w:rPr>
                <w:rFonts w:hint="eastAsia" w:ascii="宋体" w:hAnsi="宋体" w:eastAsia="宋体" w:cs="宋体"/>
                <w:color w:val="000000" w:themeColor="text1"/>
                <w:sz w:val="20"/>
                <w:szCs w:val="20"/>
                <w:highlight w:val="none"/>
                <w:lang w:val="zh-CN"/>
                <w14:textFill>
                  <w14:solidFill>
                    <w14:schemeClr w14:val="tx1"/>
                  </w14:solidFill>
                </w14:textFill>
              </w:rPr>
              <w:t>不得分包、转包（</w:t>
            </w:r>
            <w:r>
              <w:rPr>
                <w:rFonts w:hint="eastAsia" w:ascii="宋体" w:hAnsi="宋体" w:eastAsia="宋体" w:cs="宋体"/>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7</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出具加盖公章、有单位负责人</w:t>
            </w:r>
            <w:r>
              <w:rPr>
                <w:rFonts w:hint="eastAsia" w:ascii="宋体" w:hAnsi="宋体" w:cs="宋体"/>
                <w:color w:val="000000" w:themeColor="text1"/>
                <w:sz w:val="20"/>
                <w:szCs w:val="20"/>
                <w:highlight w:val="none"/>
                <w:lang w:val="en-US" w:eastAsia="zh-CN"/>
                <w14:textFill>
                  <w14:solidFill>
                    <w14:schemeClr w14:val="tx1"/>
                  </w14:solidFill>
                </w14:textFill>
              </w:rPr>
              <w:t>（法定代表人）</w:t>
            </w:r>
            <w:r>
              <w:rPr>
                <w:rFonts w:hint="eastAsia" w:ascii="宋体" w:hAnsi="宋体" w:eastAsia="宋体" w:cs="宋体"/>
                <w:color w:val="000000" w:themeColor="text1"/>
                <w:sz w:val="20"/>
                <w:szCs w:val="20"/>
                <w:highlight w:val="none"/>
                <w:lang w:val="en-US" w:eastAsia="zh-CN"/>
                <w14:textFill>
                  <w14:solidFill>
                    <w14:schemeClr w14:val="tx1"/>
                  </w14:solidFill>
                </w14:textFill>
              </w:rPr>
              <w:t>签名的《供应商廉洁守约承诺书》（格式和内容详见第五章</w:t>
            </w:r>
            <w:r>
              <w:rPr>
                <w:rFonts w:hint="eastAsia" w:ascii="宋体" w:hAnsi="宋体" w:cs="宋体"/>
                <w:color w:val="000000" w:themeColor="text1"/>
                <w:sz w:val="20"/>
                <w:szCs w:val="20"/>
                <w:highlight w:val="none"/>
                <w:lang w:val="en-US" w:eastAsia="zh-CN"/>
                <w14:textFill>
                  <w14:solidFill>
                    <w14:schemeClr w14:val="tx1"/>
                  </w14:solidFill>
                </w14:textFill>
              </w:rPr>
              <w:t>，不得擅自删改</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8</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已</w:t>
            </w:r>
            <w:r>
              <w:rPr>
                <w:rFonts w:hint="eastAsia" w:ascii="宋体" w:hAnsi="宋体" w:eastAsia="宋体" w:cs="宋体"/>
                <w:color w:val="000000" w:themeColor="text1"/>
                <w:sz w:val="20"/>
                <w:szCs w:val="20"/>
                <w:highlight w:val="none"/>
                <w:lang w:val="en-US" w:eastAsia="zh-CN"/>
                <w14:textFill>
                  <w14:solidFill>
                    <w14:schemeClr w14:val="tx1"/>
                  </w14:solidFill>
                </w14:textFill>
              </w:rPr>
              <w:t>成功报名本项目</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9</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供应商须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 。</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8.符合性审查</w:t>
      </w:r>
    </w:p>
    <w:p>
      <w:pPr>
        <w:pStyle w:val="18"/>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①响应人仅需对机动车商业险的自主定价系数进行报价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自主定价系数须为65%</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（含）</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00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（含）</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之间的数值。</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不存在</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明显低于其他通过符合性审查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④响应报价</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是唯一确定的，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非</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区间值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（1）评分总值最高为100分，商务、技术及最终报价得分分值（权重）设置如下：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商务</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40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技术</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价格得分（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40</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30</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商务评审表（</w:t>
      </w:r>
      <w:r>
        <w:rPr>
          <w:rFonts w:hint="eastAsia" w:ascii="宋体" w:hAnsi="宋体" w:cs="宋体"/>
          <w:b/>
          <w:bCs w:val="0"/>
          <w:color w:val="000000" w:themeColor="text1"/>
          <w:kern w:val="1"/>
          <w:sz w:val="28"/>
          <w:szCs w:val="28"/>
          <w:highlight w:val="none"/>
          <w:lang w:val="en-US" w:eastAsia="zh-CN" w:bidi="ar"/>
          <w14:textFill>
            <w14:solidFill>
              <w14:schemeClr w14:val="tx1"/>
            </w14:solidFill>
          </w14:textFill>
        </w:rPr>
        <w:t>40</w:t>
      </w: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分）</w:t>
      </w:r>
    </w:p>
    <w:tbl>
      <w:tblPr>
        <w:tblStyle w:val="20"/>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2073"/>
        <w:gridCol w:w="808"/>
        <w:gridCol w:w="6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38" w:hRule="atLeast"/>
          <w:jc w:val="center"/>
        </w:trPr>
        <w:tc>
          <w:tcPr>
            <w:tcW w:w="2073"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808" w:type="dxa"/>
            <w:tcBorders>
              <w:top w:val="single" w:color="auto" w:sz="12"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6580" w:type="dxa"/>
            <w:tcBorders>
              <w:top w:val="single" w:color="auto" w:sz="12" w:space="0"/>
              <w:left w:val="nil"/>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72" w:hRule="atLeast"/>
          <w:jc w:val="center"/>
        </w:trPr>
        <w:tc>
          <w:tcPr>
            <w:tcW w:w="2073"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保险消费投诉情况</w:t>
            </w:r>
          </w:p>
        </w:tc>
        <w:tc>
          <w:tcPr>
            <w:tcW w:w="80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根据中国银保监会消费者权益保护局发布《关于2022年第二季度保险消费投诉情况的通报》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结果中“保险消费投诉量情况统计表（财产保险公司）”</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进行评价，各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202</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年</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第二</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季度总投诉量最低的数值为基准值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人得分=基准值/该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人202</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年</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第二</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季度总投诉量×10</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以上评分计算结果保留小数点后两位数。</w:t>
            </w:r>
          </w:p>
          <w:p>
            <w:pPr>
              <w:keepNext w:val="0"/>
              <w:keepLines w:val="0"/>
              <w:widowControl/>
              <w:suppressLineNumbers w:val="0"/>
              <w:autoSpaceDE w:val="0"/>
              <w:autoSpaceDN/>
              <w:adjustRightInd w:val="0"/>
              <w:snapToGrid w:val="0"/>
              <w:spacing w:before="0" w:beforeAutospacing="0" w:after="0" w:afterAutospacing="0"/>
              <w:ind w:left="0" w:right="0"/>
              <w:jc w:val="both"/>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w:t>
            </w:r>
            <w:r>
              <w:rPr>
                <w:rFonts w:hint="default" w:ascii="宋体" w:hAnsi="宋体" w:eastAsia="宋体" w:cs="宋体"/>
                <w:color w:val="000000" w:themeColor="text1"/>
                <w:kern w:val="2"/>
                <w:sz w:val="20"/>
                <w:szCs w:val="20"/>
                <w:highlight w:val="none"/>
                <w:lang w:val="en-US"/>
                <w14:textFill>
                  <w14:solidFill>
                    <w14:schemeClr w14:val="tx1"/>
                  </w14:solidFill>
                </w14:textFill>
              </w:rPr>
              <w:t>中国银行保险监督管理委员会</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官网公布数据为准。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6" w:hRule="atLeast"/>
          <w:jc w:val="center"/>
        </w:trPr>
        <w:tc>
          <w:tcPr>
            <w:tcW w:w="207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保险服务质量指数</w:t>
            </w:r>
          </w:p>
        </w:tc>
        <w:tc>
          <w:tcPr>
            <w:tcW w:w="80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6" w:space="0"/>
              <w:right w:val="single" w:color="auto" w:sz="12" w:space="0"/>
            </w:tcBorders>
            <w:shd w:val="clear" w:color="auto" w:fill="auto"/>
            <w:vAlign w:val="center"/>
          </w:tcPr>
          <w:p>
            <w:pPr>
              <w:pStyle w:val="26"/>
              <w:keepNext w:val="0"/>
              <w:keepLines w:val="0"/>
              <w:suppressLineNumbers w:val="0"/>
              <w:spacing w:before="0" w:beforeAutospacing="0" w:after="0" w:afterAutospacing="0"/>
              <w:ind w:left="0" w:leftChars="0" w:right="0" w:firstLine="0" w:firstLineChars="0"/>
              <w:rPr>
                <w:rFonts w:hint="default"/>
                <w:lang w:val="en-US"/>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根据中国银行保险信息技术管理有限公司发布的2022年上半年保险服务质量指数结果中“2022年上半年财产保险（车险业务）服务质量指数”进行评价，2022年上半年财产保险（车险业务）服务质量指数结果的最高值为基准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人得分=该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2022年上半年财产保险（车险业务）服务质量指数/基准值×15</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以上评分计算结果保留小数点后两位数。以中国银行保险信息技术管理有限公司官网公布数据为准。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6" w:hRule="atLeast"/>
          <w:jc w:val="center"/>
        </w:trPr>
        <w:tc>
          <w:tcPr>
            <w:tcW w:w="2073"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风险综合评级</w:t>
            </w:r>
          </w:p>
        </w:tc>
        <w:tc>
          <w:tcPr>
            <w:tcW w:w="808"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sz w:val="20"/>
                <w:szCs w:val="20"/>
              </w:rPr>
              <w:t>10分</w:t>
            </w:r>
          </w:p>
        </w:tc>
        <w:tc>
          <w:tcPr>
            <w:tcW w:w="6580" w:type="dxa"/>
            <w:tcBorders>
              <w:top w:val="single" w:color="auto" w:sz="6" w:space="0"/>
              <w:left w:val="nil"/>
              <w:bottom w:val="single" w:color="auto" w:sz="6" w:space="0"/>
              <w:right w:val="single" w:color="auto" w:sz="12" w:space="0"/>
            </w:tcBorders>
            <w:shd w:val="clear" w:color="auto" w:fill="auto"/>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0"/>
                <w:szCs w:val="20"/>
                <w:highlight w:val="none"/>
              </w:rPr>
            </w:pPr>
            <w:r>
              <w:rPr>
                <w:rFonts w:hint="eastAsia" w:ascii="宋体" w:hAnsi="宋体" w:eastAsia="宋体" w:cs="宋体"/>
                <w:sz w:val="20"/>
                <w:szCs w:val="20"/>
              </w:rPr>
              <w:t>依据“中国银行保险监督管理委员会偿二代监管信息系统”公布的202</w:t>
            </w:r>
            <w:r>
              <w:rPr>
                <w:rFonts w:hint="eastAsia" w:ascii="宋体" w:hAnsi="宋体" w:eastAsia="宋体" w:cs="宋体"/>
                <w:sz w:val="20"/>
                <w:szCs w:val="20"/>
                <w:lang w:val="en-US" w:eastAsia="zh-CN"/>
              </w:rPr>
              <w:t>2</w:t>
            </w:r>
            <w:r>
              <w:rPr>
                <w:rFonts w:hint="eastAsia" w:ascii="宋体" w:hAnsi="宋体" w:eastAsia="宋体" w:cs="宋体"/>
                <w:sz w:val="20"/>
                <w:szCs w:val="20"/>
              </w:rPr>
              <w:t>年第</w:t>
            </w:r>
            <w:r>
              <w:rPr>
                <w:rFonts w:hint="eastAsia" w:ascii="宋体" w:hAnsi="宋体" w:eastAsia="宋体" w:cs="宋体"/>
                <w:sz w:val="20"/>
                <w:szCs w:val="20"/>
                <w:lang w:val="en-US" w:eastAsia="zh-CN"/>
              </w:rPr>
              <w:t>2</w:t>
            </w:r>
            <w:r>
              <w:rPr>
                <w:rFonts w:hint="eastAsia" w:ascii="宋体" w:hAnsi="宋体" w:eastAsia="宋体" w:cs="宋体"/>
                <w:sz w:val="20"/>
                <w:szCs w:val="20"/>
              </w:rPr>
              <w:t>季度评级进行评审</w:t>
            </w:r>
            <w:r>
              <w:rPr>
                <w:rFonts w:hint="eastAsia" w:ascii="宋体" w:hAnsi="宋体" w:eastAsia="宋体" w:cs="宋体"/>
                <w:sz w:val="20"/>
                <w:szCs w:val="20"/>
                <w:lang w:eastAsia="zh-CN"/>
              </w:rPr>
              <w:t>：</w:t>
            </w:r>
            <w:r>
              <w:rPr>
                <w:rFonts w:hint="eastAsia" w:ascii="宋体" w:hAnsi="宋体" w:eastAsia="宋体" w:cs="宋体"/>
                <w:sz w:val="20"/>
                <w:szCs w:val="20"/>
              </w:rPr>
              <w:t>被评定为AAA的，得10分；</w:t>
            </w:r>
            <w:r>
              <w:rPr>
                <w:rFonts w:hint="eastAsia" w:ascii="宋体" w:hAnsi="宋体" w:eastAsia="宋体" w:cs="宋体"/>
                <w:sz w:val="20"/>
                <w:szCs w:val="20"/>
                <w:lang w:val="en-US" w:eastAsia="zh-CN"/>
              </w:rPr>
              <w:t>AA</w:t>
            </w:r>
            <w:r>
              <w:rPr>
                <w:rFonts w:hint="eastAsia" w:ascii="宋体" w:hAnsi="宋体" w:eastAsia="宋体" w:cs="宋体"/>
                <w:sz w:val="20"/>
                <w:szCs w:val="20"/>
              </w:rPr>
              <w:t>级，得</w:t>
            </w:r>
            <w:r>
              <w:rPr>
                <w:rFonts w:hint="eastAsia" w:ascii="宋体" w:hAnsi="宋体" w:eastAsia="宋体" w:cs="宋体"/>
                <w:sz w:val="20"/>
                <w:szCs w:val="20"/>
                <w:lang w:val="en-US" w:eastAsia="zh-CN"/>
              </w:rPr>
              <w:t>8</w:t>
            </w:r>
            <w:r>
              <w:rPr>
                <w:rFonts w:hint="eastAsia" w:ascii="宋体" w:hAnsi="宋体" w:eastAsia="宋体" w:cs="宋体"/>
                <w:sz w:val="20"/>
                <w:szCs w:val="20"/>
              </w:rPr>
              <w:t>分；</w:t>
            </w:r>
            <w:r>
              <w:rPr>
                <w:rFonts w:hint="eastAsia" w:ascii="宋体" w:hAnsi="宋体" w:eastAsia="宋体" w:cs="宋体"/>
                <w:sz w:val="20"/>
                <w:szCs w:val="20"/>
                <w:lang w:val="en-US" w:eastAsia="zh-CN"/>
              </w:rPr>
              <w:t>A</w:t>
            </w:r>
            <w:r>
              <w:rPr>
                <w:rFonts w:hint="eastAsia" w:ascii="宋体" w:hAnsi="宋体" w:eastAsia="宋体" w:cs="宋体"/>
                <w:sz w:val="20"/>
                <w:szCs w:val="20"/>
              </w:rPr>
              <w:t>级得</w:t>
            </w:r>
            <w:r>
              <w:rPr>
                <w:rFonts w:hint="eastAsia" w:ascii="宋体" w:hAnsi="宋体" w:eastAsia="宋体" w:cs="宋体"/>
                <w:sz w:val="20"/>
                <w:szCs w:val="20"/>
                <w:lang w:val="en-US" w:eastAsia="zh-CN"/>
              </w:rPr>
              <w:t>6</w:t>
            </w:r>
            <w:r>
              <w:rPr>
                <w:rFonts w:hint="eastAsia" w:ascii="宋体" w:hAnsi="宋体" w:eastAsia="宋体" w:cs="宋体"/>
                <w:sz w:val="20"/>
                <w:szCs w:val="20"/>
              </w:rPr>
              <w:t>分；</w:t>
            </w:r>
            <w:r>
              <w:rPr>
                <w:rFonts w:hint="eastAsia" w:ascii="宋体" w:hAnsi="宋体" w:eastAsia="宋体" w:cs="宋体"/>
                <w:sz w:val="20"/>
                <w:szCs w:val="20"/>
                <w:lang w:val="en-US" w:eastAsia="zh-CN"/>
              </w:rPr>
              <w:t>BBB级得4分；BB级得2分；B级得1分；B</w:t>
            </w:r>
            <w:r>
              <w:rPr>
                <w:rFonts w:hint="eastAsia" w:ascii="宋体" w:hAnsi="宋体" w:eastAsia="宋体" w:cs="宋体"/>
                <w:sz w:val="20"/>
                <w:szCs w:val="20"/>
              </w:rPr>
              <w:t>级</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不含）</w:t>
            </w:r>
            <w:r>
              <w:rPr>
                <w:rFonts w:hint="eastAsia" w:ascii="宋体" w:hAnsi="宋体" w:eastAsia="宋体" w:cs="宋体"/>
                <w:sz w:val="20"/>
                <w:szCs w:val="20"/>
              </w:rPr>
              <w:t>以下的，得0分。（提供网站截图</w:t>
            </w:r>
            <w:r>
              <w:rPr>
                <w:rFonts w:hint="eastAsia" w:ascii="宋体" w:hAnsi="宋体" w:cs="宋体"/>
                <w:sz w:val="20"/>
                <w:szCs w:val="20"/>
                <w:lang w:eastAsia="zh-CN"/>
              </w:rPr>
              <w:t>，</w:t>
            </w:r>
            <w:r>
              <w:rPr>
                <w:rFonts w:hint="eastAsia" w:ascii="宋体" w:hAnsi="宋体" w:eastAsia="宋体" w:cs="宋体"/>
                <w:sz w:val="20"/>
                <w:szCs w:val="20"/>
              </w:rPr>
              <w:t>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2073"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企业荣誉</w:t>
            </w:r>
          </w:p>
        </w:tc>
        <w:tc>
          <w:tcPr>
            <w:tcW w:w="808" w:type="dxa"/>
            <w:tcBorders>
              <w:top w:val="single" w:color="auto" w:sz="6" w:space="0"/>
              <w:left w:val="nil"/>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12"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自2019年1月以来，响应人或所属保险总公司获得国家有关部门（非行业协会）颁发的荣誉证书或奖项，每提供一个得1分，本项最高得5分。注：须提供相关证明材料复印件，不提供不得分。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技术评审表（</w:t>
      </w: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30</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分）</w:t>
      </w:r>
    </w:p>
    <w:tbl>
      <w:tblPr>
        <w:tblStyle w:val="20"/>
        <w:tblW w:w="906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保险服务、理赔服务方案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right="0" w:right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根据响应人提供的保险服务、理赔服务方案进行评价：</w:t>
            </w:r>
          </w:p>
          <w:p>
            <w:pPr>
              <w:keepNext w:val="0"/>
              <w:keepLines w:val="0"/>
              <w:widowControl/>
              <w:numPr>
                <w:ilvl w:val="0"/>
                <w:numId w:val="8"/>
              </w:numPr>
              <w:suppressLineNumbers w:val="0"/>
              <w:snapToGrid w:val="0"/>
              <w:spacing w:before="0" w:beforeAutospacing="0" w:after="0" w:afterAutospacing="0" w:line="240" w:lineRule="exact"/>
              <w:ind w:left="0" w:right="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经响应人查勘现场的轻微人伤案件，人伤损失在3000元以内的，查勘员能现场处理且解决费用支付，响应人给予确认赔付；</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设有24小时全天报案服务电话，并派专人受理索赔报案及便利的定损理赔等服务；</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响应人在接到出险报案后，广州市内（天河区、越秀区、荔湾区、海珠区、白云区）应30分钟时内赶到现场，郊区（黄埔区、番禺区、南沙区、增城区、从化区）60分钟内应赶到现场。如果参保车辆在广东省范围内（除广州市）出险，应在2小时内到达现场或由响应人出险地分支机构现场查勘、检验定损；</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参保车辆发生人伤事故时，且在明确事故责任后，</w:t>
            </w:r>
            <w:r>
              <w:rPr>
                <w:rFonts w:hint="eastAsia" w:ascii="宋体" w:hAnsi="宋体" w:cs="宋体"/>
                <w:color w:val="000000" w:themeColor="text1"/>
                <w:kern w:val="2"/>
                <w:sz w:val="20"/>
                <w:szCs w:val="20"/>
                <w:highlight w:val="none"/>
                <w:lang w:val="en-US" w:eastAsia="zh-CN"/>
                <w14:textFill>
                  <w14:solidFill>
                    <w14:schemeClr w14:val="tx1"/>
                  </w14:solidFill>
                </w14:textFill>
              </w:rPr>
              <w:t>响应人</w:t>
            </w:r>
            <w:r>
              <w:rPr>
                <w:rFonts w:hint="eastAsia" w:ascii="宋体" w:hAnsi="宋体" w:eastAsia="宋体" w:cs="宋体"/>
                <w:color w:val="000000" w:themeColor="text1"/>
                <w:kern w:val="2"/>
                <w:sz w:val="20"/>
                <w:szCs w:val="20"/>
                <w:highlight w:val="none"/>
                <w14:textFill>
                  <w14:solidFill>
                    <w14:schemeClr w14:val="tx1"/>
                  </w14:solidFill>
                </w14:textFill>
              </w:rPr>
              <w:t>能提供伤者医疗跟踪、伤残鉴定等咨询服务，</w:t>
            </w:r>
            <w:r>
              <w:rPr>
                <w:rFonts w:hint="eastAsia" w:ascii="宋体" w:hAnsi="宋体" w:cs="宋体"/>
                <w:color w:val="000000" w:themeColor="text1"/>
                <w:kern w:val="2"/>
                <w:sz w:val="20"/>
                <w:szCs w:val="20"/>
                <w:highlight w:val="none"/>
                <w:lang w:val="en-US" w:eastAsia="zh-CN"/>
                <w14:textFill>
                  <w14:solidFill>
                    <w14:schemeClr w14:val="tx1"/>
                  </w14:solidFill>
                </w14:textFill>
              </w:rPr>
              <w:t>并且</w:t>
            </w:r>
            <w:r>
              <w:rPr>
                <w:rFonts w:hint="eastAsia" w:ascii="宋体" w:hAnsi="宋体" w:eastAsia="宋体" w:cs="宋体"/>
                <w:color w:val="000000" w:themeColor="text1"/>
                <w:kern w:val="2"/>
                <w:sz w:val="20"/>
                <w:szCs w:val="20"/>
                <w:highlight w:val="none"/>
                <w14:textFill>
                  <w14:solidFill>
                    <w14:schemeClr w14:val="tx1"/>
                  </w14:solidFill>
                </w14:textFill>
              </w:rPr>
              <w:t>至少安排一名人伤事故处理经验丰富的人员，专门负责全程跟进医疗核损服务和理赔事宜，根据伤者病情前往探望、了解病情、核实费用，促进赔案快速、圆满解决；</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对于重大案件或发生纠纷的案件，</w:t>
            </w:r>
            <w:r>
              <w:rPr>
                <w:rFonts w:hint="eastAsia" w:ascii="宋体" w:hAnsi="宋体" w:cs="宋体"/>
                <w:color w:val="000000" w:themeColor="text1"/>
                <w:kern w:val="2"/>
                <w:sz w:val="20"/>
                <w:szCs w:val="20"/>
                <w:highlight w:val="none"/>
                <w:lang w:val="en-US" w:eastAsia="zh-CN"/>
                <w14:textFill>
                  <w14:solidFill>
                    <w14:schemeClr w14:val="tx1"/>
                  </w14:solidFill>
                </w14:textFill>
              </w:rPr>
              <w:t>响应人</w:t>
            </w:r>
            <w:r>
              <w:rPr>
                <w:rFonts w:hint="eastAsia" w:ascii="宋体" w:hAnsi="宋体" w:eastAsia="宋体" w:cs="宋体"/>
                <w:color w:val="000000" w:themeColor="text1"/>
                <w:kern w:val="2"/>
                <w:sz w:val="20"/>
                <w:szCs w:val="20"/>
                <w:highlight w:val="none"/>
                <w14:textFill>
                  <w14:solidFill>
                    <w14:schemeClr w14:val="tx1"/>
                  </w14:solidFill>
                </w14:textFill>
              </w:rPr>
              <w:t>协助处理事故，提供法律援助服务，避免不必要的损失</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eastAsia="zh-CN"/>
                <w14:textFill>
                  <w14:solidFill>
                    <w14:schemeClr w14:val="tx1"/>
                  </w14:solidFill>
                </w14:textFill>
              </w:rPr>
              <w:t>保险服务、理赔服务方案</w:t>
            </w:r>
            <w:r>
              <w:rPr>
                <w:rFonts w:hint="eastAsia" w:ascii="宋体" w:hAnsi="宋体" w:cs="宋体"/>
                <w:color w:val="000000" w:themeColor="text1"/>
                <w:kern w:val="2"/>
                <w:sz w:val="20"/>
                <w:szCs w:val="20"/>
                <w:highlight w:val="none"/>
                <w:lang w:val="en-US" w:eastAsia="zh-CN"/>
                <w14:textFill>
                  <w14:solidFill>
                    <w14:schemeClr w14:val="tx1"/>
                  </w14:solidFill>
                </w14:textFill>
              </w:rPr>
              <w:t>其他内容，包括但不限于专属服务团队、培训方案、咨询及投诉解决方案、理赔流程、理赔资料清单、理赔时效承诺、预付赔款、其他理赔承诺、增值服务等。（15分）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注:第（1）点-第（5）点，响应人以承诺函形式提供，不提供或所承诺的内容与要求不匹配的，不得分；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第（6）点：方案科学合理，亮点多，针对性强，得15分；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方案较科学较合理，亮点较多，针对性较强，得12分；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方案科学合理性一般，亮点不多，针对性一般，得8分；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方案科学合理性差，亮点少，针对性差，得4分；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无响应或其他情况，得0分。</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（4）价格评分：以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机动车商业险的自主定价系数</w:t>
      </w:r>
      <w:r>
        <w:rPr>
          <w:rFonts w:hint="eastAsia" w:ascii="宋体" w:hAnsi="宋体" w:cs="宋体"/>
          <w:color w:val="000000" w:themeColor="text1"/>
          <w:sz w:val="24"/>
          <w:szCs w:val="24"/>
          <w:highlight w:val="none"/>
          <w:lang w:val="en-US" w:eastAsia="zh-CN"/>
          <w14:textFill>
            <w14:solidFill>
              <w14:schemeClr w14:val="tx1"/>
            </w14:solidFill>
          </w14:textFill>
        </w:rPr>
        <w:t>作为价格评分的评审依据。</w:t>
      </w:r>
      <w:r>
        <w:rPr>
          <w:rFonts w:hint="eastAsia" w:ascii="宋体" w:hAnsi="宋体" w:eastAsia="宋体" w:cs="宋体"/>
          <w:color w:val="000000" w:themeColor="text1"/>
          <w:sz w:val="24"/>
          <w:szCs w:val="24"/>
          <w:highlight w:val="none"/>
          <w14:textFill>
            <w14:solidFill>
              <w14:schemeClr w14:val="tx1"/>
            </w14:solidFill>
          </w14:textFill>
        </w:rPr>
        <w:t>满足采购文件要求且机动车商业险自主定价系数最低的</w:t>
      </w:r>
      <w:r>
        <w:rPr>
          <w:rFonts w:hint="eastAsia" w:ascii="宋体" w:hAnsi="宋体" w:cs="宋体"/>
          <w:color w:val="000000" w:themeColor="text1"/>
          <w:sz w:val="24"/>
          <w:szCs w:val="24"/>
          <w:highlight w:val="none"/>
          <w:lang w:val="en-US" w:eastAsia="zh-CN"/>
          <w14:textFill>
            <w14:solidFill>
              <w14:schemeClr w14:val="tx1"/>
            </w14:solidFill>
          </w14:textFill>
        </w:rPr>
        <w:t>价格</w:t>
      </w:r>
      <w:r>
        <w:rPr>
          <w:rFonts w:hint="eastAsia" w:ascii="宋体" w:hAnsi="宋体" w:eastAsia="宋体" w:cs="宋体"/>
          <w:color w:val="000000" w:themeColor="text1"/>
          <w:sz w:val="24"/>
          <w:szCs w:val="24"/>
          <w:highlight w:val="none"/>
          <w14:textFill>
            <w14:solidFill>
              <w14:schemeClr w14:val="tx1"/>
            </w14:solidFill>
          </w14:textFill>
        </w:rPr>
        <w:t>为评分基准价，价格得分＝（评分基准价/</w:t>
      </w:r>
      <w:r>
        <w:rPr>
          <w:rFonts w:hint="eastAsia" w:ascii="宋体" w:hAnsi="宋体" w:cs="宋体"/>
          <w:color w:val="000000" w:themeColor="text1"/>
          <w:sz w:val="24"/>
          <w:szCs w:val="24"/>
          <w:highlight w:val="none"/>
          <w:lang w:val="en-US" w:eastAsia="zh-CN"/>
          <w14:textFill>
            <w14:solidFill>
              <w14:schemeClr w14:val="tx1"/>
            </w14:solidFill>
          </w14:textFill>
        </w:rPr>
        <w:t>各响应人的机动车商业险自主定价系数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，保留两位小数）。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W＝C ＋ 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 S、M均为所有</w:t>
      </w:r>
      <w:r>
        <w:rPr>
          <w:rFonts w:hint="eastAsia" w:ascii="宋体" w:hAnsi="宋体" w:cs="宋体"/>
          <w:color w:val="000000" w:themeColor="text1"/>
          <w:sz w:val="24"/>
          <w:szCs w:val="24"/>
          <w:highlight w:val="none"/>
          <w:lang w:val="en-US" w:eastAsia="zh-CN"/>
          <w14:textFill>
            <w14:solidFill>
              <w14:schemeClr w14:val="tx1"/>
            </w14:solidFill>
          </w14:textFill>
        </w:rPr>
        <w:t>评审专家</w:t>
      </w:r>
      <w:r>
        <w:rPr>
          <w:rFonts w:hint="eastAsia" w:ascii="宋体" w:hAnsi="宋体" w:eastAsia="宋体" w:cs="宋体"/>
          <w:color w:val="000000" w:themeColor="text1"/>
          <w:sz w:val="24"/>
          <w:szCs w:val="24"/>
          <w:highlight w:val="none"/>
          <w14:textFill>
            <w14:solidFill>
              <w14:schemeClr w14:val="tx1"/>
            </w14:solidFill>
          </w14:textFill>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11.评审委员会</w:t>
      </w:r>
      <w:r>
        <w:rPr>
          <w:rFonts w:hint="eastAsia" w:ascii="宋体" w:hAnsi="宋体" w:eastAsia="宋体" w:cs="宋体"/>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内容与响应文件中相应内容不一致的，以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书面确认后产生约束力，</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评审报告应当由</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全体人员签字认可。</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对需要共同</w:t>
      </w:r>
      <w:r>
        <w:rPr>
          <w:rFonts w:hint="eastAsia" w:ascii="宋体" w:hAnsi="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应当在</w:t>
      </w:r>
      <w:r>
        <w:rPr>
          <w:rFonts w:hint="eastAsia" w:ascii="宋体" w:hAnsi="宋体" w:cs="宋体"/>
          <w:color w:val="000000" w:themeColor="text1"/>
          <w:sz w:val="24"/>
          <w:szCs w:val="24"/>
          <w:highlight w:val="none"/>
          <w:lang w:val="en-US" w:eastAsia="zh-CN"/>
          <w14:textFill>
            <w14:solidFill>
              <w14:schemeClr w14:val="tx1"/>
            </w14:solidFill>
          </w14:textFill>
        </w:rPr>
        <w:t>评审报告</w:t>
      </w:r>
      <w:r>
        <w:rPr>
          <w:rFonts w:hint="eastAsia" w:ascii="宋体" w:hAnsi="宋体" w:eastAsia="宋体" w:cs="宋体"/>
          <w:color w:val="000000" w:themeColor="text1"/>
          <w:sz w:val="24"/>
          <w:szCs w:val="24"/>
          <w:highlight w:val="none"/>
          <w14:textFill>
            <w14:solidFill>
              <w14:schemeClr w14:val="tx1"/>
            </w14:solidFill>
          </w14:textFill>
        </w:rPr>
        <w:t>上签署不同意见并说明理由，</w:t>
      </w:r>
      <w:r>
        <w:rPr>
          <w:rFonts w:hint="eastAsia" w:ascii="宋体" w:hAnsi="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拒绝在</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推荐</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根据最终评审的结果，推荐综合得分排名第一的</w:t>
      </w:r>
      <w:r>
        <w:rPr>
          <w:rFonts w:hint="eastAsia" w:ascii="宋体" w:hAnsi="宋体" w:cs="宋体"/>
          <w:color w:val="000000" w:themeColor="text1"/>
          <w:sz w:val="24"/>
          <w:szCs w:val="24"/>
          <w:highlight w:val="none"/>
          <w:lang w:val="en-US" w:eastAsia="zh-CN"/>
          <w14:textFill>
            <w14:solidFill>
              <w14:schemeClr w14:val="tx1"/>
            </w14:solidFill>
          </w14:textFill>
        </w:rPr>
        <w:t>响应人为成交候选人</w:t>
      </w:r>
      <w:r>
        <w:rPr>
          <w:rFonts w:hint="eastAsia" w:ascii="宋体" w:hAnsi="宋体" w:eastAsia="宋体" w:cs="宋体"/>
          <w:color w:val="000000" w:themeColor="text1"/>
          <w:sz w:val="24"/>
          <w:szCs w:val="24"/>
          <w:highlight w:val="none"/>
          <w14:textFill>
            <w14:solidFill>
              <w14:schemeClr w14:val="tx1"/>
            </w14:solidFill>
          </w14:textFill>
        </w:rPr>
        <w:t>。综合得分相同的，按照响应报价由低到高的顺序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成交候选人。综合得分且</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报价相同的，按照技术部分得分（由高到低）顺序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发布</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医院官方网站的招投标栏目</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供应商认为采购文件、采购过程、中标或者成交结果使自己的权益受到损害的，可以在知道或者应知其权益受到损害之日起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、供应商应在</w:t>
      </w:r>
      <w:r>
        <w:rPr>
          <w:rFonts w:hint="eastAsia" w:ascii="宋体" w:hAnsi="宋体" w:cs="宋体"/>
          <w:color w:val="000000" w:themeColor="text1"/>
          <w:sz w:val="24"/>
          <w:szCs w:val="24"/>
          <w:highlight w:val="none"/>
          <w:lang w:val="en-US" w:eastAsia="zh-CN"/>
          <w14:textFill>
            <w14:solidFill>
              <w14:schemeClr w14:val="tx1"/>
            </w14:solidFill>
          </w14:textFill>
        </w:rPr>
        <w:t>限定</w:t>
      </w:r>
      <w:r>
        <w:rPr>
          <w:rFonts w:hint="eastAsia" w:ascii="宋体" w:hAnsi="宋体" w:eastAsia="宋体" w:cs="宋体"/>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、采购人不得拒收质疑供应商在</w:t>
      </w:r>
      <w:r>
        <w:rPr>
          <w:rFonts w:hint="eastAsia" w:ascii="宋体" w:hAnsi="宋体" w:cs="宋体"/>
          <w:color w:val="000000" w:themeColor="text1"/>
          <w:sz w:val="24"/>
          <w:szCs w:val="24"/>
          <w:highlight w:val="none"/>
          <w:lang w:eastAsia="zh-CN"/>
          <w14:textFill>
            <w14:solidFill>
              <w14:schemeClr w14:val="tx1"/>
            </w14:solidFill>
          </w14:textFill>
        </w:rPr>
        <w:t>限定质疑</w:t>
      </w:r>
      <w:r>
        <w:rPr>
          <w:rFonts w:hint="eastAsia" w:ascii="宋体" w:hAnsi="宋体" w:eastAsia="宋体" w:cs="宋体"/>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6"/>
        <w:rPr>
          <w:rFonts w:hint="eastAsia"/>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r>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t>合同编号：</w:t>
      </w: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48"/>
          <w:szCs w:val="48"/>
          <w:highlight w:val="none"/>
          <w:u w:val="single"/>
          <w14:textFill>
            <w14:solidFill>
              <w14:schemeClr w14:val="tx1"/>
            </w14:solidFill>
          </w14:textFill>
        </w:rPr>
      </w:pPr>
      <w:r>
        <w:rPr>
          <w:rFonts w:hint="eastAsia" w:ascii="仿宋_GB2312" w:hAnsi="Calibri Light" w:eastAsia="仿宋_GB2312" w:cs="仿宋_GB2312"/>
          <w:b/>
          <w:color w:val="000000" w:themeColor="text1"/>
          <w:sz w:val="48"/>
          <w:szCs w:val="48"/>
          <w:highlight w:val="none"/>
          <w:u w:val="single"/>
          <w14:textFill>
            <w14:solidFill>
              <w14:schemeClr w14:val="tx1"/>
            </w14:solidFill>
          </w14:textFill>
        </w:rPr>
        <w:t xml:space="preserve">        (项目)</w:t>
      </w:r>
    </w:p>
    <w:p>
      <w:pPr>
        <w:spacing w:beforeLines="0" w:beforeAutospacing="1" w:afterLines="0" w:line="360" w:lineRule="auto"/>
        <w:rPr>
          <w:rFonts w:hint="eastAsia" w:ascii="仿宋_GB2312" w:eastAsia="仿宋_GB2312" w:cs="仿宋_GB2312"/>
          <w:b/>
          <w:color w:val="000000" w:themeColor="text1"/>
          <w:sz w:val="48"/>
          <w:szCs w:val="48"/>
          <w:highlight w:val="none"/>
          <w14:textFill>
            <w14:solidFill>
              <w14:schemeClr w14:val="tx1"/>
            </w14:solidFill>
          </w14:textFill>
        </w:rPr>
      </w:pP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合 同 书</w:t>
      </w: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服务类</w:t>
      </w: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28"/>
                <w:szCs w:val="28"/>
                <w:highlight w:val="none"/>
                <w14:textFill>
                  <w14:solidFill>
                    <w14:schemeClr w14:val="tx1"/>
                  </w14:solidFill>
                </w14:textFill>
              </w:rPr>
            </w:pPr>
          </w:p>
        </w:tc>
      </w:tr>
    </w:tbl>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pStyle w:val="26"/>
        <w:spacing w:beforeLines="0" w:afterLines="0"/>
        <w:ind w:firstLine="0" w:firstLineChars="0"/>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r>
        <w:rPr>
          <w:rFonts w:hint="eastAsia" w:ascii="仿宋_GB2312" w:hAnsi="Calibri Light" w:eastAsia="仿宋_GB2312" w:cs="仿宋_GB2312"/>
          <w:b/>
          <w:color w:val="000000" w:themeColor="text1"/>
          <w:sz w:val="28"/>
          <w:szCs w:val="28"/>
          <w:highlight w:val="none"/>
          <w14:textFill>
            <w14:solidFill>
              <w14:schemeClr w14:val="tx1"/>
            </w14:solidFill>
          </w14:textFill>
        </w:rPr>
        <w:t>注：本合同仅为合同的参考文本，合同签订双方可根据项目的具体要求进行修订，但不得偏离实质性条款。</w:t>
      </w: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30"/>
          <w:szCs w:val="30"/>
          <w:highlight w:val="none"/>
          <w14:textFill>
            <w14:solidFill>
              <w14:schemeClr w14:val="tx1"/>
            </w14:solidFill>
          </w14:textFill>
        </w:rPr>
      </w:pPr>
      <w:r>
        <w:rPr>
          <w:rFonts w:hint="eastAsia" w:ascii="华文中宋" w:hAnsi="华文中宋" w:eastAsia="华文中宋" w:cs="华文中宋"/>
          <w:b/>
          <w:color w:val="000000" w:themeColor="text1"/>
          <w:sz w:val="32"/>
          <w:szCs w:val="32"/>
          <w:highlight w:val="none"/>
          <w14:textFill>
            <w14:solidFill>
              <w14:schemeClr w14:val="tx1"/>
            </w14:solidFill>
          </w14:textFill>
        </w:rPr>
        <w:t>中山大学孙逸仙纪念医院合同</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甲方（采购方）：中山大学孙逸仙纪念医院</w:t>
      </w:r>
    </w:p>
    <w:p>
      <w:pPr>
        <w:spacing w:beforeLines="0" w:beforeAutospacing="1" w:afterLine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中华人民共和国民法典》及中山大学孙逸仙纪念医院2023-2025年公务车辆保险服务采购项目的采购结果和采购文件的要求，经甲、乙双方协商，本着平等互利和诚实信用的原则，一致同意订立本合同，共同遵守。具体条款如下：</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一、甲乙双方的权利与义务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在本</w:t>
      </w:r>
      <w:r>
        <w:rPr>
          <w:rFonts w:hint="eastAsia" w:ascii="宋体" w:hAnsi="宋体" w:cs="宋体"/>
          <w:sz w:val="21"/>
          <w:szCs w:val="21"/>
          <w:lang w:eastAsia="zh-CN"/>
        </w:rPr>
        <w:t>合同</w:t>
      </w:r>
      <w:r>
        <w:rPr>
          <w:rFonts w:hint="eastAsia" w:ascii="宋体" w:hAnsi="宋体" w:eastAsia="宋体" w:cs="宋体"/>
          <w:sz w:val="21"/>
          <w:szCs w:val="21"/>
        </w:rPr>
        <w:t>的有效期间内，甲方需要承担以下义务：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（一）不伪造、编造保险事故。根据我国《刑法》第198条规定，保险欺诈属于刑事犯罪，视情节严重最高判处10年以上有期徒刑。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（二）按时办理承保、批改、缴费、提交索赔单证等保险事宜。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（三）案发后及时向乙方报案，</w:t>
      </w:r>
      <w:r>
        <w:rPr>
          <w:rFonts w:hint="eastAsia" w:ascii="宋体" w:hAnsi="宋体" w:cs="宋体"/>
          <w:sz w:val="21"/>
          <w:szCs w:val="21"/>
          <w:lang w:val="en-US" w:eastAsia="zh-CN"/>
        </w:rPr>
        <w:t>并</w:t>
      </w:r>
      <w:r>
        <w:rPr>
          <w:rFonts w:hint="eastAsia" w:ascii="宋体" w:hAnsi="宋体" w:eastAsia="宋体" w:cs="宋体"/>
          <w:sz w:val="21"/>
          <w:szCs w:val="21"/>
        </w:rPr>
        <w:t>积极配合乙方开展查勘定损的工作程序</w:t>
      </w:r>
      <w:r>
        <w:rPr>
          <w:rFonts w:hint="eastAsia" w:ascii="宋体" w:hAnsi="宋体" w:cs="宋体"/>
          <w:sz w:val="21"/>
          <w:szCs w:val="21"/>
          <w:lang w:eastAsia="zh-CN"/>
        </w:rPr>
        <w:t>，</w:t>
      </w:r>
      <w:r>
        <w:rPr>
          <w:rFonts w:hint="eastAsia" w:ascii="宋体" w:hAnsi="宋体" w:eastAsia="宋体" w:cs="宋体"/>
          <w:sz w:val="21"/>
          <w:szCs w:val="21"/>
        </w:rPr>
        <w:t>及时提供完整的索赔资料。</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（四）无论案件是否涉及现场查勘，均要在案发第一时间在现场向乙方</w:t>
      </w:r>
      <w:r>
        <w:rPr>
          <w:rFonts w:hint="eastAsia" w:ascii="宋体" w:hAnsi="宋体" w:cs="宋体"/>
          <w:sz w:val="21"/>
          <w:szCs w:val="21"/>
          <w:lang w:val="en-US" w:eastAsia="zh-CN"/>
        </w:rPr>
        <w:t>指定联系人</w:t>
      </w:r>
      <w:r>
        <w:rPr>
          <w:rFonts w:hint="eastAsia" w:ascii="宋体" w:hAnsi="宋体" w:eastAsia="宋体" w:cs="宋体"/>
          <w:sz w:val="21"/>
          <w:szCs w:val="21"/>
        </w:rPr>
        <w:t>报案。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在本</w:t>
      </w:r>
      <w:r>
        <w:rPr>
          <w:rFonts w:hint="eastAsia" w:ascii="宋体" w:hAnsi="宋体" w:cs="宋体"/>
          <w:sz w:val="21"/>
          <w:szCs w:val="21"/>
          <w:lang w:eastAsia="zh-CN"/>
        </w:rPr>
        <w:t>合同</w:t>
      </w:r>
      <w:r>
        <w:rPr>
          <w:rFonts w:hint="eastAsia" w:ascii="宋体" w:hAnsi="宋体" w:eastAsia="宋体" w:cs="宋体"/>
          <w:sz w:val="21"/>
          <w:szCs w:val="21"/>
        </w:rPr>
        <w:t>的有效期间内，乙方需要承担以下义务：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（一）协助甲方按时办理承保、批改、缴费、提交索赔单证等保险事宜。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（二）为甲方提供接报案、查勘、定损以及索赔指引，协助甲方完成索赔。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（三）按照本</w:t>
      </w:r>
      <w:r>
        <w:rPr>
          <w:rFonts w:hint="eastAsia" w:ascii="宋体" w:hAnsi="宋体" w:cs="宋体"/>
          <w:sz w:val="21"/>
          <w:szCs w:val="21"/>
          <w:lang w:eastAsia="zh-CN"/>
        </w:rPr>
        <w:t>合同</w:t>
      </w:r>
      <w:r>
        <w:rPr>
          <w:rFonts w:hint="eastAsia" w:ascii="宋体" w:hAnsi="宋体" w:eastAsia="宋体" w:cs="宋体"/>
          <w:sz w:val="21"/>
          <w:szCs w:val="21"/>
        </w:rPr>
        <w:t>约定的承诺内容向甲方提供理赔服务。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cs="宋体"/>
          <w:b/>
          <w:sz w:val="21"/>
          <w:szCs w:val="21"/>
          <w:lang w:val="en-US" w:eastAsia="zh-CN"/>
        </w:rPr>
        <w:t>合同</w:t>
      </w:r>
      <w:r>
        <w:rPr>
          <w:rFonts w:hint="eastAsia" w:ascii="宋体" w:hAnsi="宋体" w:eastAsia="宋体" w:cs="宋体"/>
          <w:b/>
          <w:sz w:val="21"/>
          <w:szCs w:val="21"/>
        </w:rPr>
        <w:t>金额</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合同</w:t>
      </w:r>
      <w:r>
        <w:rPr>
          <w:rFonts w:hint="eastAsia" w:ascii="宋体" w:hAnsi="宋体" w:eastAsia="宋体" w:cs="宋体"/>
          <w:sz w:val="21"/>
          <w:szCs w:val="21"/>
        </w:rPr>
        <w:t>总价为</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三、保险险种和赔偿限额</w:t>
      </w:r>
    </w:p>
    <w:p>
      <w:pPr>
        <w:pStyle w:val="47"/>
        <w:keepNext w:val="0"/>
        <w:keepLines w:val="0"/>
        <w:pageBreakBefore w:val="0"/>
        <w:widowControl w:val="0"/>
        <w:tabs>
          <w:tab w:val="left" w:pos="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1.机动车交通事故责任强制保险（含车船税）；</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2.机动车辆（汽车）商业保险投保险种必须包括以下险种：</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（1）机动车损失险（按车辆价值购买）； </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（2）机动车第三者责任险：每车每年保险金额100万元； </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（3）车上人员责任险：保险金额5万元/座，以车辆行驶证核定座位数为准。</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sz w:val="21"/>
          <w:szCs w:val="21"/>
        </w:rPr>
        <w:t>购买保险时间：202</w:t>
      </w:r>
      <w:r>
        <w:rPr>
          <w:rFonts w:hint="eastAsia" w:ascii="宋体" w:hAnsi="宋体" w:eastAsia="宋体" w:cs="宋体"/>
          <w:sz w:val="21"/>
          <w:szCs w:val="21"/>
          <w:lang w:val="en-US" w:eastAsia="zh-CN"/>
        </w:rPr>
        <w:t>3</w:t>
      </w:r>
      <w:r>
        <w:rPr>
          <w:rFonts w:hint="eastAsia" w:ascii="宋体" w:hAnsi="宋体" w:eastAsia="宋体" w:cs="宋体"/>
          <w:sz w:val="21"/>
          <w:szCs w:val="21"/>
        </w:rPr>
        <w:t>年1月1日至202</w:t>
      </w:r>
      <w:r>
        <w:rPr>
          <w:rFonts w:hint="eastAsia" w:ascii="宋体" w:hAnsi="宋体" w:eastAsia="宋体" w:cs="宋体"/>
          <w:sz w:val="21"/>
          <w:szCs w:val="21"/>
          <w:lang w:val="en-US" w:eastAsia="zh-CN"/>
        </w:rPr>
        <w:t>5</w:t>
      </w:r>
      <w:r>
        <w:rPr>
          <w:rFonts w:hint="eastAsia" w:ascii="宋体" w:hAnsi="宋体" w:eastAsia="宋体" w:cs="宋体"/>
          <w:sz w:val="21"/>
          <w:szCs w:val="21"/>
        </w:rPr>
        <w:t>年12月31日</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四、参保车辆明细</w:t>
      </w:r>
    </w:p>
    <w:tbl>
      <w:tblPr>
        <w:tblStyle w:val="20"/>
        <w:tblW w:w="10150" w:type="dxa"/>
        <w:jc w:val="center"/>
        <w:tblLayout w:type="fixed"/>
        <w:tblCellMar>
          <w:top w:w="0" w:type="dxa"/>
          <w:left w:w="108" w:type="dxa"/>
          <w:bottom w:w="0" w:type="dxa"/>
          <w:right w:w="108" w:type="dxa"/>
        </w:tblCellMar>
      </w:tblPr>
      <w:tblGrid>
        <w:gridCol w:w="670"/>
        <w:gridCol w:w="1121"/>
        <w:gridCol w:w="3103"/>
        <w:gridCol w:w="2287"/>
        <w:gridCol w:w="599"/>
        <w:gridCol w:w="1211"/>
        <w:gridCol w:w="1159"/>
      </w:tblGrid>
      <w:tr>
        <w:tblPrEx>
          <w:tblCellMar>
            <w:top w:w="0" w:type="dxa"/>
            <w:left w:w="108" w:type="dxa"/>
            <w:bottom w:w="0" w:type="dxa"/>
            <w:right w:w="108" w:type="dxa"/>
          </w:tblCellMar>
        </w:tblPrEx>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车牌号码</w:t>
            </w:r>
          </w:p>
        </w:tc>
        <w:tc>
          <w:tcPr>
            <w:tcW w:w="31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规格型号</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车辆类型</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座位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车辆排量</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lang w:val="en-US" w:eastAsia="zh-CN"/>
              </w:rPr>
              <w:t>L</w:t>
            </w:r>
            <w:r>
              <w:rPr>
                <w:rFonts w:hint="eastAsia" w:ascii="宋体" w:hAnsi="宋体" w:eastAsia="宋体" w:cs="宋体"/>
                <w:b/>
                <w:bCs/>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购置时间</w:t>
            </w:r>
          </w:p>
        </w:tc>
      </w:tr>
      <w:tr>
        <w:tblPrEx>
          <w:tblCellMar>
            <w:top w:w="0" w:type="dxa"/>
            <w:left w:w="108" w:type="dxa"/>
            <w:bottom w:w="0" w:type="dxa"/>
            <w:right w:w="108" w:type="dxa"/>
          </w:tblCellMar>
        </w:tblPrEx>
        <w:trPr>
          <w:trHeight w:val="65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2009.3.30</w:t>
            </w:r>
          </w:p>
        </w:tc>
      </w:tr>
      <w:tr>
        <w:tblPrEx>
          <w:tblCellMar>
            <w:top w:w="0" w:type="dxa"/>
            <w:left w:w="108" w:type="dxa"/>
            <w:bottom w:w="0" w:type="dxa"/>
            <w:right w:w="108" w:type="dxa"/>
          </w:tblCellMar>
        </w:tblPrEx>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金杯SY6521G2S3BG/8236051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2.6930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丰田柯斯达SCT6702TRB53LE/8196095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2.6940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别克SGM6520UYAA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小型普通客车（商务车）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2.3840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奔驰宾士北地牌ND5043XJH/27297931404038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金龙XML5033XJH/E2R22599993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2.4380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2002.1.29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奔驰北地牌ND5040XJH-3H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金龙XMQ5140AXYL</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大型专用客车（乳腺普查车）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6.4940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金杯SY6521MS3BG/05156A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2.4380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2010.9.13</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宇通牌ZK6860HB/G21YA800016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5.2000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厦门金旅XML6101J13/A68LAA60089</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7.2550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2010.8.24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2021.8.27</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金龙XMQ6606DYD6D客车</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年底购置</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五、保险责任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在保险期限内，乙方根据投保人选择投保的险种，按照中国保险监督管理委员会批复条款所载明的保险责任承担赔偿。</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六、付款方式</w:t>
      </w:r>
    </w:p>
    <w:p>
      <w:pPr>
        <w:pStyle w:val="47"/>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保险费以实际购买车辆数支付，经</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确认后，</w:t>
      </w:r>
      <w:r>
        <w:rPr>
          <w:rFonts w:hint="eastAsia" w:ascii="宋体" w:hAnsi="宋体" w:cs="宋体"/>
          <w:kern w:val="0"/>
          <w:sz w:val="21"/>
          <w:szCs w:val="21"/>
          <w:lang w:val="en-US" w:eastAsia="zh-CN"/>
        </w:rPr>
        <w:t>乙方</w:t>
      </w:r>
      <w:r>
        <w:rPr>
          <w:rFonts w:hint="eastAsia" w:ascii="宋体" w:hAnsi="宋体" w:eastAsia="宋体" w:cs="宋体"/>
          <w:kern w:val="0"/>
          <w:sz w:val="21"/>
          <w:szCs w:val="21"/>
        </w:rPr>
        <w:t>向</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开具正式发票。</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在收到发票的20个工作日内支付费用。</w:t>
      </w:r>
    </w:p>
    <w:p>
      <w:pPr>
        <w:pStyle w:val="47"/>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在服务期内不超过合同总价的情况下，按实际发生金额进行结算</w:t>
      </w:r>
      <w:r>
        <w:rPr>
          <w:rFonts w:hint="eastAsia" w:ascii="宋体" w:hAnsi="宋体" w:cs="宋体"/>
          <w:kern w:val="0"/>
          <w:sz w:val="21"/>
          <w:szCs w:val="21"/>
          <w:lang w:eastAsia="zh-CN"/>
        </w:rPr>
        <w:t>。</w:t>
      </w:r>
      <w:r>
        <w:rPr>
          <w:rFonts w:hint="eastAsia" w:ascii="宋体" w:hAnsi="宋体" w:eastAsia="宋体" w:cs="宋体"/>
          <w:kern w:val="0"/>
          <w:sz w:val="21"/>
          <w:szCs w:val="21"/>
        </w:rPr>
        <w:t>在服务期内结算总金额达到合同总价时合同终止，但乙方仍须按照“机动车交通事故责任强制保险”及“机动车辆商业保险”相关规定，在相应保险期间内承担保险责任。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七、赔偿处理及赔偿标准</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赔偿处理按《机动车交通事故责任强制保险条款》、《机动车辆商业保险条款》的有关条款处理，赔偿标准按照《中华人民共和国道路交通安全法》、《机动车交通事故责任强制保险条例》、《最高人民法院关于审理人身损害赔偿案件适用法律问题的若干问题的司法解释》、《广东省道路交通安全法实施条例》的有关规定处理，乙方应主动协助甲方处理赔款事宜。</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甲方在保险期内的一切事故赔款事宜，直接与乙方办理。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八、</w:t>
      </w:r>
      <w:r>
        <w:rPr>
          <w:rFonts w:hint="eastAsia" w:ascii="宋体" w:hAnsi="宋体" w:cs="宋体"/>
          <w:b/>
          <w:sz w:val="21"/>
          <w:szCs w:val="21"/>
          <w:lang w:eastAsia="zh-CN"/>
        </w:rPr>
        <w:t>合同</w:t>
      </w:r>
      <w:r>
        <w:rPr>
          <w:rFonts w:hint="eastAsia" w:ascii="宋体" w:hAnsi="宋体" w:eastAsia="宋体" w:cs="宋体"/>
          <w:b/>
          <w:sz w:val="21"/>
          <w:szCs w:val="21"/>
        </w:rPr>
        <w:t>变更、违约与终止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任何对</w:t>
      </w:r>
      <w:r>
        <w:rPr>
          <w:rFonts w:hint="eastAsia" w:ascii="宋体" w:hAnsi="宋体" w:cs="宋体"/>
          <w:sz w:val="21"/>
          <w:szCs w:val="21"/>
          <w:lang w:eastAsia="zh-CN"/>
        </w:rPr>
        <w:t>合同</w:t>
      </w:r>
      <w:r>
        <w:rPr>
          <w:rFonts w:hint="eastAsia" w:ascii="宋体" w:hAnsi="宋体" w:eastAsia="宋体" w:cs="宋体"/>
          <w:sz w:val="21"/>
          <w:szCs w:val="21"/>
        </w:rPr>
        <w:t>条件的变更或修改均须双方签订书面的修改书。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 在本</w:t>
      </w:r>
      <w:r>
        <w:rPr>
          <w:rFonts w:hint="eastAsia" w:ascii="宋体" w:hAnsi="宋体" w:cs="宋体"/>
          <w:sz w:val="21"/>
          <w:szCs w:val="21"/>
          <w:lang w:eastAsia="zh-CN"/>
        </w:rPr>
        <w:t>合同</w:t>
      </w:r>
      <w:r>
        <w:rPr>
          <w:rFonts w:hint="eastAsia" w:ascii="宋体" w:hAnsi="宋体" w:eastAsia="宋体" w:cs="宋体"/>
          <w:sz w:val="21"/>
          <w:szCs w:val="21"/>
        </w:rPr>
        <w:t>执行过程中，甲方或其监管部门将定期或不定期对乙方执行</w:t>
      </w:r>
      <w:r>
        <w:rPr>
          <w:rFonts w:hint="eastAsia" w:ascii="宋体" w:hAnsi="宋体" w:cs="宋体"/>
          <w:sz w:val="21"/>
          <w:szCs w:val="21"/>
          <w:lang w:eastAsia="zh-CN"/>
        </w:rPr>
        <w:t>合同</w:t>
      </w:r>
      <w:r>
        <w:rPr>
          <w:rFonts w:hint="eastAsia" w:ascii="宋体" w:hAnsi="宋体" w:eastAsia="宋体" w:cs="宋体"/>
          <w:sz w:val="21"/>
          <w:szCs w:val="21"/>
        </w:rPr>
        <w:t>的情况进行检查，如乙方违反《中山大学孙逸仙纪念医院车辆保险管理细则》的规定，在甲方对乙方违约而采取的任何补救措施不受影响的情况下，甲方或其监管部门有权对乙方发出终止</w:t>
      </w:r>
      <w:r>
        <w:rPr>
          <w:rFonts w:hint="eastAsia" w:ascii="宋体" w:hAnsi="宋体" w:cs="宋体"/>
          <w:sz w:val="21"/>
          <w:szCs w:val="21"/>
          <w:lang w:eastAsia="zh-CN"/>
        </w:rPr>
        <w:t>合同</w:t>
      </w:r>
      <w:r>
        <w:rPr>
          <w:rFonts w:hint="eastAsia" w:ascii="宋体" w:hAnsi="宋体" w:eastAsia="宋体" w:cs="宋体"/>
          <w:sz w:val="21"/>
          <w:szCs w:val="21"/>
        </w:rPr>
        <w:t>的书面通知，该书面通知一经发出，本</w:t>
      </w:r>
      <w:r>
        <w:rPr>
          <w:rFonts w:hint="eastAsia" w:ascii="宋体" w:hAnsi="宋体" w:cs="宋体"/>
          <w:sz w:val="21"/>
          <w:szCs w:val="21"/>
          <w:lang w:eastAsia="zh-CN"/>
        </w:rPr>
        <w:t>合同</w:t>
      </w:r>
      <w:r>
        <w:rPr>
          <w:rFonts w:hint="eastAsia" w:ascii="宋体" w:hAnsi="宋体" w:eastAsia="宋体" w:cs="宋体"/>
          <w:sz w:val="21"/>
          <w:szCs w:val="21"/>
        </w:rPr>
        <w:t>即行终止。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 乙方在任何情况下都不得向甲方及其经办人提供任何形式的回扣，一经发现，甲方可立即全面终止</w:t>
      </w:r>
      <w:r>
        <w:rPr>
          <w:rFonts w:hint="eastAsia" w:ascii="宋体" w:hAnsi="宋体" w:cs="宋体"/>
          <w:sz w:val="21"/>
          <w:szCs w:val="21"/>
          <w:lang w:eastAsia="zh-CN"/>
        </w:rPr>
        <w:t>合同</w:t>
      </w:r>
      <w:r>
        <w:rPr>
          <w:rFonts w:hint="eastAsia" w:ascii="宋体" w:hAnsi="宋体" w:eastAsia="宋体" w:cs="宋体"/>
          <w:sz w:val="21"/>
          <w:szCs w:val="21"/>
        </w:rPr>
        <w:t>的执行，同时提请有关部门追究有关当事人的责任。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.如果乙方破产或无清偿能力，甲方可在任何时候以书面形式通知乙方中止</w:t>
      </w:r>
      <w:r>
        <w:rPr>
          <w:rFonts w:hint="eastAsia" w:ascii="宋体" w:hAnsi="宋体" w:cs="宋体"/>
          <w:sz w:val="21"/>
          <w:szCs w:val="21"/>
          <w:lang w:eastAsia="zh-CN"/>
        </w:rPr>
        <w:t>合同</w:t>
      </w:r>
      <w:r>
        <w:rPr>
          <w:rFonts w:hint="eastAsia" w:ascii="宋体" w:hAnsi="宋体" w:eastAsia="宋体" w:cs="宋体"/>
          <w:sz w:val="21"/>
          <w:szCs w:val="21"/>
        </w:rPr>
        <w:t>而不给乙方任何补偿。该中止</w:t>
      </w:r>
      <w:r>
        <w:rPr>
          <w:rFonts w:hint="eastAsia" w:ascii="宋体" w:hAnsi="宋体" w:cs="宋体"/>
          <w:sz w:val="21"/>
          <w:szCs w:val="21"/>
          <w:lang w:eastAsia="zh-CN"/>
        </w:rPr>
        <w:t>合同</w:t>
      </w:r>
      <w:r>
        <w:rPr>
          <w:rFonts w:hint="eastAsia" w:ascii="宋体" w:hAnsi="宋体" w:eastAsia="宋体" w:cs="宋体"/>
          <w:sz w:val="21"/>
          <w:szCs w:val="21"/>
        </w:rPr>
        <w:t>将不损害或影响甲方已经采取或将要采取的任何行动或补救措施的权力。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5.乙方在实际服务时，若被发现提供的服务未能达到采购文件中的有关要求和响应文件的承诺，将按有关法规进行处罚，甲方将有权单方面中止合同的执行,并追究因乙方所提供的未达到所承诺准确率服务而产生的所有损失和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6.如因国家相关政策发生变化，应以最新的国家相关政策为准并进行执行，如因国家相关政策发生变化而导致本次项目的合同无法继续执行，甲方不承担任何责任，乙方自行承担由此带来的任何风险及后果。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cs="宋体"/>
          <w:b/>
          <w:sz w:val="21"/>
          <w:szCs w:val="21"/>
          <w:lang w:val="en-US" w:eastAsia="zh-CN"/>
        </w:rPr>
        <w:t>九</w:t>
      </w:r>
      <w:r>
        <w:rPr>
          <w:rFonts w:hint="eastAsia" w:ascii="宋体" w:hAnsi="宋体" w:eastAsia="宋体" w:cs="宋体"/>
          <w:b/>
          <w:sz w:val="21"/>
          <w:szCs w:val="21"/>
        </w:rPr>
        <w:t>、争端的解决</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sz w:val="21"/>
          <w:szCs w:val="21"/>
          <w:lang w:eastAsia="zh-CN"/>
        </w:rPr>
      </w:pPr>
      <w:r>
        <w:rPr>
          <w:rFonts w:hint="eastAsia" w:ascii="宋体" w:hAnsi="宋体" w:cs="宋体"/>
          <w:sz w:val="21"/>
          <w:szCs w:val="21"/>
          <w:lang w:eastAsia="zh-CN"/>
        </w:rPr>
        <w:t>签约双方在履约中发生争执和分歧，双方应通过友好协商解决，若经协商不能达成协议时，则向甲方所在地人民法院提起诉讼。受理期间，双方应继续执行合同其余部分。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cs="宋体"/>
          <w:b/>
          <w:sz w:val="21"/>
          <w:szCs w:val="21"/>
          <w:lang w:eastAsia="zh-CN"/>
        </w:rPr>
        <w:t>合同</w:t>
      </w:r>
      <w:r>
        <w:rPr>
          <w:rFonts w:hint="eastAsia" w:ascii="宋体" w:hAnsi="宋体" w:eastAsia="宋体" w:cs="宋体"/>
          <w:b/>
          <w:sz w:val="21"/>
          <w:szCs w:val="21"/>
        </w:rPr>
        <w:t>生效及其他</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在甲乙双方签字并盖章后生效。</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签订后所发生保险方面的</w:t>
      </w:r>
      <w:r>
        <w:rPr>
          <w:rFonts w:hint="eastAsia" w:ascii="宋体" w:hAnsi="宋体" w:cs="宋体"/>
          <w:sz w:val="21"/>
          <w:szCs w:val="21"/>
          <w:lang w:eastAsia="zh-CN"/>
        </w:rPr>
        <w:t>合同</w:t>
      </w:r>
      <w:r>
        <w:rPr>
          <w:rFonts w:hint="eastAsia" w:ascii="宋体" w:hAnsi="宋体" w:eastAsia="宋体" w:cs="宋体"/>
          <w:sz w:val="21"/>
          <w:szCs w:val="21"/>
        </w:rPr>
        <w:t>纠纷，甲方委托乙方进行处理，乙方的代理权限以甲方签发的《授权委托书》为准。</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甲方定期或不定期对乙方的</w:t>
      </w:r>
      <w:r>
        <w:rPr>
          <w:rFonts w:hint="eastAsia" w:ascii="宋体" w:hAnsi="宋体" w:cs="宋体"/>
          <w:sz w:val="21"/>
          <w:szCs w:val="21"/>
          <w:lang w:eastAsia="zh-CN"/>
        </w:rPr>
        <w:t>合同</w:t>
      </w:r>
      <w:r>
        <w:rPr>
          <w:rFonts w:hint="eastAsia" w:ascii="宋体" w:hAnsi="宋体" w:eastAsia="宋体" w:cs="宋体"/>
          <w:sz w:val="21"/>
          <w:szCs w:val="21"/>
        </w:rPr>
        <w:t>执行情况进行检查，如发现未执行</w:t>
      </w:r>
      <w:r>
        <w:rPr>
          <w:rFonts w:hint="eastAsia" w:ascii="宋体" w:hAnsi="宋体" w:cs="宋体"/>
          <w:sz w:val="21"/>
          <w:szCs w:val="21"/>
          <w:lang w:eastAsia="zh-CN"/>
        </w:rPr>
        <w:t>合同</w:t>
      </w:r>
      <w:r>
        <w:rPr>
          <w:rFonts w:hint="eastAsia" w:ascii="宋体" w:hAnsi="宋体" w:eastAsia="宋体" w:cs="宋体"/>
          <w:sz w:val="21"/>
          <w:szCs w:val="21"/>
        </w:rPr>
        <w:t>条款，将取消其承保资格。</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之所有附件和结果通知书均为</w:t>
      </w:r>
      <w:r>
        <w:rPr>
          <w:rFonts w:hint="eastAsia" w:ascii="宋体" w:hAnsi="宋体" w:cs="宋体"/>
          <w:sz w:val="21"/>
          <w:szCs w:val="21"/>
          <w:lang w:eastAsia="zh-CN"/>
        </w:rPr>
        <w:t>合同</w:t>
      </w:r>
      <w:r>
        <w:rPr>
          <w:rFonts w:hint="eastAsia" w:ascii="宋体" w:hAnsi="宋体" w:eastAsia="宋体" w:cs="宋体"/>
          <w:sz w:val="21"/>
          <w:szCs w:val="21"/>
        </w:rPr>
        <w:t>的有效组成部分，与本</w:t>
      </w:r>
      <w:r>
        <w:rPr>
          <w:rFonts w:hint="eastAsia" w:ascii="宋体" w:hAnsi="宋体" w:cs="宋体"/>
          <w:sz w:val="21"/>
          <w:szCs w:val="21"/>
          <w:lang w:eastAsia="zh-CN"/>
        </w:rPr>
        <w:t>合同</w:t>
      </w:r>
      <w:r>
        <w:rPr>
          <w:rFonts w:hint="eastAsia" w:ascii="宋体" w:hAnsi="宋体" w:eastAsia="宋体" w:cs="宋体"/>
          <w:sz w:val="21"/>
          <w:szCs w:val="21"/>
        </w:rPr>
        <w:t>具有同样法律效力。</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除经</w:t>
      </w:r>
      <w:r>
        <w:rPr>
          <w:rFonts w:hint="eastAsia" w:ascii="宋体" w:hAnsi="宋体" w:cs="宋体"/>
          <w:sz w:val="21"/>
          <w:szCs w:val="21"/>
          <w:lang w:val="en-US" w:eastAsia="zh-CN"/>
        </w:rPr>
        <w:t>甲方</w:t>
      </w:r>
      <w:r>
        <w:rPr>
          <w:rFonts w:hint="eastAsia" w:ascii="宋体" w:hAnsi="宋体" w:eastAsia="宋体" w:cs="宋体"/>
          <w:sz w:val="21"/>
          <w:szCs w:val="21"/>
        </w:rPr>
        <w:t xml:space="preserve">批准并事先书面同意外，乙方不得部分转让或全部转让其履行的合同义务。 </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在执行本</w:t>
      </w:r>
      <w:r>
        <w:rPr>
          <w:rFonts w:hint="eastAsia" w:ascii="宋体" w:hAnsi="宋体" w:cs="宋体"/>
          <w:sz w:val="21"/>
          <w:szCs w:val="21"/>
          <w:lang w:eastAsia="zh-CN"/>
        </w:rPr>
        <w:t>合同</w:t>
      </w:r>
      <w:r>
        <w:rPr>
          <w:rFonts w:hint="eastAsia" w:ascii="宋体" w:hAnsi="宋体" w:eastAsia="宋体" w:cs="宋体"/>
          <w:sz w:val="21"/>
          <w:szCs w:val="21"/>
        </w:rPr>
        <w:t>的过程中，所有经甲乙双方签署确认的文件（包括会议纪要、补充</w:t>
      </w:r>
      <w:r>
        <w:rPr>
          <w:rFonts w:hint="eastAsia" w:ascii="宋体" w:hAnsi="宋体" w:cs="宋体"/>
          <w:sz w:val="21"/>
          <w:szCs w:val="21"/>
          <w:lang w:val="en-US" w:eastAsia="zh-CN"/>
        </w:rPr>
        <w:t>协议</w:t>
      </w:r>
      <w:r>
        <w:rPr>
          <w:rFonts w:hint="eastAsia" w:ascii="宋体" w:hAnsi="宋体" w:eastAsia="宋体" w:cs="宋体"/>
          <w:sz w:val="21"/>
          <w:szCs w:val="21"/>
        </w:rPr>
        <w:t>）即成为本</w:t>
      </w:r>
      <w:r>
        <w:rPr>
          <w:rFonts w:hint="eastAsia" w:ascii="宋体" w:hAnsi="宋体" w:cs="宋体"/>
          <w:sz w:val="21"/>
          <w:szCs w:val="21"/>
          <w:lang w:eastAsia="zh-CN"/>
        </w:rPr>
        <w:t>合同</w:t>
      </w:r>
      <w:r>
        <w:rPr>
          <w:rFonts w:hint="eastAsia" w:ascii="宋体" w:hAnsi="宋体" w:eastAsia="宋体" w:cs="宋体"/>
          <w:sz w:val="21"/>
          <w:szCs w:val="21"/>
        </w:rPr>
        <w:t>的有效组成部分，其生效日期为双方签字盖章或确认之日期。</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w:t>
      </w:r>
      <w:r>
        <w:rPr>
          <w:rFonts w:hint="eastAsia" w:ascii="宋体" w:hAnsi="宋体" w:cs="宋体"/>
          <w:b w:val="0"/>
          <w:bCs w:val="0"/>
          <w:sz w:val="21"/>
          <w:szCs w:val="21"/>
          <w:lang w:eastAsia="zh-CN"/>
        </w:rPr>
        <w:t>合同</w:t>
      </w:r>
      <w:r>
        <w:rPr>
          <w:rFonts w:hint="eastAsia" w:ascii="宋体" w:hAnsi="宋体" w:eastAsia="宋体" w:cs="宋体"/>
          <w:b w:val="0"/>
          <w:bCs w:val="0"/>
          <w:sz w:val="21"/>
          <w:szCs w:val="21"/>
        </w:rPr>
        <w:t>一式</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份，甲方</w:t>
      </w:r>
      <w:r>
        <w:rPr>
          <w:rFonts w:hint="eastAsia" w:ascii="宋体" w:hAnsi="宋体" w:eastAsia="宋体" w:cs="宋体"/>
          <w:b w:val="0"/>
          <w:bCs w:val="0"/>
          <w:sz w:val="21"/>
          <w:szCs w:val="21"/>
          <w:lang w:val="en-US" w:eastAsia="zh-CN"/>
        </w:rPr>
        <w:t>叁</w:t>
      </w:r>
      <w:r>
        <w:rPr>
          <w:rFonts w:hint="eastAsia" w:ascii="宋体" w:hAnsi="宋体" w:eastAsia="宋体" w:cs="宋体"/>
          <w:b w:val="0"/>
          <w:bCs w:val="0"/>
          <w:sz w:val="21"/>
          <w:szCs w:val="21"/>
        </w:rPr>
        <w:t>份，乙方</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份，具有同等法律效力。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甲方：中山大学孙逸仙纪念医院             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地址：广州市越秀区沿江西路107号         地址：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                                   电话：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邮政编码：510120                         邮政编码：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盖章：                                   盖章：</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日期：</w:t>
      </w: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文件的组成部分，仅为善意提醒。如有不一致，以</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文件为准。）</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12"/>
        </w:numPr>
        <w:spacing w:line="360" w:lineRule="auto"/>
        <w:ind w:left="0" w:leftChars="0" w:firstLine="560" w:firstLineChars="2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凡关于采购文件的所有响应资料（包含但不限于：承诺函、声明函等各类函件，资质证书等证明资料复印件，项目具体实施方案等)，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为了提高采购效率，节约社会交易成本与时间，已</w:t>
      </w:r>
      <w:r>
        <w:rPr>
          <w:rFonts w:hint="eastAsia" w:ascii="黑体" w:hAnsi="黑体" w:eastAsia="黑体" w:cs="黑体"/>
          <w:color w:val="000000" w:themeColor="text1"/>
          <w:sz w:val="28"/>
          <w:szCs w:val="28"/>
          <w:highlight w:val="none"/>
          <w:lang w:val="en-US" w:eastAsia="zh-CN"/>
          <w14:textFill>
            <w14:solidFill>
              <w14:schemeClr w14:val="tx1"/>
            </w14:solidFill>
          </w14:textFill>
        </w:rPr>
        <w:t>报名并获取了</w:t>
      </w:r>
      <w:r>
        <w:rPr>
          <w:rFonts w:hint="eastAsia" w:ascii="黑体" w:hAnsi="黑体" w:eastAsia="黑体" w:cs="黑体"/>
          <w:color w:val="000000" w:themeColor="text1"/>
          <w:sz w:val="28"/>
          <w:szCs w:val="28"/>
          <w:highlight w:val="none"/>
          <w14:textFill>
            <w14:solidFill>
              <w14:schemeClr w14:val="tx1"/>
            </w14:solidFill>
          </w14:textFill>
        </w:rPr>
        <w:t>采购文件而决定不参加本</w:t>
      </w:r>
      <w:r>
        <w:rPr>
          <w:rFonts w:hint="eastAsia" w:ascii="黑体" w:hAnsi="黑体" w:eastAsia="黑体" w:cs="黑体"/>
          <w:color w:val="000000" w:themeColor="text1"/>
          <w:sz w:val="28"/>
          <w:szCs w:val="28"/>
          <w:highlight w:val="none"/>
          <w:lang w:val="en-US" w:eastAsia="zh-CN"/>
          <w14:textFill>
            <w14:solidFill>
              <w14:schemeClr w14:val="tx1"/>
            </w14:solidFill>
          </w14:textFill>
        </w:rPr>
        <w:t>项目响应</w:t>
      </w:r>
      <w:r>
        <w:rPr>
          <w:rFonts w:hint="eastAsia" w:ascii="黑体" w:hAnsi="黑体" w:eastAsia="黑体" w:cs="黑体"/>
          <w:color w:val="000000" w:themeColor="text1"/>
          <w:sz w:val="28"/>
          <w:szCs w:val="28"/>
          <w:highlight w:val="none"/>
          <w14:textFill>
            <w14:solidFill>
              <w14:schemeClr w14:val="tx1"/>
            </w14:solidFill>
          </w14:textFill>
        </w:rPr>
        <w:t>的供应商，在</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文件递交截止时间的</w:t>
      </w:r>
      <w:r>
        <w:rPr>
          <w:rFonts w:hint="eastAsia" w:ascii="黑体" w:hAnsi="黑体" w:eastAsia="黑体" w:cs="黑体"/>
          <w:color w:val="000000" w:themeColor="text1"/>
          <w:sz w:val="28"/>
          <w:szCs w:val="28"/>
          <w:highlight w:val="none"/>
          <w:lang w:eastAsia="zh-CN"/>
          <w14:textFill>
            <w14:solidFill>
              <w14:schemeClr w14:val="tx1"/>
            </w14:solidFill>
          </w14:textFill>
        </w:rPr>
        <w:t>前</w:t>
      </w:r>
      <w:r>
        <w:rPr>
          <w:rFonts w:hint="eastAsia" w:ascii="黑体" w:hAnsi="黑体" w:eastAsia="黑体" w:cs="黑体"/>
          <w:color w:val="000000" w:themeColor="text1"/>
          <w:sz w:val="28"/>
          <w:szCs w:val="28"/>
          <w:highlight w:val="none"/>
          <w:lang w:val="en-US" w:eastAsia="zh-CN"/>
          <w14:textFill>
            <w14:solidFill>
              <w14:schemeClr w14:val="tx1"/>
            </w14:solidFill>
          </w14:textFill>
        </w:rPr>
        <w:t>3</w:t>
      </w:r>
      <w:r>
        <w:rPr>
          <w:rFonts w:hint="eastAsia" w:ascii="黑体" w:hAnsi="黑体" w:eastAsia="黑体" w:cs="黑体"/>
          <w:color w:val="000000" w:themeColor="text1"/>
          <w:sz w:val="28"/>
          <w:szCs w:val="28"/>
          <w:highlight w:val="none"/>
          <w14:textFill>
            <w14:solidFill>
              <w14:schemeClr w14:val="tx1"/>
            </w14:solidFill>
          </w14:textFill>
        </w:rPr>
        <w:t>日，按《</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邀请函》中的联系方式，以</w:t>
      </w:r>
      <w:r>
        <w:rPr>
          <w:rFonts w:hint="eastAsia" w:ascii="黑体" w:hAnsi="黑体" w:eastAsia="黑体" w:cs="黑体"/>
          <w:color w:val="000000" w:themeColor="text1"/>
          <w:sz w:val="28"/>
          <w:szCs w:val="28"/>
          <w:highlight w:val="none"/>
          <w:lang w:val="en-US" w:eastAsia="zh-CN"/>
          <w14:textFill>
            <w14:solidFill>
              <w14:schemeClr w14:val="tx1"/>
            </w14:solidFill>
          </w14:textFill>
        </w:rPr>
        <w:t>电子邮件</w:t>
      </w:r>
      <w:r>
        <w:rPr>
          <w:rFonts w:hint="eastAsia" w:ascii="黑体" w:hAnsi="黑体" w:eastAsia="黑体" w:cs="黑体"/>
          <w:color w:val="000000" w:themeColor="text1"/>
          <w:sz w:val="28"/>
          <w:szCs w:val="28"/>
          <w:highlight w:val="none"/>
          <w14:textFill>
            <w14:solidFill>
              <w14:schemeClr w14:val="tx1"/>
            </w14:solidFill>
          </w14:textFill>
        </w:rPr>
        <w:t>形式告知</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我院指定联系人（否则影响到供应商今后参加我院采购项目的评价）</w:t>
      </w:r>
      <w:r>
        <w:rPr>
          <w:rFonts w:hint="eastAsia" w:ascii="黑体" w:hAnsi="黑体" w:eastAsia="黑体" w:cs="黑体"/>
          <w:color w:val="000000" w:themeColor="text1"/>
          <w:sz w:val="28"/>
          <w:szCs w:val="28"/>
          <w:highlight w:val="none"/>
          <w14:textFill>
            <w14:solidFill>
              <w14:schemeClr w14:val="tx1"/>
            </w14:solidFill>
          </w14:textFill>
        </w:rPr>
        <w:t>。对您的支持与配合，谨此致谢。</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14:textFill>
            <w14:solidFill>
              <w14:schemeClr w14:val="tx1"/>
            </w14:solidFill>
          </w14:textFill>
        </w:rPr>
        <w:t>中山大学</w:t>
      </w:r>
      <w:r>
        <w:rPr>
          <w:rFonts w:hint="eastAsia" w:ascii="宋体" w:hAnsi="宋体"/>
          <w:b/>
          <w:color w:val="000000" w:themeColor="text1"/>
          <w:sz w:val="52"/>
          <w:szCs w:val="32"/>
          <w:highlight w:val="none"/>
          <w:lang w:val="en-US" w:eastAsia="zh-CN"/>
          <w14:textFill>
            <w14:solidFill>
              <w14:schemeClr w14:val="tx1"/>
            </w14:solidFill>
          </w14:textFill>
        </w:rPr>
        <w:t>孙逸仙纪念</w:t>
      </w:r>
      <w:r>
        <w:rPr>
          <w:rFonts w:hint="eastAsia" w:ascii="宋体" w:hAnsi="宋体"/>
          <w:b/>
          <w:color w:val="000000" w:themeColor="text1"/>
          <w:sz w:val="52"/>
          <w:szCs w:val="32"/>
          <w:highlight w:val="none"/>
          <w14:textFill>
            <w14:solidFill>
              <w14:schemeClr w14:val="tx1"/>
            </w14:solidFill>
          </w14:textFill>
        </w:rPr>
        <w:t>医院</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u w:val="single"/>
          <w14:textFill>
            <w14:solidFill>
              <w14:schemeClr w14:val="tx1"/>
            </w14:solidFill>
          </w14:textFill>
        </w:rPr>
        <w:t xml:space="preserve">             </w:t>
      </w:r>
      <w:r>
        <w:rPr>
          <w:rFonts w:hint="eastAsia" w:ascii="宋体" w:hAnsi="宋体"/>
          <w:b/>
          <w:color w:val="000000" w:themeColor="text1"/>
          <w:sz w:val="52"/>
          <w:szCs w:val="32"/>
          <w:highlight w:val="none"/>
          <w14:textFill>
            <w14:solidFill>
              <w14:schemeClr w14:val="tx1"/>
            </w14:solidFill>
          </w14:textFill>
        </w:rPr>
        <w:t>项目</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lang w:val="en-US" w:eastAsia="zh-CN"/>
          <w14:textFill>
            <w14:solidFill>
              <w14:schemeClr w14:val="tx1"/>
            </w14:solidFill>
          </w14:textFill>
        </w:rPr>
        <w:t>响</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应</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文</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件</w:t>
      </w:r>
    </w:p>
    <w:p>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themeColor="text1"/>
          <w:sz w:val="32"/>
          <w:szCs w:val="32"/>
          <w:highlight w:val="none"/>
          <w:lang w:val="en-US" w:eastAsia="zh-CN"/>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themeColor="text1"/>
          <w:sz w:val="28"/>
          <w:szCs w:val="28"/>
          <w:highlight w:val="none"/>
          <w:u w:val="single"/>
          <w:lang w:val="en-US"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公司名称</w:t>
      </w:r>
      <w:r>
        <w:rPr>
          <w:rFonts w:hint="eastAsia" w:hAnsi="宋体" w:cs="宋体"/>
          <w:b/>
          <w:color w:val="000000" w:themeColor="text1"/>
          <w:sz w:val="22"/>
          <w:szCs w:val="22"/>
          <w:highlight w:val="none"/>
          <w14:textFill>
            <w14:solidFill>
              <w14:schemeClr w14:val="tx1"/>
            </w14:solidFill>
          </w14:textFill>
        </w:rPr>
        <w:t>（盖章）</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法定代表人或法定授权代表</w:t>
      </w:r>
      <w:r>
        <w:rPr>
          <w:rFonts w:hint="eastAsia" w:hAnsi="宋体" w:cs="宋体"/>
          <w:b/>
          <w:color w:val="000000" w:themeColor="text1"/>
          <w:sz w:val="22"/>
          <w:szCs w:val="22"/>
          <w:highlight w:val="none"/>
          <w14:textFill>
            <w14:solidFill>
              <w14:schemeClr w14:val="tx1"/>
            </w14:solidFill>
          </w14:textFill>
        </w:rPr>
        <w:t>（签字）</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联系方式：</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日    期：</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3"/>
        <w:pageBreakBefore/>
        <w:jc w:val="center"/>
        <w:rPr>
          <w:rFonts w:ascii="Calibri" w:hAnsi="Calibri" w:eastAsia="宋体" w:cs="宋体"/>
          <w:color w:val="000000" w:themeColor="text1"/>
          <w:sz w:val="24"/>
          <w:highlight w:val="none"/>
          <w14:textFill>
            <w14:solidFill>
              <w14:schemeClr w14:val="tx1"/>
            </w14:solidFill>
          </w14:textFill>
        </w:rPr>
      </w:pPr>
      <w:bookmarkStart w:id="20" w:name="_Toc97049462"/>
      <w:bookmarkStart w:id="21"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0"/>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default" w:ascii="宋体" w:hAnsi="宋体" w:cs="宋体"/>
          <w:color w:val="000000" w:themeColor="text1"/>
          <w:sz w:val="24"/>
          <w:szCs w:val="36"/>
          <w:highlight w:val="none"/>
          <w:lang w:val="en-US"/>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 xml:space="preserve">一、  </w:t>
      </w:r>
      <w:r>
        <w:rPr>
          <w:rFonts w:hint="eastAsia" w:ascii="宋体" w:hAnsi="宋体" w:cs="宋体"/>
          <w:color w:val="000000" w:themeColor="text1"/>
          <w:sz w:val="24"/>
          <w:szCs w:val="36"/>
          <w:highlight w:val="none"/>
          <w:lang w:val="en-US" w:eastAsia="zh-CN"/>
          <w14:textFill>
            <w14:solidFill>
              <w14:schemeClr w14:val="tx1"/>
            </w14:solidFill>
          </w14:textFill>
        </w:rPr>
        <w:t>报价………………………………………………………………………第（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（一）报价一览表………………………………………………………………第（  ）页</w:t>
      </w:r>
    </w:p>
    <w:p>
      <w:pPr>
        <w:shd w:val="clear" w:color="auto" w:fill="FFFFFF"/>
        <w:spacing w:line="360" w:lineRule="auto"/>
        <w:rPr>
          <w:rFonts w:hint="eastAsia" w:ascii="宋体" w:hAnsi="宋体" w:cs="宋体"/>
          <w:color w:val="000000" w:themeColor="text1"/>
          <w:sz w:val="24"/>
          <w:szCs w:val="36"/>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color w:val="000000" w:themeColor="text1"/>
          <w:highlight w:val="none"/>
          <w14:textFill>
            <w14:solidFill>
              <w14:schemeClr w14:val="tx1"/>
            </w14:solidFill>
          </w14:textFill>
        </w:rPr>
        <w:fldChar w:fldCharType="separate"/>
      </w:r>
      <w:r>
        <w:rPr>
          <w:rFonts w:hint="eastAsia" w:cs="宋体"/>
          <w:color w:val="000000" w:themeColor="text1"/>
          <w:szCs w:val="36"/>
          <w:highlight w:val="none"/>
          <w14:textFill>
            <w14:solidFill>
              <w14:schemeClr w14:val="tx1"/>
            </w14:solidFill>
          </w14:textFill>
        </w:rPr>
        <w:t xml:space="preserve">二、  </w:t>
      </w:r>
      <w:r>
        <w:rPr>
          <w:rFonts w:hint="eastAsia" w:cs="宋体"/>
          <w:color w:val="000000" w:themeColor="text1"/>
          <w:szCs w:val="36"/>
          <w:highlight w:val="none"/>
          <w14:textFill>
            <w14:solidFill>
              <w14:schemeClr w14:val="tx1"/>
            </w14:solidFill>
          </w14:textFill>
        </w:rPr>
        <w:fldChar w:fldCharType="end"/>
      </w:r>
      <w:r>
        <w:rPr>
          <w:rFonts w:cs="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 w:val="24"/>
          <w:szCs w:val="36"/>
          <w:highlight w:val="none"/>
          <w14:textFill>
            <w14:solidFill>
              <w14:schemeClr w14:val="tx1"/>
            </w14:solidFill>
          </w14:textFill>
        </w:rPr>
        <w:t>资格</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三、  符合性</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四、  商务</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评审证明资料………………………………………………………第（  ）页</w:t>
      </w:r>
    </w:p>
    <w:p>
      <w:pPr>
        <w:shd w:val="clear" w:color="auto" w:fill="FFFFFF"/>
        <w:spacing w:line="360" w:lineRule="auto"/>
        <w:rPr>
          <w:rFonts w:hint="eastAsia"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五、  技术</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（一）技术评审自查表…………………………………………………………第（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（二）技术评审证明资料………………………………………………………第（  ）页</w:t>
      </w:r>
    </w:p>
    <w:p>
      <w:pPr>
        <w:shd w:val="clear" w:color="auto" w:fill="FFFFFF"/>
        <w:spacing w:line="360" w:lineRule="auto"/>
        <w:rPr>
          <w:rFonts w:ascii="宋体" w:hAnsi="宋体" w:cs="宋体"/>
          <w:color w:val="000000" w:themeColor="text1"/>
          <w:sz w:val="24"/>
          <w:szCs w:val="36"/>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firstLine="40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请</w:t>
      </w:r>
      <w:r>
        <w:rPr>
          <w:rFonts w:hint="eastAsia" w:ascii="宋体" w:hAnsi="宋体" w:eastAsia="宋体" w:cs="宋体"/>
          <w:color w:val="000000" w:themeColor="text1"/>
          <w:sz w:val="24"/>
          <w:szCs w:val="24"/>
          <w:highlight w:val="none"/>
          <w:u w:val="single"/>
          <w14:textFill>
            <w14:solidFill>
              <w14:schemeClr w14:val="tx1"/>
            </w14:solidFill>
          </w14:textFill>
        </w:rPr>
        <w:t>响应人</w:t>
      </w:r>
      <w:r>
        <w:rPr>
          <w:rFonts w:hint="eastAsia" w:ascii="宋体" w:hAnsi="宋体" w:eastAsia="宋体" w:cs="宋体"/>
          <w:color w:val="000000" w:themeColor="text1"/>
          <w:sz w:val="24"/>
          <w:szCs w:val="24"/>
          <w:highlight w:val="none"/>
          <w:lang w:eastAsia="zh-CN"/>
          <w14:textFill>
            <w14:solidFill>
              <w14:schemeClr w14:val="tx1"/>
            </w14:solidFill>
          </w14:textFill>
        </w:rPr>
        <w:t>按照以下要求的格式、内容、顺序制作</w:t>
      </w:r>
      <w:r>
        <w:rPr>
          <w:rFonts w:hint="eastAsia" w:ascii="宋体" w:hAnsi="宋体" w:eastAsia="宋体" w:cs="宋体"/>
          <w:color w:val="000000" w:themeColor="text1"/>
          <w:sz w:val="24"/>
          <w:szCs w:val="24"/>
          <w:highlight w:val="none"/>
          <w:u w:val="single"/>
          <w14:textFill>
            <w14:solidFill>
              <w14:schemeClr w14:val="tx1"/>
            </w14:solidFill>
          </w14:textFill>
        </w:rPr>
        <w:t>响应文件</w:t>
      </w:r>
      <w:r>
        <w:rPr>
          <w:rFonts w:hint="eastAsia" w:ascii="宋体" w:hAnsi="宋体" w:eastAsia="宋体" w:cs="宋体"/>
          <w:color w:val="000000" w:themeColor="text1"/>
          <w:sz w:val="24"/>
          <w:szCs w:val="24"/>
          <w:highlight w:val="none"/>
          <w:lang w:eastAsia="zh-CN"/>
          <w14:textFill>
            <w14:solidFill>
              <w14:schemeClr w14:val="tx1"/>
            </w14:solidFill>
          </w14:textFill>
        </w:rPr>
        <w:t>，并请</w:t>
      </w:r>
      <w:r>
        <w:rPr>
          <w:rFonts w:hint="eastAsia" w:ascii="宋体" w:hAnsi="宋体" w:eastAsia="宋体" w:cs="宋体"/>
          <w:b/>
          <w:bCs/>
          <w:color w:val="000000" w:themeColor="text1"/>
          <w:sz w:val="24"/>
          <w:szCs w:val="24"/>
          <w:highlight w:val="none"/>
          <w:lang w:eastAsia="zh-CN"/>
          <w14:textFill>
            <w14:solidFill>
              <w14:schemeClr w14:val="tx1"/>
            </w14:solidFill>
          </w14:textFill>
        </w:rPr>
        <w:t>编制目录及页码</w:t>
      </w:r>
      <w:r>
        <w:rPr>
          <w:rFonts w:hint="eastAsia" w:ascii="宋体" w:hAnsi="宋体" w:eastAsia="宋体" w:cs="宋体"/>
          <w:color w:val="000000" w:themeColor="text1"/>
          <w:sz w:val="24"/>
          <w:szCs w:val="24"/>
          <w:highlight w:val="none"/>
          <w:lang w:eastAsia="zh-CN"/>
          <w14:textFill>
            <w14:solidFill>
              <w14:schemeClr w14:val="tx1"/>
            </w14:solidFill>
          </w14:textFill>
        </w:rPr>
        <w:t>，否则可能将影响对</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响应人所递交的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b/>
          <w:bCs/>
          <w:color w:val="000000" w:themeColor="text1"/>
          <w:sz w:val="24"/>
          <w:szCs w:val="24"/>
          <w:highlight w:val="none"/>
          <w14:textFill>
            <w14:solidFill>
              <w14:schemeClr w14:val="tx1"/>
            </w14:solidFill>
          </w14:textFill>
        </w:rPr>
        <w:t>资料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36"/>
          <w:highlight w:val="none"/>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一览表》应单独封装在</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信封中</w:t>
      </w:r>
      <w:r>
        <w:rPr>
          <w:rFonts w:hint="eastAsia" w:ascii="宋体" w:hAnsi="宋体" w:cs="宋体"/>
          <w:color w:val="000000" w:themeColor="text1"/>
          <w:sz w:val="24"/>
          <w:szCs w:val="36"/>
          <w:highlight w:val="none"/>
          <w:lang w:eastAsia="zh-CN"/>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具体要求同“第三章响应须知”</w:t>
      </w:r>
      <w:r>
        <w:rPr>
          <w:rFonts w:hint="eastAsia" w:ascii="宋体" w:hAnsi="宋体" w:cs="宋体"/>
          <w:color w:val="000000" w:themeColor="text1"/>
          <w:sz w:val="24"/>
          <w:szCs w:val="36"/>
          <w:highlight w:val="none"/>
          <w14:textFill>
            <w14:solidFill>
              <w14:schemeClr w14:val="tx1"/>
            </w14:solidFill>
          </w14:textFill>
        </w:rPr>
        <w:t>。</w:t>
      </w:r>
    </w:p>
    <w:p>
      <w:pPr>
        <w:pStyle w:val="17"/>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b/>
          <w:bCs/>
          <w:color w:val="000000" w:themeColor="text1"/>
          <w:sz w:val="36"/>
          <w:szCs w:val="36"/>
          <w:highlight w:val="none"/>
          <w:lang w:eastAsia="zh-CN"/>
          <w14:textFill>
            <w14:solidFill>
              <w14:schemeClr w14:val="tx1"/>
            </w14:solidFill>
          </w14:textFill>
        </w:rPr>
      </w:pP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w:t>
      </w:r>
      <w:r>
        <w:rPr>
          <w:rFonts w:hint="eastAsia"/>
          <w:b/>
          <w:bCs/>
          <w:color w:val="000000" w:themeColor="text1"/>
          <w:sz w:val="36"/>
          <w:szCs w:val="36"/>
          <w:highlight w:val="none"/>
          <w:lang w:val="en-US" w:eastAsia="zh-CN"/>
          <w14:textFill>
            <w14:solidFill>
              <w14:schemeClr w14:val="tx1"/>
            </w14:solidFill>
          </w14:textFill>
        </w:rPr>
        <w:t>一</w:t>
      </w:r>
      <w:r>
        <w:rPr>
          <w:rFonts w:hint="eastAsia"/>
          <w:b/>
          <w:bCs/>
          <w:color w:val="000000" w:themeColor="text1"/>
          <w:sz w:val="36"/>
          <w:szCs w:val="36"/>
          <w:highlight w:val="none"/>
          <w:lang w:eastAsia="zh-CN"/>
          <w14:textFill>
            <w14:solidFill>
              <w14:schemeClr w14:val="tx1"/>
            </w14:solidFill>
          </w14:textFill>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0"/>
        <w:rPr>
          <w:rFonts w:ascii="宋体" w:hAnsi="宋体" w:cs="宋体"/>
          <w:bCs/>
          <w:color w:val="000000" w:themeColor="text1"/>
          <w:sz w:val="10"/>
          <w:szCs w:val="21"/>
          <w:highlight w:val="none"/>
          <w14:textFill>
            <w14:solidFill>
              <w14:schemeClr w14:val="tx1"/>
            </w14:solidFill>
          </w14:textFill>
        </w:rPr>
      </w:pPr>
    </w:p>
    <w:p>
      <w:pPr>
        <w:pStyle w:val="10"/>
        <w:rPr>
          <w:rFonts w:ascii="宋体" w:hAnsi="宋体" w:cs="宋体"/>
          <w:bCs/>
          <w:color w:val="000000" w:themeColor="text1"/>
          <w:sz w:val="10"/>
          <w:szCs w:val="21"/>
          <w:highlight w:val="none"/>
          <w14:textFill>
            <w14:solidFill>
              <w14:schemeClr w14:val="tx1"/>
            </w14:solidFill>
          </w14:textFill>
        </w:rPr>
      </w:pPr>
    </w:p>
    <w:tbl>
      <w:tblPr>
        <w:tblStyle w:val="20"/>
        <w:tblW w:w="10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2800"/>
        <w:gridCol w:w="2198"/>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宋体" w:eastAsia="宋体"/>
                <w:b/>
                <w:bCs/>
                <w:color w:val="auto"/>
                <w:sz w:val="22"/>
                <w:szCs w:val="22"/>
                <w:highlight w:val="none"/>
              </w:rPr>
            </w:pPr>
            <w:r>
              <w:rPr>
                <w:rFonts w:hint="eastAsia" w:ascii="宋体" w:eastAsia="宋体" w:cs="宋体"/>
                <w:b/>
                <w:bCs/>
                <w:color w:val="auto"/>
                <w:kern w:val="0"/>
                <w:sz w:val="22"/>
                <w:szCs w:val="22"/>
                <w:highlight w:val="none"/>
                <w:lang w:val="en-US" w:eastAsia="zh-CN"/>
              </w:rPr>
              <w:t>项目</w:t>
            </w:r>
            <w:r>
              <w:rPr>
                <w:rFonts w:hint="eastAsia" w:ascii="宋体" w:eastAsia="宋体" w:cs="宋体"/>
                <w:b/>
                <w:bCs/>
                <w:color w:val="auto"/>
                <w:kern w:val="0"/>
                <w:sz w:val="22"/>
                <w:szCs w:val="22"/>
                <w:highlight w:val="none"/>
              </w:rPr>
              <w:t>名称</w:t>
            </w:r>
          </w:p>
        </w:tc>
        <w:tc>
          <w:tcPr>
            <w:tcW w:w="2800"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保险公司名称</w:t>
            </w:r>
          </w:p>
        </w:tc>
        <w:tc>
          <w:tcPr>
            <w:tcW w:w="2198"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自主定价系数（%）</w:t>
            </w:r>
          </w:p>
        </w:tc>
        <w:tc>
          <w:tcPr>
            <w:tcW w:w="1673"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color w:val="auto"/>
                <w:kern w:val="0"/>
                <w:sz w:val="22"/>
                <w:szCs w:val="22"/>
                <w:highlight w:val="none"/>
              </w:rPr>
            </w:pPr>
            <w:r>
              <w:rPr>
                <w:rFonts w:hint="eastAsia" w:ascii="宋体" w:eastAsia="宋体"/>
                <w:color w:val="auto"/>
                <w:sz w:val="22"/>
                <w:szCs w:val="22"/>
                <w:highlight w:val="none"/>
                <w:lang w:val="en-US" w:eastAsia="zh-CN"/>
              </w:rPr>
              <w:t>中山大学孙逸仙纪念医院</w:t>
            </w:r>
            <w:r>
              <w:rPr>
                <w:rFonts w:hint="eastAsia" w:ascii="宋体" w:eastAsia="宋体"/>
                <w:color w:val="auto"/>
                <w:sz w:val="22"/>
                <w:szCs w:val="22"/>
                <w:highlight w:val="none"/>
              </w:rPr>
              <w:t>2023-2025年公务车辆保险服务采购项目</w:t>
            </w:r>
          </w:p>
        </w:tc>
        <w:tc>
          <w:tcPr>
            <w:tcW w:w="2800" w:type="dxa"/>
            <w:shd w:val="clear" w:color="auto" w:fill="FFFFFF"/>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olor w:val="auto"/>
                <w:highlight w:val="none"/>
                <w:u w:val="single"/>
              </w:rPr>
            </w:pPr>
          </w:p>
        </w:tc>
        <w:tc>
          <w:tcPr>
            <w:tcW w:w="2198" w:type="dxa"/>
            <w:shd w:val="clear" w:color="auto" w:fill="FFFFFF"/>
            <w:vAlign w:val="center"/>
          </w:tcPr>
          <w:p>
            <w:pPr>
              <w:keepNext w:val="0"/>
              <w:keepLines w:val="0"/>
              <w:suppressLineNumbers w:val="0"/>
              <w:overflowPunct w:val="0"/>
              <w:spacing w:before="0" w:beforeAutospacing="0" w:after="0" w:afterAutospacing="0" w:line="460" w:lineRule="exact"/>
              <w:ind w:left="0" w:leftChars="0" w:right="0" w:rightChars="0"/>
              <w:rPr>
                <w:rFonts w:hint="eastAsia" w:ascii="宋体" w:eastAsia="宋体"/>
                <w:color w:val="auto"/>
                <w:sz w:val="22"/>
                <w:szCs w:val="22"/>
                <w:highlight w:val="none"/>
              </w:rPr>
            </w:pPr>
          </w:p>
        </w:tc>
        <w:tc>
          <w:tcPr>
            <w:tcW w:w="1673" w:type="dxa"/>
            <w:shd w:val="clear" w:color="auto" w:fill="FFFFFF"/>
            <w:vAlign w:val="center"/>
          </w:tcPr>
          <w:p>
            <w:pPr>
              <w:pStyle w:val="28"/>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自提交响应文件的截止之日起90个公历日</w:t>
            </w:r>
          </w:p>
        </w:tc>
      </w:tr>
    </w:tbl>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为响应人对机动车商业保险</w:t>
      </w:r>
      <w:r>
        <w:rPr>
          <w:rFonts w:hint="eastAsia" w:ascii="宋体" w:hAnsi="宋体" w:eastAsia="宋体" w:cs="宋体"/>
          <w:color w:val="auto"/>
          <w:sz w:val="21"/>
          <w:szCs w:val="21"/>
          <w:highlight w:val="none"/>
        </w:rPr>
        <w:t>自主定价系数</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须为65%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之间的数值，且报价是固定唯一，不能为区间值，超出范围视为无效响应。</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3、</w:t>
      </w:r>
      <w:r>
        <w:rPr>
          <w:rFonts w:hint="eastAsia" w:ascii="宋体" w:hAnsi="宋体" w:eastAsia="宋体" w:cs="宋体"/>
          <w:color w:val="000000" w:themeColor="text1"/>
          <w:sz w:val="21"/>
          <w:szCs w:val="21"/>
          <w:highlight w:val="none"/>
          <w14:textFill>
            <w14:solidFill>
              <w14:schemeClr w14:val="tx1"/>
            </w14:solidFill>
          </w14:textFill>
        </w:rPr>
        <w:t>此表是响应文件的必要组成文件，</w:t>
      </w:r>
      <w:r>
        <w:rPr>
          <w:rFonts w:hint="eastAsia" w:ascii="宋体" w:hAnsi="宋体" w:eastAsia="宋体" w:cs="宋体"/>
          <w:b/>
          <w:bCs/>
          <w:color w:val="000000" w:themeColor="text1"/>
          <w:sz w:val="21"/>
          <w:szCs w:val="21"/>
          <w:highlight w:val="none"/>
          <w14:textFill>
            <w14:solidFill>
              <w14:schemeClr w14:val="tx1"/>
            </w14:solidFill>
          </w14:textFill>
        </w:rPr>
        <w:t>还应另附一份单独封装作为公开宣读报价之用</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eastAsia="宋体"/>
          <w:b/>
          <w:bCs/>
          <w:color w:val="000000" w:themeColor="text1"/>
          <w:sz w:val="32"/>
          <w:szCs w:val="40"/>
          <w:highlight w:val="none"/>
          <w:lang w:eastAsia="zh-CN"/>
          <w14:textFill>
            <w14:solidFill>
              <w14:schemeClr w14:val="tx1"/>
            </w14:solidFill>
          </w14:textFill>
        </w:rPr>
      </w:pPr>
      <w:r>
        <w:rPr>
          <w:rFonts w:hint="eastAsia"/>
          <w:b/>
          <w:bCs/>
          <w:color w:val="000000" w:themeColor="text1"/>
          <w:sz w:val="32"/>
          <w:szCs w:val="40"/>
          <w:highlight w:val="none"/>
          <w:lang w:eastAsia="zh-CN"/>
          <w14:textFill>
            <w14:solidFill>
              <w14:schemeClr w14:val="tx1"/>
            </w14:solidFill>
          </w14:textFill>
        </w:rPr>
        <w:t>（</w:t>
      </w:r>
      <w:r>
        <w:rPr>
          <w:rFonts w:hint="eastAsia"/>
          <w:b/>
          <w:bCs/>
          <w:color w:val="000000" w:themeColor="text1"/>
          <w:sz w:val="32"/>
          <w:szCs w:val="40"/>
          <w:highlight w:val="none"/>
          <w:lang w:val="en-US" w:eastAsia="zh-CN"/>
          <w14:textFill>
            <w14:solidFill>
              <w14:schemeClr w14:val="tx1"/>
            </w14:solidFill>
          </w14:textFill>
        </w:rPr>
        <w:t>一</w:t>
      </w:r>
      <w:r>
        <w:rPr>
          <w:rFonts w:hint="eastAsia"/>
          <w:b/>
          <w:bCs/>
          <w:color w:val="000000" w:themeColor="text1"/>
          <w:sz w:val="32"/>
          <w:szCs w:val="40"/>
          <w:highlight w:val="none"/>
          <w:lang w:eastAsia="zh-CN"/>
          <w14:textFill>
            <w14:solidFill>
              <w14:schemeClr w14:val="tx1"/>
            </w14:solidFill>
          </w14:textFill>
        </w:rPr>
        <w:t>）资格自查表</w:t>
      </w:r>
    </w:p>
    <w:tbl>
      <w:tblPr>
        <w:tblStyle w:val="2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原件。</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二</w:t>
      </w: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如为分公司报名，必须同时提供总公司的营业执照副本复印件及总公司针对本项目响应的授权书原件,加盖公章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4、供应商保险许可证</w:t>
      </w:r>
    </w:p>
    <w:p>
      <w:pPr>
        <w:pStyle w:val="25"/>
        <w:jc w:val="center"/>
        <w:rPr>
          <w:color w:val="000000" w:themeColor="text1"/>
          <w:highlight w:val="none"/>
          <w14:textFill>
            <w14:solidFill>
              <w14:schemeClr w14:val="tx1"/>
            </w14:solidFill>
          </w14:textFill>
        </w:rPr>
      </w:pPr>
      <w:r>
        <w:rPr>
          <w:rFonts w:hint="eastAsia" w:ascii="宋体" w:hAnsi="宋体" w:cs="宋体"/>
          <w:color w:val="000000"/>
          <w:kern w:val="0"/>
          <w:sz w:val="24"/>
          <w:szCs w:val="24"/>
          <w:highlight w:val="none"/>
          <w:lang w:val="en-US" w:eastAsia="zh-CN"/>
        </w:rPr>
        <w:t>（分公司或中心支公司的保险机构报名的，须提供《经营保险业务许可证》；总公司报名的，须提供《保险公司法人许可证》）(提供有效证书的复印件，加盖公章</w:t>
      </w:r>
      <w:r>
        <w:rPr>
          <w:rFonts w:hint="eastAsia" w:ascii="宋体" w:hAnsi="宋体" w:eastAsia="宋体" w:cs="宋体"/>
          <w:color w:val="000000"/>
          <w:kern w:val="0"/>
          <w:sz w:val="24"/>
          <w:szCs w:val="24"/>
          <w:highlight w:val="none"/>
          <w:lang w:val="en-US" w:eastAsia="zh-CN"/>
        </w:rPr>
        <w:t>）</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①响应人仅需对机动车商业险的自主定价系数进行报价，自主定价系数须为65%（含）-100%（含）之间的数值。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④响应报价是唯一确定的，非区间值。</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themeColor="text1"/>
                <w:sz w:val="20"/>
                <w:szCs w:val="20"/>
                <w:lang w:val="en-US" w:eastAsia="zh-CN"/>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8"/>
        <w:shd w:val="clear" w:color="auto" w:fill="FFFFFF"/>
        <w:rPr>
          <w:rFonts w:hint="eastAsia" w:ascii="宋体" w:hAnsi="宋体" w:cs="华文仿宋"/>
          <w:sz w:val="21"/>
          <w:szCs w:val="21"/>
          <w:highlight w:val="none"/>
        </w:rPr>
      </w:pPr>
    </w:p>
    <w:p>
      <w:pPr>
        <w:pStyle w:val="8"/>
        <w:shd w:val="clear" w:color="auto" w:fill="FFFFFF"/>
        <w:rPr>
          <w:rFonts w:hint="eastAsia" w:ascii="宋体" w:hAnsi="宋体" w:cs="华文仿宋"/>
          <w:sz w:val="21"/>
          <w:szCs w:val="21"/>
          <w:highlight w:val="none"/>
        </w:rPr>
      </w:pPr>
    </w:p>
    <w:p>
      <w:pPr>
        <w:pStyle w:val="8"/>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1"/>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1"/>
        <w:tabs>
          <w:tab w:val="left" w:pos="900"/>
        </w:tabs>
        <w:spacing w:line="400" w:lineRule="exact"/>
        <w:ind w:firstLine="0"/>
        <w:rPr>
          <w:rFonts w:ascii="宋体" w:hAnsi="宋体" w:eastAsia="宋体" w:cs="仿宋_GB2312"/>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1"/>
        <w:tabs>
          <w:tab w:val="left" w:pos="900"/>
        </w:tabs>
        <w:spacing w:line="400" w:lineRule="exact"/>
        <w:ind w:firstLine="0"/>
        <w:rPr>
          <w:rFonts w:ascii="宋体" w:hAnsi="宋体" w:eastAsia="宋体" w:cs="仿宋_GB2312"/>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9"/>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1、同意并接受采购文件的各项要求，遵守采购文件中的各项规定，按采购文件的要求提供报价。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5、我方承诺能够完全对采购文件所有带“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（1）★投保险种、赔偿限额：</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②机动车商业险险种：机动车损失险（按车辆价值购买）、机动车第三者责任险（每车每年保险金额100万元）、车上人员责任险（保险金额5万元/座，以车辆行驶证核定座位数为准）。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（2）第二章用户需求书中“★五、报价要求”、“★六、结算方式”。</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447"/>
        <w:gridCol w:w="1656"/>
        <w:gridCol w:w="151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51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1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中国银保监会消费者权益保护局发布《关于2022年第二季度保险消费投诉情况的通报》结果中“保险消费投诉量情况统计表（财产保险公司）”进行评价，各响应人2022年第二季度总投诉量最低的数值为基准值。响应人得分=基准值/该响应人2022年第二季度总投诉量×10，以上评分计算结果保留小数点后两位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8"/>
                <w:szCs w:val="18"/>
                <w:highlight w:val="none"/>
                <w:lang w:val="en-US" w:eastAsia="zh-CN"/>
              </w:rPr>
            </w:pPr>
            <w:r>
              <w:rPr>
                <w:rFonts w:hint="eastAsia" w:ascii="宋体" w:hAnsi="宋体" w:eastAsia="宋体" w:cs="宋体"/>
                <w:sz w:val="21"/>
                <w:szCs w:val="21"/>
              </w:rPr>
              <w:t>以中国银行保险监督管理委员会官网公布数据为准。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18"/>
                <w:szCs w:val="18"/>
                <w:highlight w:val="none"/>
                <w:lang w:val="en-US" w:eastAsia="zh-CN"/>
              </w:rPr>
            </w:pPr>
            <w:r>
              <w:rPr>
                <w:rFonts w:hint="eastAsia" w:ascii="宋体" w:hAnsi="宋体" w:eastAsia="宋体" w:cs="宋体"/>
                <w:color w:val="auto"/>
                <w:sz w:val="21"/>
                <w:szCs w:val="21"/>
                <w:highlight w:val="none"/>
                <w:lang w:val="en-US" w:eastAsia="zh-CN"/>
              </w:rPr>
              <w:t>根据中国银行保险信息技术管理有限公司发布的2022年上半年保险服务质量指数结果中“2022年上半年财产保险（车险业务）服务质量指数”进行评价，2022年上半年财产保险（车险业务）服务质量指数结果的最高值为基准值。响应人得分=该响应人2022年上半年财产保险（车险业务）服务质量指数/基准值×15，以上评分计算结果保留小数点后两位数。以中国银行保险信息技术管理有限公司官网公布数据为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val="en-US" w:eastAsia="zh-CN"/>
              </w:rPr>
              <w:t>/</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依据“中国银行保险监督管理委员会偿二代监管信息系统”公布的2022年第2季度评级进行评审：被评定为AAA的，得10分；AA级，得8分；A级得6分；BBB级得4分；BB级得2分；B级得1分；B级（不含）以下的，得0分。</w:t>
            </w:r>
          </w:p>
        </w:tc>
        <w:tc>
          <w:tcPr>
            <w:tcW w:w="1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注:提供“中国银行保险监督管理委员会”官方网站截图，加盖公章。</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1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自2019年1月以来，响应人或所属保险总公司获得国家有关部门（非行业协会）颁发的荣誉证书或奖项，每提供一个得1分，本项最高得5分。注：须提供相关证明材料复印件，不提供不得分。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3"/>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3"/>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3"/>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本表要求提供的证书等证明文件，如有有效期的，须在有效期内，否则不予得分。</w:t>
      </w:r>
    </w:p>
    <w:p>
      <w:pPr>
        <w:numPr>
          <w:ilvl w:val="0"/>
          <w:numId w:val="13"/>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617" w:leftChars="-294" w:right="-395" w:rightChars="-188" w:firstLine="417" w:firstLineChars="199"/>
        <w:rPr>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rPr>
        <w:t>、本自查表不得擅自删改。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5"/>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w:t>
      </w:r>
      <w:r>
        <w:rPr>
          <w:rFonts w:hint="eastAsia" w:ascii="宋体" w:hAnsi="宋体" w:eastAsia="宋体" w:cs="宋体"/>
          <w:b/>
          <w:bCs w:val="0"/>
          <w:sz w:val="32"/>
          <w:szCs w:val="32"/>
          <w:highlight w:val="none"/>
          <w:lang w:val="en-US" w:eastAsia="zh-CN"/>
        </w:rPr>
        <w:t>风险综合评级</w:t>
      </w:r>
      <w:r>
        <w:rPr>
          <w:rFonts w:hint="eastAsia" w:ascii="宋体" w:hAnsi="宋体" w:eastAsia="宋体" w:cs="宋体"/>
          <w:b/>
          <w:bCs w:val="0"/>
          <w:sz w:val="22"/>
          <w:szCs w:val="22"/>
          <w:highlight w:val="none"/>
          <w:lang w:val="en-US" w:eastAsia="zh-CN"/>
        </w:rPr>
        <w:t>（如有）</w:t>
      </w:r>
    </w:p>
    <w:p>
      <w:pPr>
        <w:pStyle w:val="26"/>
        <w:jc w:val="center"/>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（提供“中国银行保险监督管理委员会”官方网站截图，加盖公章）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ind w:leftChars="0"/>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4、</w:t>
      </w:r>
      <w:r>
        <w:rPr>
          <w:rFonts w:hint="eastAsia" w:ascii="宋体" w:hAnsi="宋体" w:cs="宋体"/>
          <w:b/>
          <w:bCs w:val="0"/>
          <w:color w:val="auto"/>
          <w:sz w:val="32"/>
          <w:szCs w:val="32"/>
          <w:highlight w:val="none"/>
          <w:lang w:val="en-US" w:eastAsia="zh-CN"/>
        </w:rPr>
        <w:t>企业荣誉</w:t>
      </w:r>
      <w:r>
        <w:rPr>
          <w:rFonts w:hint="eastAsia" w:ascii="宋体" w:hAnsi="宋体" w:eastAsia="宋体" w:cs="宋体"/>
          <w:b/>
          <w:bCs w:val="0"/>
          <w:color w:val="auto"/>
          <w:sz w:val="22"/>
          <w:szCs w:val="22"/>
          <w:highlight w:val="none"/>
          <w:lang w:val="en-US" w:eastAsia="zh-CN"/>
        </w:rPr>
        <w:t>（如有）</w:t>
      </w:r>
    </w:p>
    <w:tbl>
      <w:tblPr>
        <w:tblStyle w:val="20"/>
        <w:tblpPr w:leftFromText="180" w:rightFromText="180" w:vertAnchor="text" w:horzAnchor="page" w:tblpXSpec="center" w:tblpY="19"/>
        <w:tblOverlap w:val="never"/>
        <w:tblW w:w="734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0"/>
        <w:gridCol w:w="2770"/>
        <w:gridCol w:w="1892"/>
        <w:gridCol w:w="18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jc w:val="center"/>
        </w:trPr>
        <w:tc>
          <w:tcPr>
            <w:tcW w:w="850" w:type="dxa"/>
            <w:tcBorders>
              <w:bottom w:val="single" w:color="000000" w:sz="6" w:space="0"/>
              <w:right w:val="single" w:color="000000" w:sz="6" w:space="0"/>
            </w:tcBorders>
          </w:tcPr>
          <w:p>
            <w:pPr>
              <w:pStyle w:val="30"/>
              <w:keepNext w:val="0"/>
              <w:keepLines w:val="0"/>
              <w:suppressLineNumbers w:val="0"/>
              <w:spacing w:before="105" w:beforeAutospacing="0" w:after="0" w:afterAutospacing="0"/>
              <w:ind w:left="203" w:right="0"/>
              <w:jc w:val="center"/>
              <w:rPr>
                <w:rFonts w:hint="default"/>
                <w:b/>
                <w:sz w:val="21"/>
                <w:highlight w:val="none"/>
              </w:rPr>
            </w:pPr>
            <w:r>
              <w:rPr>
                <w:rFonts w:hint="default"/>
                <w:b/>
                <w:sz w:val="21"/>
                <w:highlight w:val="none"/>
              </w:rPr>
              <w:t>序号</w:t>
            </w:r>
          </w:p>
        </w:tc>
        <w:tc>
          <w:tcPr>
            <w:tcW w:w="2770"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奖项名称</w:t>
            </w:r>
          </w:p>
        </w:tc>
        <w:tc>
          <w:tcPr>
            <w:tcW w:w="1892"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颁发机构</w:t>
            </w:r>
          </w:p>
        </w:tc>
        <w:tc>
          <w:tcPr>
            <w:tcW w:w="1837"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颁发时间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lang w:val="en-US"/>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1837"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bl>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人应如实填写，不得弄虚作假；</w:t>
      </w:r>
    </w:p>
    <w:p>
      <w:pPr>
        <w:pStyle w:val="31"/>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pacing w:val="-6"/>
          <w:sz w:val="21"/>
          <w:szCs w:val="16"/>
          <w:highlight w:val="none"/>
          <w:lang w:val="en-US"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自2019年1月以来，响应人或所属保险总公司获得</w:t>
      </w:r>
      <w:r>
        <w:rPr>
          <w:rFonts w:hint="eastAsia" w:ascii="宋体" w:hAnsi="宋体" w:cs="宋体"/>
          <w:b/>
          <w:bCs/>
          <w:spacing w:val="-6"/>
          <w:sz w:val="21"/>
          <w:szCs w:val="16"/>
          <w:highlight w:val="none"/>
          <w:lang w:val="en-US" w:eastAsia="zh-CN"/>
        </w:rPr>
        <w:t>国家有关部门（非行业协会）</w:t>
      </w:r>
      <w:r>
        <w:rPr>
          <w:rFonts w:hint="eastAsia" w:ascii="宋体" w:hAnsi="宋体" w:cs="宋体"/>
          <w:spacing w:val="-6"/>
          <w:sz w:val="21"/>
          <w:szCs w:val="16"/>
          <w:highlight w:val="none"/>
          <w:lang w:val="en-US" w:eastAsia="zh-CN"/>
        </w:rPr>
        <w:t>颁发的荣誉证书或奖项，每提供一个得1分，本项最高得5分。</w:t>
      </w:r>
      <w:r>
        <w:rPr>
          <w:rFonts w:hint="eastAsia" w:ascii="宋体" w:hAnsi="宋体" w:cs="宋体"/>
          <w:b/>
          <w:bCs/>
          <w:spacing w:val="-6"/>
          <w:sz w:val="21"/>
          <w:szCs w:val="16"/>
          <w:highlight w:val="yellow"/>
          <w:lang w:val="en-US" w:eastAsia="zh-CN"/>
        </w:rPr>
        <w:t>须提供相关证明材料复印件，不提供不得分。</w:t>
      </w:r>
    </w:p>
    <w:p>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w:t>
      </w:r>
      <w:r>
        <w:rPr>
          <w:rFonts w:hint="eastAsia" w:ascii="宋体" w:hAnsi="宋体" w:cs="宋体"/>
          <w:spacing w:val="-15"/>
          <w:sz w:val="21"/>
          <w:szCs w:val="16"/>
          <w:highlight w:val="none"/>
          <w:lang w:val="en-US" w:eastAsia="zh-CN"/>
        </w:rPr>
        <w:t>相关荣誉</w:t>
      </w:r>
      <w:r>
        <w:rPr>
          <w:rFonts w:hint="eastAsia" w:ascii="宋体" w:hAnsi="宋体" w:eastAsia="宋体" w:cs="宋体"/>
          <w:spacing w:val="-15"/>
          <w:sz w:val="21"/>
          <w:szCs w:val="16"/>
          <w:highlight w:val="none"/>
        </w:rPr>
        <w:t>，请在上表正文内容第一行填写“无”。</w:t>
      </w: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5"/>
        <w:rPr>
          <w:rFonts w:hint="eastAsia" w:ascii="宋体" w:hAnsi="宋体" w:cs="宋体"/>
          <w:color w:val="auto"/>
          <w:sz w:val="24"/>
          <w:highlight w:val="none"/>
        </w:rPr>
      </w:pPr>
    </w:p>
    <w:p>
      <w:pPr>
        <w:pStyle w:val="26"/>
        <w:ind w:left="0" w:leftChars="0" w:firstLine="0" w:firstLineChars="0"/>
        <w:rPr>
          <w:rFonts w:hint="eastAsia"/>
        </w:rPr>
      </w:pPr>
    </w:p>
    <w:p>
      <w:pPr>
        <w:pStyle w:val="26"/>
        <w:ind w:left="0" w:leftChars="0" w:firstLine="0" w:firstLineChars="0"/>
        <w:rPr>
          <w:rFonts w:hint="eastAsia"/>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1410"/>
        <w:gridCol w:w="3750"/>
        <w:gridCol w:w="1435"/>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5160"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43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4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保险服务、理赔服务方案</w:t>
            </w:r>
          </w:p>
        </w:tc>
        <w:tc>
          <w:tcPr>
            <w:tcW w:w="1410" w:type="dxa"/>
            <w:vMerge w:val="restart"/>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注:第（1）点-第（5）点，响应人以承诺函形式提供，不提供或所承诺的内容与要求不匹配的，不得分；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第（6）点：方案科学合理，亮点多，针对性强，得15分；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方案较科学较合理，亮点较多，针对性较强，得12分；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方案科学合理性一般，亮点不多，针对性一般，得8分；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方案科学合理性差，亮点少，针对性差，得4分；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eastAsia="宋体"/>
                <w:sz w:val="20"/>
                <w:szCs w:val="15"/>
                <w:highlight w:val="none"/>
                <w:lang w:eastAsia="zh-CN"/>
              </w:rPr>
            </w:pPr>
            <w:r>
              <w:rPr>
                <w:rFonts w:hint="eastAsia" w:ascii="宋体" w:hAnsi="宋体" w:cs="宋体"/>
                <w:sz w:val="15"/>
                <w:szCs w:val="15"/>
                <w:lang w:eastAsia="zh-CN"/>
              </w:rPr>
              <w:t>无响应或其他情况，得0分。</w:t>
            </w: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（1）经响应人查勘现场的轻微人伤案件，人伤损失在3000元以内的，查勘员能现场处理且解决费用支付，响应人给予确认赔付；（3分）</w:t>
            </w:r>
          </w:p>
        </w:tc>
        <w:tc>
          <w:tcPr>
            <w:tcW w:w="1435"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（2）设有24小时全天报案服务电话，并派专人受理索赔报案及便利的定损理赔等服务；（3分）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响应人在接到出险报案后，广州市内（天河区、越秀区、荔湾区、海珠区、白云区）应30分钟时内赶到现场，郊区（黄埔区、番禺区、南沙区、增城区、从化区）60分钟内应赶到现场。如果参保车辆在广东省范围内（除广州市）出险，应在2小时内到达现场或由响应人出险地分支机构现场查勘、检验定损；（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参保车辆发生人伤事故时，且在明确事故责任后，响应人能提供伤者医疗跟踪、伤残鉴定等咨询服务，并且至少安排一名人伤事故处理经验丰富的人员，专门负责全程跟进医疗核损服务和理赔事宜，根据伤者病情前往探望、了解病情、核实费用，促进赔案快速、圆满解决；（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（5）对于重大案件或发生纠纷的案件，响应人协助处理事故，提供法律援助服务，避免不必要的损失；（3分）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（6）保险服务、理赔服务方案其他内容，包括但不限于专属服务团队、培训方案、咨询及投诉解决方案、理赔流程、理赔资料清单、理赔时效承诺、预付赔款、其他理赔承诺、增值服务等。（15分）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Style w:val="26"/>
        <w:ind w:left="0" w:leftChars="0" w:firstLine="0" w:firstLineChars="0"/>
        <w:rPr>
          <w:highlight w:val="none"/>
        </w:rPr>
      </w:pP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spacing w:before="213"/>
        <w:ind w:right="86" w:rightChars="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对技术评审第（1）点-第（5）点内容的承诺函</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9"/>
        <w:jc w:val="center"/>
        <w:rPr>
          <w:rFonts w:hint="eastAsia" w:ascii="宋体" w:hAnsi="宋体" w:eastAsia="宋体" w:cs="华文仿宋"/>
          <w:b/>
          <w:bCs w:val="0"/>
          <w:sz w:val="28"/>
          <w:szCs w:val="28"/>
          <w:lang w:eastAsia="zh-CN"/>
        </w:rPr>
      </w:pP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宋体" w:hAnsi="宋体" w:cs="宋体"/>
          <w:color w:val="auto"/>
          <w:sz w:val="24"/>
          <w:u w:val="single"/>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9"/>
        <w:tabs>
          <w:tab w:val="left" w:pos="4200"/>
        </w:tabs>
        <w:jc w:val="center"/>
        <w:rPr>
          <w:rFonts w:hint="eastAsia" w:ascii="宋体" w:hAnsi="宋体" w:cs="华文仿宋"/>
          <w:b/>
          <w:bCs w:val="0"/>
          <w:sz w:val="28"/>
          <w:szCs w:val="28"/>
          <w:lang w:eastAsia="zh-CN"/>
        </w:rPr>
      </w:pPr>
    </w:p>
    <w:p>
      <w:pPr>
        <w:pStyle w:val="29"/>
        <w:jc w:val="center"/>
        <w:rPr>
          <w:rFonts w:hint="eastAsia" w:ascii="宋体" w:hAnsi="宋体" w:cs="华文仿宋"/>
          <w:b/>
          <w:bCs w:val="0"/>
          <w:sz w:val="28"/>
          <w:szCs w:val="28"/>
          <w:lang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sz w:val="32"/>
          <w:szCs w:val="28"/>
          <w:lang w:val="en-US" w:eastAsia="zh-CN"/>
        </w:rPr>
        <w:t>2</w:t>
      </w:r>
      <w:r>
        <w:rPr>
          <w:rFonts w:hint="eastAsia" w:ascii="宋体" w:hAnsi="宋体" w:eastAsia="宋体" w:cs="宋体"/>
          <w:b/>
          <w:sz w:val="32"/>
          <w:szCs w:val="28"/>
          <w:lang w:val="en-US" w:eastAsia="zh-CN"/>
        </w:rPr>
        <w:t>、</w:t>
      </w:r>
      <w:r>
        <w:rPr>
          <w:rFonts w:hint="eastAsia" w:ascii="宋体" w:hAnsi="宋体" w:cs="宋体"/>
          <w:b/>
          <w:sz w:val="32"/>
          <w:szCs w:val="28"/>
          <w:lang w:val="en-US" w:eastAsia="zh-CN"/>
        </w:rPr>
        <w:t>保险服务、理赔服务方案</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6"/>
        <w:jc w:val="center"/>
        <w:rPr>
          <w:rFonts w:hint="eastAsia" w:ascii="宋体" w:hAnsi="宋体" w:cs="宋体"/>
          <w:b/>
          <w:bCs/>
          <w:color w:val="auto"/>
          <w:szCs w:val="21"/>
          <w:lang w:val="en-GB" w:eastAsia="zh-CN"/>
        </w:rPr>
      </w:pPr>
    </w:p>
    <w:p>
      <w:pPr>
        <w:pStyle w:val="26"/>
        <w:numPr>
          <w:ilvl w:val="0"/>
          <w:numId w:val="14"/>
        </w:numPr>
        <w:jc w:val="left"/>
        <w:rPr>
          <w:rFonts w:hint="eastAsia" w:ascii="宋体" w:hAnsi="宋体" w:cs="宋体"/>
          <w:b/>
          <w:bCs/>
          <w:color w:val="auto"/>
          <w:sz w:val="22"/>
          <w:szCs w:val="24"/>
          <w:lang w:val="en-GB" w:eastAsia="zh-CN"/>
        </w:rPr>
      </w:pPr>
      <w:r>
        <w:rPr>
          <w:rFonts w:hint="eastAsia" w:ascii="宋体" w:hAnsi="宋体" w:cs="宋体"/>
          <w:b/>
          <w:bCs/>
          <w:color w:val="auto"/>
          <w:sz w:val="22"/>
          <w:szCs w:val="24"/>
          <w:lang w:val="en-GB" w:eastAsia="zh-CN"/>
        </w:rPr>
        <w:t>保险服务、理赔服务方案其他内容，包括但不限于专属服务团队、培训方案、咨询及投诉解决方案、理赔流程、理赔资料清单、理赔时效承诺、预付赔款、其他理赔承诺、增值服务等。</w:t>
      </w:r>
    </w:p>
    <w:p>
      <w:pPr>
        <w:pStyle w:val="26"/>
        <w:numPr>
          <w:ilvl w:val="0"/>
          <w:numId w:val="14"/>
        </w:numPr>
        <w:jc w:val="left"/>
        <w:rPr>
          <w:rFonts w:hint="eastAsia" w:ascii="宋体" w:hAnsi="宋体" w:cs="宋体"/>
          <w:b/>
          <w:bCs/>
          <w:color w:val="auto"/>
          <w:sz w:val="22"/>
          <w:szCs w:val="24"/>
          <w:lang w:val="en-GB" w:eastAsia="zh-CN"/>
        </w:rPr>
      </w:pPr>
      <w:r>
        <w:rPr>
          <w:rFonts w:hint="eastAsia" w:ascii="宋体" w:hAnsi="宋体" w:cs="宋体"/>
          <w:b/>
          <w:bCs/>
          <w:color w:val="auto"/>
          <w:sz w:val="22"/>
          <w:szCs w:val="24"/>
          <w:lang w:val="en-GB" w:eastAsia="zh-CN"/>
        </w:rPr>
        <w:t>根据</w:t>
      </w:r>
      <w:r>
        <w:rPr>
          <w:rFonts w:hint="eastAsia" w:ascii="宋体" w:hAnsi="宋体" w:cs="宋体"/>
          <w:b/>
          <w:bCs/>
          <w:color w:val="auto"/>
          <w:sz w:val="22"/>
          <w:szCs w:val="24"/>
          <w:lang w:val="en-US" w:eastAsia="zh-CN"/>
        </w:rPr>
        <w:t>内容是否科学合理、有无亮点和针对性</w:t>
      </w:r>
      <w:r>
        <w:rPr>
          <w:rFonts w:hint="eastAsia" w:ascii="宋体" w:hAnsi="宋体" w:cs="宋体"/>
          <w:b/>
          <w:bCs/>
          <w:color w:val="auto"/>
          <w:sz w:val="22"/>
          <w:szCs w:val="24"/>
          <w:lang w:val="en-GB" w:eastAsia="zh-CN"/>
        </w:rPr>
        <w:t>等因素综合评分。</w:t>
      </w:r>
    </w:p>
    <w:p>
      <w:pPr>
        <w:pStyle w:val="26"/>
        <w:jc w:val="center"/>
        <w:rPr>
          <w:rFonts w:hint="eastAsia" w:ascii="宋体" w:hAnsi="宋体" w:cs="宋体"/>
          <w:b/>
          <w:bCs/>
          <w:color w:val="auto"/>
          <w:sz w:val="22"/>
          <w:szCs w:val="24"/>
          <w:lang w:val="en-GB" w:eastAsia="zh-CN"/>
        </w:rPr>
      </w:pPr>
    </w:p>
    <w:p>
      <w:pPr>
        <w:pStyle w:val="26"/>
        <w:jc w:val="center"/>
        <w:rPr>
          <w:rFonts w:hint="eastAsia" w:ascii="宋体" w:hAnsi="宋体" w:eastAsia="宋体" w:cs="宋体"/>
          <w:b/>
          <w:bCs/>
          <w:color w:val="auto"/>
          <w:sz w:val="22"/>
          <w:szCs w:val="24"/>
          <w:lang w:val="en-GB" w:eastAsia="zh-CN"/>
        </w:rPr>
      </w:pPr>
      <w:r>
        <w:rPr>
          <w:rFonts w:hint="eastAsia" w:ascii="宋体" w:hAnsi="宋体" w:cs="宋体"/>
          <w:b/>
          <w:bCs/>
          <w:color w:val="auto"/>
          <w:sz w:val="22"/>
          <w:szCs w:val="24"/>
          <w:lang w:val="en-GB" w:eastAsia="zh-CN"/>
        </w:rPr>
        <w:t>（</w:t>
      </w:r>
      <w:r>
        <w:rPr>
          <w:rFonts w:hint="eastAsia" w:ascii="宋体" w:hAnsi="宋体" w:cs="宋体"/>
          <w:b/>
          <w:bCs/>
          <w:color w:val="auto"/>
          <w:sz w:val="22"/>
          <w:szCs w:val="24"/>
          <w:lang w:val="en-US" w:eastAsia="zh-CN"/>
        </w:rPr>
        <w:t>按照实际情况自行拟写</w:t>
      </w:r>
      <w:r>
        <w:rPr>
          <w:rFonts w:hint="eastAsia" w:ascii="宋体" w:hAnsi="宋体" w:cs="宋体"/>
          <w:b/>
          <w:bCs/>
          <w:color w:val="auto"/>
          <w:sz w:val="22"/>
          <w:szCs w:val="24"/>
          <w:lang w:val="en-GB" w:eastAsia="zh-CN"/>
        </w:rPr>
        <w:t>）</w:t>
      </w:r>
    </w:p>
    <w:p>
      <w:pPr>
        <w:pStyle w:val="26"/>
        <w:rPr>
          <w:rFonts w:hint="eastAsia" w:ascii="宋体" w:hAnsi="宋体" w:cs="宋体"/>
          <w:color w:val="auto"/>
          <w:szCs w:val="21"/>
          <w:lang w:val="en-GB"/>
        </w:rPr>
      </w:pPr>
    </w:p>
    <w:p>
      <w:pPr>
        <w:pStyle w:val="26"/>
        <w:rPr>
          <w:rFonts w:ascii="宋体" w:hAnsi="宋体" w:cs="华文仿宋"/>
          <w:szCs w:val="21"/>
        </w:rPr>
      </w:pPr>
    </w:p>
    <w:p>
      <w:pPr>
        <w:pStyle w:val="26"/>
        <w:rPr>
          <w:rFonts w:ascii="宋体" w:hAnsi="宋体" w:cs="华文仿宋"/>
          <w:szCs w:val="21"/>
        </w:rPr>
      </w:pPr>
    </w:p>
    <w:p>
      <w:pPr>
        <w:pStyle w:val="26"/>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both"/>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BB402D-482E-4074-83AB-4046AC178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A992E42-C808-44D4-8FEC-6B32D59B9BBE}"/>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BA8BE2B8-1A68-497F-B3A7-7FE120A70B15}"/>
  </w:font>
  <w:font w:name="微软雅黑">
    <w:panose1 w:val="020B0503020204020204"/>
    <w:charset w:val="86"/>
    <w:family w:val="auto"/>
    <w:pitch w:val="default"/>
    <w:sig w:usb0="80000287" w:usb1="2ACF3C50" w:usb2="00000016" w:usb3="00000000" w:csb0="0004001F" w:csb1="00000000"/>
    <w:embedRegular r:id="rId4" w:fontKey="{535B490D-5347-4C71-8F53-79CFA747473F}"/>
  </w:font>
  <w:font w:name="方正仿宋简体">
    <w:panose1 w:val="02000000000000000000"/>
    <w:charset w:val="86"/>
    <w:family w:val="auto"/>
    <w:pitch w:val="default"/>
    <w:sig w:usb0="A00002BF" w:usb1="184F6CFA" w:usb2="00000012" w:usb3="00000000" w:csb0="00040001" w:csb1="00000000"/>
    <w:embedRegular r:id="rId5" w:fontKey="{6B92D613-87BE-4B26-AD66-457DA8872F2A}"/>
  </w:font>
  <w:font w:name="华文中宋">
    <w:panose1 w:val="02010600040101010101"/>
    <w:charset w:val="86"/>
    <w:family w:val="auto"/>
    <w:pitch w:val="default"/>
    <w:sig w:usb0="00000287" w:usb1="080F0000" w:usb2="00000000" w:usb3="00000000" w:csb0="0004009F" w:csb1="DFD70000"/>
    <w:embedRegular r:id="rId6" w:fontKey="{FE185685-CDF0-40EF-8C38-E120BD37E87B}"/>
  </w:font>
  <w:font w:name="华文仿宋">
    <w:panose1 w:val="02010600040101010101"/>
    <w:charset w:val="86"/>
    <w:family w:val="auto"/>
    <w:pitch w:val="default"/>
    <w:sig w:usb0="00000287" w:usb1="080F0000" w:usb2="00000000" w:usb3="00000000" w:csb0="0004009F" w:csb1="DFD70000"/>
    <w:embedRegular r:id="rId7" w:fontKey="{1A9DF663-C2AD-490E-88A1-0102B8AD09E7}"/>
  </w:font>
  <w:font w:name="仿宋">
    <w:panose1 w:val="02010609060101010101"/>
    <w:charset w:val="86"/>
    <w:family w:val="auto"/>
    <w:pitch w:val="default"/>
    <w:sig w:usb0="800002BF" w:usb1="38CF7CFA" w:usb2="00000016" w:usb3="00000000" w:csb0="00040001" w:csb1="00000000"/>
    <w:embedRegular r:id="rId8" w:fontKey="{73B1DC7D-785F-43A7-9FCE-F30E2DC2CEEF}"/>
  </w:font>
  <w:font w:name="Calibri Light">
    <w:panose1 w:val="020F0302020204030204"/>
    <w:charset w:val="00"/>
    <w:family w:val="swiss"/>
    <w:pitch w:val="default"/>
    <w:sig w:usb0="E0002AFF" w:usb1="C000247B" w:usb2="00000009" w:usb3="00000000" w:csb0="200001FF" w:csb1="00000000"/>
    <w:embedRegular r:id="rId9" w:fontKey="{0FB1A169-B8CD-43A1-BB48-9FCC0ADB927F}"/>
  </w:font>
  <w:font w:name="Wingdings 2">
    <w:panose1 w:val="05020102010507070707"/>
    <w:charset w:val="00"/>
    <w:family w:val="auto"/>
    <w:pitch w:val="default"/>
    <w:sig w:usb0="00000000" w:usb1="00000000" w:usb2="00000000" w:usb3="00000000" w:csb0="80000000" w:csb1="00000000"/>
    <w:embedRegular r:id="rId10" w:fontKey="{FBDC998C-6EF4-4A46-BCA5-D604B46A1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Lines="0" w:afterLines="0"/>
      <w:rPr>
        <w:rFonts w:hint="eastAsia"/>
        <w:sz w:val="18"/>
        <w:szCs w:val="24"/>
      </w:rPr>
    </w:pPr>
  </w:p>
  <w:p>
    <w:pPr>
      <w:pStyle w:val="14"/>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1D28"/>
    <w:multiLevelType w:val="singleLevel"/>
    <w:tmpl w:val="A6D71D28"/>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00000012"/>
    <w:multiLevelType w:val="multilevel"/>
    <w:tmpl w:val="00000012"/>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1B"/>
    <w:multiLevelType w:val="singleLevel"/>
    <w:tmpl w:val="0000001B"/>
    <w:lvl w:ilvl="0" w:tentative="0">
      <w:start w:val="1"/>
      <w:numFmt w:val="decimal"/>
      <w:suff w:val="nothing"/>
      <w:lvlText w:val="%1、"/>
      <w:lvlJc w:val="left"/>
    </w:lvl>
  </w:abstractNum>
  <w:abstractNum w:abstractNumId="9">
    <w:nsid w:val="0DFB0D31"/>
    <w:multiLevelType w:val="multilevel"/>
    <w:tmpl w:val="0DFB0D31"/>
    <w:lvl w:ilvl="0" w:tentative="0">
      <w:start w:val="1"/>
      <w:numFmt w:val="decimal"/>
      <w:lvlText w:val="%1."/>
      <w:lvlJc w:val="left"/>
      <w:pPr>
        <w:tabs>
          <w:tab w:val="left" w:pos="795"/>
        </w:tabs>
        <w:ind w:left="795" w:hanging="420"/>
      </w:pPr>
    </w:lvl>
    <w:lvl w:ilvl="1" w:tentative="0">
      <w:start w:val="1"/>
      <w:numFmt w:val="lowerLetter"/>
      <w:lvlText w:val="%2)"/>
      <w:lvlJc w:val="left"/>
      <w:pPr>
        <w:tabs>
          <w:tab w:val="left" w:pos="1215"/>
        </w:tabs>
        <w:ind w:left="1215" w:hanging="420"/>
      </w:pPr>
    </w:lvl>
    <w:lvl w:ilvl="2" w:tentative="0">
      <w:start w:val="1"/>
      <w:numFmt w:val="lowerRoman"/>
      <w:lvlText w:val="%3."/>
      <w:lvlJc w:val="right"/>
      <w:pPr>
        <w:tabs>
          <w:tab w:val="left" w:pos="1635"/>
        </w:tabs>
        <w:ind w:left="1635" w:hanging="420"/>
      </w:pPr>
    </w:lvl>
    <w:lvl w:ilvl="3" w:tentative="0">
      <w:start w:val="1"/>
      <w:numFmt w:val="decimal"/>
      <w:lvlText w:val="%4."/>
      <w:lvlJc w:val="left"/>
      <w:pPr>
        <w:tabs>
          <w:tab w:val="left" w:pos="2055"/>
        </w:tabs>
        <w:ind w:left="2055" w:hanging="420"/>
      </w:pPr>
    </w:lvl>
    <w:lvl w:ilvl="4" w:tentative="0">
      <w:start w:val="1"/>
      <w:numFmt w:val="lowerLetter"/>
      <w:lvlText w:val="%5)"/>
      <w:lvlJc w:val="left"/>
      <w:pPr>
        <w:tabs>
          <w:tab w:val="left" w:pos="2475"/>
        </w:tabs>
        <w:ind w:left="2475" w:hanging="420"/>
      </w:pPr>
    </w:lvl>
    <w:lvl w:ilvl="5" w:tentative="0">
      <w:start w:val="1"/>
      <w:numFmt w:val="lowerRoman"/>
      <w:lvlText w:val="%6."/>
      <w:lvlJc w:val="right"/>
      <w:pPr>
        <w:tabs>
          <w:tab w:val="left" w:pos="2895"/>
        </w:tabs>
        <w:ind w:left="2895" w:hanging="420"/>
      </w:pPr>
    </w:lvl>
    <w:lvl w:ilvl="6" w:tentative="0">
      <w:start w:val="1"/>
      <w:numFmt w:val="decimal"/>
      <w:lvlText w:val="%7."/>
      <w:lvlJc w:val="left"/>
      <w:pPr>
        <w:tabs>
          <w:tab w:val="left" w:pos="3315"/>
        </w:tabs>
        <w:ind w:left="3315" w:hanging="420"/>
      </w:pPr>
    </w:lvl>
    <w:lvl w:ilvl="7" w:tentative="0">
      <w:start w:val="1"/>
      <w:numFmt w:val="lowerLetter"/>
      <w:lvlText w:val="%8)"/>
      <w:lvlJc w:val="left"/>
      <w:pPr>
        <w:tabs>
          <w:tab w:val="left" w:pos="3735"/>
        </w:tabs>
        <w:ind w:left="3735" w:hanging="420"/>
      </w:pPr>
    </w:lvl>
    <w:lvl w:ilvl="8" w:tentative="0">
      <w:start w:val="1"/>
      <w:numFmt w:val="lowerRoman"/>
      <w:lvlText w:val="%9."/>
      <w:lvlJc w:val="right"/>
      <w:pPr>
        <w:tabs>
          <w:tab w:val="left" w:pos="4155"/>
        </w:tabs>
        <w:ind w:left="4155" w:hanging="420"/>
      </w:pPr>
    </w:lvl>
  </w:abstractNum>
  <w:abstractNum w:abstractNumId="10">
    <w:nsid w:val="21220A40"/>
    <w:multiLevelType w:val="singleLevel"/>
    <w:tmpl w:val="21220A40"/>
    <w:lvl w:ilvl="0" w:tentative="0">
      <w:start w:val="1"/>
      <w:numFmt w:val="chineseCounting"/>
      <w:suff w:val="nothing"/>
      <w:lvlText w:val="%1、"/>
      <w:lvlJc w:val="left"/>
      <w:rPr>
        <w:rFonts w:hint="eastAsia"/>
      </w:rPr>
    </w:lvl>
  </w:abstractNum>
  <w:abstractNum w:abstractNumId="11">
    <w:nsid w:val="3F0C7B0D"/>
    <w:multiLevelType w:val="singleLevel"/>
    <w:tmpl w:val="3F0C7B0D"/>
    <w:lvl w:ilvl="0" w:tentative="0">
      <w:start w:val="1"/>
      <w:numFmt w:val="decimal"/>
      <w:suff w:val="nothing"/>
      <w:lvlText w:val="%1、"/>
      <w:lvlJc w:val="left"/>
    </w:lvl>
  </w:abstractNum>
  <w:abstractNum w:abstractNumId="12">
    <w:nsid w:val="485B0F85"/>
    <w:multiLevelType w:val="multilevel"/>
    <w:tmpl w:val="485B0F85"/>
    <w:lvl w:ilvl="0" w:tentative="0">
      <w:start w:val="1"/>
      <w:numFmt w:val="decimal"/>
      <w:lvlText w:val="%1."/>
      <w:lvlJc w:val="left"/>
      <w:pPr>
        <w:tabs>
          <w:tab w:val="left" w:pos="795"/>
        </w:tabs>
        <w:ind w:left="795" w:hanging="420"/>
      </w:pPr>
    </w:lvl>
    <w:lvl w:ilvl="1" w:tentative="0">
      <w:start w:val="1"/>
      <w:numFmt w:val="lowerLetter"/>
      <w:lvlText w:val="%2)"/>
      <w:lvlJc w:val="left"/>
      <w:pPr>
        <w:tabs>
          <w:tab w:val="left" w:pos="1215"/>
        </w:tabs>
        <w:ind w:left="1215" w:hanging="420"/>
      </w:pPr>
    </w:lvl>
    <w:lvl w:ilvl="2" w:tentative="0">
      <w:start w:val="1"/>
      <w:numFmt w:val="lowerRoman"/>
      <w:lvlText w:val="%3."/>
      <w:lvlJc w:val="right"/>
      <w:pPr>
        <w:tabs>
          <w:tab w:val="left" w:pos="1635"/>
        </w:tabs>
        <w:ind w:left="1635" w:hanging="420"/>
      </w:pPr>
    </w:lvl>
    <w:lvl w:ilvl="3" w:tentative="0">
      <w:start w:val="1"/>
      <w:numFmt w:val="decimal"/>
      <w:lvlText w:val="%4."/>
      <w:lvlJc w:val="left"/>
      <w:pPr>
        <w:tabs>
          <w:tab w:val="left" w:pos="2055"/>
        </w:tabs>
        <w:ind w:left="2055" w:hanging="420"/>
      </w:pPr>
    </w:lvl>
    <w:lvl w:ilvl="4" w:tentative="0">
      <w:start w:val="1"/>
      <w:numFmt w:val="lowerLetter"/>
      <w:lvlText w:val="%5)"/>
      <w:lvlJc w:val="left"/>
      <w:pPr>
        <w:tabs>
          <w:tab w:val="left" w:pos="2475"/>
        </w:tabs>
        <w:ind w:left="2475" w:hanging="420"/>
      </w:pPr>
    </w:lvl>
    <w:lvl w:ilvl="5" w:tentative="0">
      <w:start w:val="1"/>
      <w:numFmt w:val="lowerRoman"/>
      <w:lvlText w:val="%6."/>
      <w:lvlJc w:val="right"/>
      <w:pPr>
        <w:tabs>
          <w:tab w:val="left" w:pos="2895"/>
        </w:tabs>
        <w:ind w:left="2895" w:hanging="420"/>
      </w:pPr>
    </w:lvl>
    <w:lvl w:ilvl="6" w:tentative="0">
      <w:start w:val="1"/>
      <w:numFmt w:val="decimal"/>
      <w:lvlText w:val="%7."/>
      <w:lvlJc w:val="left"/>
      <w:pPr>
        <w:tabs>
          <w:tab w:val="left" w:pos="3315"/>
        </w:tabs>
        <w:ind w:left="3315" w:hanging="420"/>
      </w:pPr>
    </w:lvl>
    <w:lvl w:ilvl="7" w:tentative="0">
      <w:start w:val="1"/>
      <w:numFmt w:val="lowerLetter"/>
      <w:lvlText w:val="%8)"/>
      <w:lvlJc w:val="left"/>
      <w:pPr>
        <w:tabs>
          <w:tab w:val="left" w:pos="3735"/>
        </w:tabs>
        <w:ind w:left="3735" w:hanging="420"/>
      </w:pPr>
    </w:lvl>
    <w:lvl w:ilvl="8" w:tentative="0">
      <w:start w:val="1"/>
      <w:numFmt w:val="lowerRoman"/>
      <w:lvlText w:val="%9."/>
      <w:lvlJc w:val="right"/>
      <w:pPr>
        <w:tabs>
          <w:tab w:val="left" w:pos="4155"/>
        </w:tabs>
        <w:ind w:left="4155" w:hanging="420"/>
      </w:pPr>
    </w:lvl>
  </w:abstractNum>
  <w:abstractNum w:abstractNumId="13">
    <w:nsid w:val="6FC67A7D"/>
    <w:multiLevelType w:val="singleLevel"/>
    <w:tmpl w:val="6FC67A7D"/>
    <w:lvl w:ilvl="0" w:tentative="0">
      <w:start w:val="1"/>
      <w:numFmt w:val="decimal"/>
      <w:suff w:val="nothing"/>
      <w:lvlText w:val="（%1）"/>
      <w:lvlJc w:val="left"/>
    </w:lvl>
  </w:abstractNum>
  <w:num w:numId="1">
    <w:abstractNumId w:val="10"/>
  </w:num>
  <w:num w:numId="2">
    <w:abstractNumId w:val="8"/>
  </w:num>
  <w:num w:numId="3">
    <w:abstractNumId w:val="11"/>
  </w:num>
  <w:num w:numId="4">
    <w:abstractNumId w:val="7"/>
  </w:num>
  <w:num w:numId="5">
    <w:abstractNumId w:val="2"/>
  </w:num>
  <w:num w:numId="6">
    <w:abstractNumId w:val="5"/>
  </w:num>
  <w:num w:numId="7">
    <w:abstractNumId w:val="3"/>
  </w:num>
  <w:num w:numId="8">
    <w:abstractNumId w:val="13"/>
  </w:num>
  <w:num w:numId="9">
    <w:abstractNumId w:val="4"/>
  </w:num>
  <w:num w:numId="10">
    <w:abstractNumId w:val="9"/>
  </w:num>
  <w:num w:numId="11">
    <w:abstractNumId w:val="12"/>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9072B8"/>
    <w:rsid w:val="012B0749"/>
    <w:rsid w:val="02E45A44"/>
    <w:rsid w:val="03D66504"/>
    <w:rsid w:val="045B70AB"/>
    <w:rsid w:val="059C43CE"/>
    <w:rsid w:val="07D26290"/>
    <w:rsid w:val="08C47BB7"/>
    <w:rsid w:val="099F4DD9"/>
    <w:rsid w:val="0A331D26"/>
    <w:rsid w:val="0AC55419"/>
    <w:rsid w:val="0D244915"/>
    <w:rsid w:val="0D5B2AD2"/>
    <w:rsid w:val="0D857E27"/>
    <w:rsid w:val="0FB6788B"/>
    <w:rsid w:val="0FD303F6"/>
    <w:rsid w:val="0FDA79D0"/>
    <w:rsid w:val="1013053A"/>
    <w:rsid w:val="10AF777C"/>
    <w:rsid w:val="10FD5314"/>
    <w:rsid w:val="11A044E2"/>
    <w:rsid w:val="11EC0DDF"/>
    <w:rsid w:val="12AD734B"/>
    <w:rsid w:val="14EE79C4"/>
    <w:rsid w:val="154E24EE"/>
    <w:rsid w:val="162109F2"/>
    <w:rsid w:val="16B67A8B"/>
    <w:rsid w:val="16DB5746"/>
    <w:rsid w:val="173176A9"/>
    <w:rsid w:val="17DD454F"/>
    <w:rsid w:val="19921369"/>
    <w:rsid w:val="19CA465F"/>
    <w:rsid w:val="1ACD2659"/>
    <w:rsid w:val="1ADA6D78"/>
    <w:rsid w:val="1B131E14"/>
    <w:rsid w:val="1B3E2C82"/>
    <w:rsid w:val="1B481938"/>
    <w:rsid w:val="1B771694"/>
    <w:rsid w:val="1BEA74D5"/>
    <w:rsid w:val="1C4739C8"/>
    <w:rsid w:val="1CC050EC"/>
    <w:rsid w:val="1D5A7962"/>
    <w:rsid w:val="1D644DCB"/>
    <w:rsid w:val="1E234C86"/>
    <w:rsid w:val="1EF07D0A"/>
    <w:rsid w:val="1F810D26"/>
    <w:rsid w:val="1FBD490B"/>
    <w:rsid w:val="21BC51D5"/>
    <w:rsid w:val="22F91274"/>
    <w:rsid w:val="23537803"/>
    <w:rsid w:val="243B6C41"/>
    <w:rsid w:val="25042435"/>
    <w:rsid w:val="257F2461"/>
    <w:rsid w:val="26B01879"/>
    <w:rsid w:val="27C0451E"/>
    <w:rsid w:val="27EA30F9"/>
    <w:rsid w:val="28FD30BD"/>
    <w:rsid w:val="290F02E0"/>
    <w:rsid w:val="29192F0D"/>
    <w:rsid w:val="2D3C4051"/>
    <w:rsid w:val="2DF978C0"/>
    <w:rsid w:val="2E456552"/>
    <w:rsid w:val="2E673F37"/>
    <w:rsid w:val="31220DD1"/>
    <w:rsid w:val="31AE289D"/>
    <w:rsid w:val="321B5F48"/>
    <w:rsid w:val="32DA195F"/>
    <w:rsid w:val="33027866"/>
    <w:rsid w:val="33220FDF"/>
    <w:rsid w:val="33782B04"/>
    <w:rsid w:val="33BF55CF"/>
    <w:rsid w:val="361D0276"/>
    <w:rsid w:val="362F262F"/>
    <w:rsid w:val="36EF6EE9"/>
    <w:rsid w:val="37A91900"/>
    <w:rsid w:val="3837515E"/>
    <w:rsid w:val="391575AB"/>
    <w:rsid w:val="391948F3"/>
    <w:rsid w:val="39FB2115"/>
    <w:rsid w:val="3A793787"/>
    <w:rsid w:val="3B7C3893"/>
    <w:rsid w:val="3C810CE1"/>
    <w:rsid w:val="3CA0136A"/>
    <w:rsid w:val="3CDA3B31"/>
    <w:rsid w:val="3D1D35B4"/>
    <w:rsid w:val="3D8F3346"/>
    <w:rsid w:val="3F2C4501"/>
    <w:rsid w:val="40732D15"/>
    <w:rsid w:val="40755194"/>
    <w:rsid w:val="40FC6D92"/>
    <w:rsid w:val="41606B88"/>
    <w:rsid w:val="41B96F1C"/>
    <w:rsid w:val="42F02AD9"/>
    <w:rsid w:val="43211A9B"/>
    <w:rsid w:val="43657023"/>
    <w:rsid w:val="4373519D"/>
    <w:rsid w:val="437B178A"/>
    <w:rsid w:val="43E23597"/>
    <w:rsid w:val="45553149"/>
    <w:rsid w:val="45CB7ED7"/>
    <w:rsid w:val="46452E66"/>
    <w:rsid w:val="47B916EB"/>
    <w:rsid w:val="481F6B0D"/>
    <w:rsid w:val="495F42D8"/>
    <w:rsid w:val="4B5A4288"/>
    <w:rsid w:val="4C400740"/>
    <w:rsid w:val="4D54448A"/>
    <w:rsid w:val="4D7722CE"/>
    <w:rsid w:val="4E92582F"/>
    <w:rsid w:val="4FC43323"/>
    <w:rsid w:val="505226DD"/>
    <w:rsid w:val="512A4665"/>
    <w:rsid w:val="51962139"/>
    <w:rsid w:val="529C0480"/>
    <w:rsid w:val="5339770C"/>
    <w:rsid w:val="53EF7552"/>
    <w:rsid w:val="54770964"/>
    <w:rsid w:val="54CF7B30"/>
    <w:rsid w:val="54D31E35"/>
    <w:rsid w:val="54F17FA0"/>
    <w:rsid w:val="55B12C62"/>
    <w:rsid w:val="55C84E4E"/>
    <w:rsid w:val="55FC0FF0"/>
    <w:rsid w:val="566A652B"/>
    <w:rsid w:val="56A874FB"/>
    <w:rsid w:val="581F087A"/>
    <w:rsid w:val="58CB56FA"/>
    <w:rsid w:val="590015EF"/>
    <w:rsid w:val="59430F68"/>
    <w:rsid w:val="59B978E2"/>
    <w:rsid w:val="5A6679CA"/>
    <w:rsid w:val="5A706581"/>
    <w:rsid w:val="5A9F0C15"/>
    <w:rsid w:val="5AFE44D7"/>
    <w:rsid w:val="5DFA65EE"/>
    <w:rsid w:val="5E3816AA"/>
    <w:rsid w:val="5E7D74BF"/>
    <w:rsid w:val="5F2D0F9D"/>
    <w:rsid w:val="5FB456FC"/>
    <w:rsid w:val="60D55842"/>
    <w:rsid w:val="63A4729C"/>
    <w:rsid w:val="64116879"/>
    <w:rsid w:val="64E42332"/>
    <w:rsid w:val="65EC619D"/>
    <w:rsid w:val="66E9417E"/>
    <w:rsid w:val="677156E7"/>
    <w:rsid w:val="67D351A7"/>
    <w:rsid w:val="689B7B85"/>
    <w:rsid w:val="6A7143B4"/>
    <w:rsid w:val="6B543D0C"/>
    <w:rsid w:val="6C2471CC"/>
    <w:rsid w:val="6C282A6D"/>
    <w:rsid w:val="6D331F8B"/>
    <w:rsid w:val="6D3C0446"/>
    <w:rsid w:val="6E831F86"/>
    <w:rsid w:val="70071E3D"/>
    <w:rsid w:val="71320A4A"/>
    <w:rsid w:val="71B6289F"/>
    <w:rsid w:val="73131D48"/>
    <w:rsid w:val="73FA6E8F"/>
    <w:rsid w:val="74005A8E"/>
    <w:rsid w:val="746D6ED4"/>
    <w:rsid w:val="74A16523"/>
    <w:rsid w:val="757E4E1B"/>
    <w:rsid w:val="75D461C0"/>
    <w:rsid w:val="774A5E34"/>
    <w:rsid w:val="78127659"/>
    <w:rsid w:val="798B6F10"/>
    <w:rsid w:val="7A17722A"/>
    <w:rsid w:val="7AC758F2"/>
    <w:rsid w:val="7BA774D1"/>
    <w:rsid w:val="7BCC39B7"/>
    <w:rsid w:val="7C0E57A2"/>
    <w:rsid w:val="7C7B2E38"/>
    <w:rsid w:val="7D140654"/>
    <w:rsid w:val="7D607415"/>
    <w:rsid w:val="7EC95C1D"/>
    <w:rsid w:val="7F184F03"/>
    <w:rsid w:val="7F634D8D"/>
    <w:rsid w:val="7FA75FA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qFormat/>
    <w:uiPriority w:val="0"/>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8">
    <w:name w:val="Body Text 3"/>
    <w:basedOn w:val="1"/>
    <w:qFormat/>
    <w:uiPriority w:val="99"/>
    <w:pPr>
      <w:spacing w:after="120"/>
    </w:pPr>
    <w:rPr>
      <w:sz w:val="16"/>
      <w:szCs w:val="16"/>
    </w:rPr>
  </w:style>
  <w:style w:type="paragraph" w:styleId="9">
    <w:name w:val="Body Text"/>
    <w:basedOn w:val="1"/>
    <w:next w:val="10"/>
    <w:qFormat/>
    <w:uiPriority w:val="0"/>
    <w:rPr>
      <w:sz w:val="24"/>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表格文字"/>
    <w:basedOn w:val="1"/>
    <w:qFormat/>
    <w:uiPriority w:val="0"/>
    <w:pPr>
      <w:spacing w:before="25" w:after="25"/>
      <w:jc w:val="left"/>
    </w:pPr>
    <w:rPr>
      <w:bCs/>
      <w:spacing w:val="10"/>
      <w:kern w:val="0"/>
      <w:sz w:val="24"/>
      <w:szCs w:val="20"/>
    </w:rPr>
  </w:style>
  <w:style w:type="paragraph" w:customStyle="1" w:styleId="26">
    <w:name w:val="_Style 3"/>
    <w:basedOn w:val="1"/>
    <w:qFormat/>
    <w:uiPriority w:val="0"/>
    <w:pPr>
      <w:ind w:firstLine="420" w:firstLineChars="200"/>
    </w:pPr>
    <w:rPr>
      <w:sz w:val="20"/>
    </w:rPr>
  </w:style>
  <w:style w:type="character" w:customStyle="1" w:styleId="27">
    <w:name w:val="font01"/>
    <w:qFormat/>
    <w:uiPriority w:val="0"/>
    <w:rPr>
      <w:rFonts w:hint="eastAsia" w:ascii="宋体" w:hAnsi="宋体" w:eastAsia="宋体" w:cs="宋体"/>
      <w:color w:val="0000FF"/>
      <w:sz w:val="22"/>
      <w:szCs w:val="22"/>
      <w:u w:val="none"/>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3">
    <w:name w:val="font11"/>
    <w:basedOn w:val="22"/>
    <w:qFormat/>
    <w:uiPriority w:val="0"/>
    <w:rPr>
      <w:rFonts w:hint="eastAsia" w:ascii="宋体" w:hAnsi="宋体" w:eastAsia="宋体" w:cs="宋体"/>
      <w:color w:val="000000"/>
      <w:sz w:val="21"/>
      <w:szCs w:val="21"/>
      <w:u w:val="none"/>
    </w:rPr>
  </w:style>
  <w:style w:type="character" w:customStyle="1" w:styleId="34">
    <w:name w:val="font21"/>
    <w:basedOn w:val="22"/>
    <w:qFormat/>
    <w:uiPriority w:val="0"/>
    <w:rPr>
      <w:rFonts w:hint="eastAsia" w:ascii="宋体" w:hAnsi="宋体" w:eastAsia="宋体" w:cs="宋体"/>
      <w:b/>
      <w:bCs/>
      <w:color w:val="000000"/>
      <w:sz w:val="18"/>
      <w:szCs w:val="18"/>
      <w:u w:val="none"/>
    </w:rPr>
  </w:style>
  <w:style w:type="character" w:customStyle="1" w:styleId="35">
    <w:name w:val="font31"/>
    <w:basedOn w:val="22"/>
    <w:qFormat/>
    <w:uiPriority w:val="0"/>
    <w:rPr>
      <w:rFonts w:hint="eastAsia" w:ascii="宋体" w:hAnsi="宋体" w:eastAsia="宋体" w:cs="宋体"/>
      <w:color w:val="000000"/>
      <w:sz w:val="21"/>
      <w:szCs w:val="21"/>
      <w:u w:val="none"/>
    </w:rPr>
  </w:style>
  <w:style w:type="paragraph" w:customStyle="1" w:styleId="36">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7">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8">
    <w:name w:val="题注5"/>
    <w:basedOn w:val="1"/>
    <w:next w:val="6"/>
    <w:qFormat/>
    <w:uiPriority w:val="0"/>
    <w:pPr>
      <w:jc w:val="center"/>
    </w:pPr>
    <w:rPr>
      <w:b/>
      <w:color w:val="000000"/>
      <w:sz w:val="24"/>
      <w:szCs w:val="21"/>
    </w:rPr>
  </w:style>
  <w:style w:type="paragraph" w:customStyle="1" w:styleId="39">
    <w:name w:val="列出段落1"/>
    <w:basedOn w:val="1"/>
    <w:qFormat/>
    <w:uiPriority w:val="34"/>
    <w:pPr>
      <w:ind w:firstLine="420" w:firstLineChars="200"/>
    </w:p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41"/>
    <w:basedOn w:val="22"/>
    <w:qFormat/>
    <w:uiPriority w:val="0"/>
    <w:rPr>
      <w:rFonts w:hint="eastAsia" w:ascii="宋体" w:hAnsi="宋体" w:eastAsia="宋体" w:cs="宋体"/>
      <w:color w:val="000000"/>
      <w:sz w:val="21"/>
      <w:szCs w:val="21"/>
      <w:u w:val="none"/>
    </w:rPr>
  </w:style>
  <w:style w:type="character" w:customStyle="1" w:styleId="42">
    <w:name w:val="font131"/>
    <w:basedOn w:val="22"/>
    <w:qFormat/>
    <w:uiPriority w:val="0"/>
    <w:rPr>
      <w:rFonts w:hint="eastAsia" w:ascii="宋体" w:hAnsi="宋体" w:eastAsia="宋体" w:cs="宋体"/>
      <w:b/>
      <w:bCs/>
      <w:i/>
      <w:iCs/>
      <w:color w:val="000000"/>
      <w:sz w:val="21"/>
      <w:szCs w:val="21"/>
      <w:u w:val="none"/>
    </w:rPr>
  </w:style>
  <w:style w:type="character" w:customStyle="1" w:styleId="43">
    <w:name w:val="font101"/>
    <w:basedOn w:val="22"/>
    <w:qFormat/>
    <w:uiPriority w:val="0"/>
    <w:rPr>
      <w:rFonts w:hint="default" w:ascii="Times New Roman" w:hAnsi="Times New Roman" w:cs="Times New Roman"/>
      <w:b/>
      <w:bCs/>
      <w:i/>
      <w:iCs/>
      <w:color w:val="000000"/>
      <w:sz w:val="21"/>
      <w:szCs w:val="21"/>
      <w:u w:val="none"/>
    </w:rPr>
  </w:style>
  <w:style w:type="character" w:customStyle="1" w:styleId="44">
    <w:name w:val="font71"/>
    <w:basedOn w:val="22"/>
    <w:qFormat/>
    <w:uiPriority w:val="0"/>
    <w:rPr>
      <w:rFonts w:hint="eastAsia" w:ascii="宋体" w:hAnsi="宋体" w:eastAsia="宋体" w:cs="宋体"/>
      <w:b/>
      <w:bCs/>
      <w:color w:val="000000"/>
      <w:sz w:val="21"/>
      <w:szCs w:val="21"/>
      <w:u w:val="none"/>
    </w:rPr>
  </w:style>
  <w:style w:type="paragraph" w:customStyle="1" w:styleId="45">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6">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22988</Words>
  <Characters>24890</Characters>
  <Lines>1</Lines>
  <Paragraphs>1</Paragraphs>
  <TotalTime>6</TotalTime>
  <ScaleCrop>false</ScaleCrop>
  <LinksUpToDate>false</LinksUpToDate>
  <CharactersWithSpaces>27089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2022-11-22T04:08:11Z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7D9878AA12374C4B8475E3E2B21870B8</vt:lpwstr>
  </property>
  <property fmtid="{D5CDD505-2E9C-101B-9397-08002B2CF9AE}" pid="4" name="commondata">
    <vt:lpwstr>eyJoZGlkIjoiZGNiZjhiYWJkMzQ2ODliZDg0M2NkY2U3ZDYyYTQ3YzEifQ==</vt:lpwstr>
  </property>
</Properties>
</file>