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5365"/>
      <w:bookmarkStart w:id="3" w:name="_Toc15189"/>
      <w:bookmarkStart w:id="4" w:name="_Toc3493"/>
      <w:bookmarkStart w:id="5" w:name="_Toc17040"/>
      <w:bookmarkStart w:id="6" w:name="_Toc16091"/>
      <w:bookmarkStart w:id="7" w:name="_Toc15553"/>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jc w:val="center"/>
        <w:rPr>
          <w:rFonts w:ascii="宋体" w:hAnsi="宋体"/>
          <w:b/>
          <w:kern w:val="0"/>
          <w:sz w:val="44"/>
          <w:szCs w:val="44"/>
        </w:rPr>
      </w:pPr>
      <w:r>
        <w:rPr>
          <w:rFonts w:hint="eastAsia" w:ascii="宋体" w:hAnsi="宋体" w:eastAsia="宋体"/>
          <w:b/>
          <w:bCs w:val="0"/>
          <w:color w:val="auto"/>
          <w:kern w:val="0"/>
          <w:sz w:val="44"/>
          <w:szCs w:val="44"/>
          <w:lang w:val="en-US" w:eastAsia="zh-CN"/>
        </w:rPr>
        <w:t>2023-2025年公务车辆保险服务采购项目</w:t>
      </w:r>
      <w:r>
        <w:rPr>
          <w:rFonts w:hint="eastAsia" w:ascii="宋体" w:hAnsi="宋体"/>
          <w:b/>
          <w:bCs w:val="0"/>
          <w:color w:val="auto"/>
          <w:kern w:val="0"/>
          <w:sz w:val="44"/>
          <w:szCs w:val="44"/>
          <w:lang w:val="en-US" w:eastAsia="zh-CN"/>
        </w:rPr>
        <w:t>（第二次）</w:t>
      </w:r>
    </w:p>
    <w:p>
      <w:pPr>
        <w:jc w:val="center"/>
        <w:rPr>
          <w:rFonts w:ascii="宋体" w:hAnsi="宋体"/>
          <w:b/>
          <w:kern w:val="0"/>
          <w:sz w:val="44"/>
          <w:szCs w:val="44"/>
        </w:rPr>
      </w:pPr>
    </w:p>
    <w:p>
      <w:pPr>
        <w:pStyle w:val="17"/>
        <w:rPr>
          <w:rFonts w:ascii="宋体" w:hAnsi="宋体"/>
          <w:b/>
          <w:kern w:val="0"/>
          <w:sz w:val="44"/>
          <w:szCs w:val="44"/>
        </w:rPr>
      </w:pPr>
    </w:p>
    <w:p>
      <w:pPr>
        <w:pStyle w:val="17"/>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891" w:firstLineChars="8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ZCB-2022085</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syxzcbgs02@163.com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3.邮件主题：2023-2025年公务车辆保险服务采购项目（第二次）-某某公司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5.报名截止时间：2022年11月28日下午17:00，以邮件接收时间为准，超时视为无效报名。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w:t>
      </w:r>
      <w:r>
        <w:rPr>
          <w:rFonts w:hint="eastAsia" w:ascii="宋体" w:hAnsi="宋体" w:cs="宋体"/>
          <w:kern w:val="0"/>
          <w:sz w:val="24"/>
          <w:lang w:val="en-US" w:eastAsia="zh-CN"/>
        </w:rPr>
        <w:t>将以电子邮件形式</w:t>
      </w:r>
      <w:r>
        <w:rPr>
          <w:rFonts w:ascii="宋体" w:hAnsi="宋体" w:cs="宋体"/>
          <w:kern w:val="0"/>
          <w:sz w:val="24"/>
        </w:rPr>
        <w:t>另行通知）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本项目不接受联合体报名，成交供应商不得分包、转包。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（6）供应商营业执照（提供复印件,并加盖供应商公司公章。如为分公司报名，必须同时提供总公司的营业执照副本复印件及总公司针对本项目响应的授权书原件。）</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7）供应商须为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 (提供有效证书的复印件，加盖公章）。</w:t>
      </w:r>
      <w:bookmarkStart w:id="134" w:name="_GoBack"/>
      <w:bookmarkEnd w:id="134"/>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4"/>
      <w:bookmarkStart w:id="13" w:name="_Toc14488"/>
      <w:bookmarkStart w:id="14" w:name="_Toc17375"/>
      <w:bookmarkStart w:id="15" w:name="_Toc28528"/>
      <w:bookmarkStart w:id="16" w:name="_Toc6408"/>
      <w:bookmarkStart w:id="17" w:name="_Toc6151"/>
      <w:bookmarkStart w:id="18" w:name="_Toc25869"/>
      <w:bookmarkStart w:id="19" w:name="_Toc31053"/>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5870"/>
      <w:bookmarkStart w:id="22" w:name="_Toc435"/>
      <w:bookmarkStart w:id="23" w:name="_Toc3471"/>
      <w:bookmarkStart w:id="24" w:name="_Toc6547"/>
      <w:bookmarkStart w:id="25" w:name="_Toc1994"/>
      <w:bookmarkStart w:id="26" w:name="_Toc11075"/>
      <w:bookmarkStart w:id="27" w:name="_Toc40346375"/>
      <w:bookmarkStart w:id="28" w:name="_Toc12520"/>
      <w:bookmarkStart w:id="29" w:name="_Toc21249"/>
      <w:bookmarkStart w:id="30" w:name="_Toc40776111"/>
      <w:bookmarkStart w:id="31" w:name="_Toc11305"/>
      <w:bookmarkStart w:id="32" w:name="_Toc8364"/>
      <w:bookmarkStart w:id="33" w:name="_Toc28703"/>
      <w:bookmarkStart w:id="34" w:name="_Toc29113"/>
      <w:bookmarkStart w:id="35" w:name="_Toc26267"/>
      <w:bookmarkStart w:id="36" w:name="_Toc40346216"/>
      <w:bookmarkStart w:id="37" w:name="_Toc7291"/>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17709"/>
      <w:bookmarkStart w:id="40" w:name="_Toc40776112"/>
      <w:bookmarkStart w:id="41" w:name="_Toc1743"/>
      <w:bookmarkStart w:id="42" w:name="_Toc27997"/>
      <w:bookmarkStart w:id="43" w:name="_Toc20884"/>
      <w:bookmarkStart w:id="44" w:name="_Toc40346217"/>
      <w:bookmarkStart w:id="45" w:name="_Toc40346376"/>
    </w:p>
    <w:p>
      <w:pPr>
        <w:widowControl/>
        <w:spacing w:line="360" w:lineRule="auto"/>
        <w:ind w:firstLine="600"/>
        <w:outlineLvl w:val="0"/>
        <w:rPr>
          <w:rFonts w:cs="宋体"/>
          <w:kern w:val="0"/>
          <w:sz w:val="30"/>
          <w:szCs w:val="30"/>
        </w:rPr>
      </w:pPr>
      <w:bookmarkStart w:id="46" w:name="_Toc5238"/>
      <w:bookmarkStart w:id="47" w:name="_Toc23097"/>
      <w:bookmarkStart w:id="48" w:name="_Toc31538"/>
      <w:bookmarkStart w:id="49" w:name="_Toc19699"/>
      <w:bookmarkStart w:id="50" w:name="_Toc2012"/>
      <w:bookmarkStart w:id="51" w:name="_Toc30979"/>
      <w:bookmarkStart w:id="52" w:name="_Toc29102"/>
      <w:bookmarkStart w:id="53" w:name="_Toc11485"/>
      <w:bookmarkStart w:id="54" w:name="_Toc2029"/>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7867"/>
      <w:bookmarkStart w:id="56" w:name="_Toc11141"/>
      <w:bookmarkStart w:id="57" w:name="_Toc40776113"/>
      <w:bookmarkStart w:id="58" w:name="_Toc40346377"/>
      <w:bookmarkStart w:id="59" w:name="_Toc40346218"/>
      <w:bookmarkStart w:id="60" w:name="_Toc7052"/>
      <w:bookmarkStart w:id="61" w:name="_Toc12645"/>
      <w:bookmarkStart w:id="62" w:name="_Toc21483"/>
      <w:bookmarkStart w:id="63" w:name="_Toc28064"/>
      <w:bookmarkStart w:id="64" w:name="_Toc24763"/>
      <w:bookmarkStart w:id="65" w:name="_Toc11558"/>
      <w:bookmarkStart w:id="66" w:name="_Toc31993"/>
      <w:bookmarkStart w:id="67" w:name="_Toc14824"/>
      <w:bookmarkStart w:id="68" w:name="_Toc17930"/>
      <w:bookmarkStart w:id="69" w:name="_Toc16794"/>
      <w:bookmarkStart w:id="70" w:name="_Toc29767"/>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1334"/>
      <w:bookmarkStart w:id="73" w:name="_Toc40776114"/>
      <w:bookmarkStart w:id="74" w:name="_Toc27771"/>
      <w:bookmarkStart w:id="75" w:name="_Toc40346219"/>
      <w:bookmarkStart w:id="76" w:name="_Toc26029"/>
      <w:bookmarkStart w:id="77" w:name="_Toc14287"/>
      <w:bookmarkStart w:id="78" w:name="_Toc17537"/>
      <w:bookmarkStart w:id="79" w:name="_Toc16813"/>
      <w:bookmarkStart w:id="80" w:name="_Toc9883"/>
      <w:bookmarkStart w:id="81" w:name="_Toc31197"/>
      <w:bookmarkStart w:id="82" w:name="_Toc6438"/>
      <w:bookmarkStart w:id="83" w:name="_Toc19831"/>
      <w:bookmarkStart w:id="84" w:name="_Toc4563"/>
      <w:bookmarkStart w:id="85" w:name="_Toc40346378"/>
      <w:bookmarkStart w:id="86" w:name="_Toc1324"/>
      <w:bookmarkStart w:id="87" w:name="_Toc32709"/>
      <w:bookmarkStart w:id="88" w:name="_Toc2465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5634"/>
      <w:bookmarkStart w:id="90" w:name="_Toc27206"/>
      <w:bookmarkStart w:id="91" w:name="_Toc14586"/>
      <w:bookmarkStart w:id="92" w:name="_Toc17483"/>
      <w:bookmarkStart w:id="93" w:name="_Toc30336"/>
      <w:bookmarkStart w:id="94" w:name="_Toc40346379"/>
      <w:bookmarkStart w:id="95" w:name="_Toc20994"/>
      <w:bookmarkStart w:id="96" w:name="_Toc21940"/>
      <w:bookmarkStart w:id="97" w:name="_Toc18353"/>
      <w:bookmarkStart w:id="98" w:name="_Toc40776115"/>
      <w:bookmarkStart w:id="99" w:name="_Toc40346220"/>
      <w:bookmarkStart w:id="100" w:name="_Toc12650"/>
      <w:bookmarkStart w:id="101" w:name="_Toc3895"/>
      <w:bookmarkStart w:id="102" w:name="_Toc21686"/>
      <w:bookmarkStart w:id="103" w:name="_Toc27868"/>
      <w:bookmarkStart w:id="104" w:name="_Toc5189"/>
      <w:bookmarkStart w:id="105" w:name="_Toc13222"/>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1449"/>
      <w:bookmarkStart w:id="107" w:name="_Toc10454"/>
      <w:bookmarkStart w:id="108" w:name="_Toc9282"/>
      <w:bookmarkStart w:id="109" w:name="_Toc11547"/>
      <w:bookmarkStart w:id="110" w:name="_Toc14462"/>
      <w:bookmarkStart w:id="111" w:name="_Toc27646"/>
      <w:bookmarkStart w:id="112" w:name="_Toc30904"/>
      <w:bookmarkStart w:id="113" w:name="_Toc27009"/>
      <w:bookmarkStart w:id="114" w:name="_Toc40346221"/>
      <w:bookmarkStart w:id="115" w:name="_Toc40346380"/>
      <w:bookmarkStart w:id="116" w:name="_Toc3498"/>
      <w:bookmarkStart w:id="117" w:name="_Toc5220"/>
      <w:bookmarkStart w:id="118" w:name="_Toc40776116"/>
      <w:bookmarkStart w:id="119" w:name="_Toc12127"/>
      <w:bookmarkStart w:id="120" w:name="_Toc8526"/>
      <w:bookmarkStart w:id="121" w:name="_Toc30856"/>
      <w:bookmarkStart w:id="122" w:name="_Toc32371"/>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5539"/>
      <w:bookmarkStart w:id="124" w:name="_Toc13184"/>
      <w:bookmarkStart w:id="125" w:name="_Toc10399"/>
      <w:bookmarkStart w:id="126" w:name="_Toc8637"/>
      <w:bookmarkStart w:id="127" w:name="_Toc31077"/>
      <w:bookmarkStart w:id="128" w:name="_Toc28747"/>
      <w:bookmarkStart w:id="129" w:name="_Toc16608"/>
      <w:bookmarkStart w:id="130" w:name="_Toc16728"/>
      <w:bookmarkStart w:id="131" w:name="_Toc9697"/>
      <w:bookmarkStart w:id="132" w:name="_Toc6691"/>
      <w:bookmarkStart w:id="133" w:name="_Toc21213"/>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Style w:val="29"/>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5"/>
        <w:tabs>
          <w:tab w:val="left" w:pos="1050"/>
          <w:tab w:val="center" w:pos="4535"/>
        </w:tabs>
        <w:spacing w:line="360" w:lineRule="auto"/>
        <w:jc w:val="center"/>
        <w:outlineLvl w:val="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25"/>
        <w:tabs>
          <w:tab w:val="left" w:pos="1050"/>
          <w:tab w:val="center" w:pos="4535"/>
        </w:tabs>
        <w:spacing w:line="360" w:lineRule="auto"/>
        <w:jc w:val="center"/>
        <w:outlineLvl w:val="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二、供应商营业执照</w:t>
      </w:r>
    </w:p>
    <w:p>
      <w:pPr>
        <w:pStyle w:val="25"/>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。如为分公司报名，必须同时提供总公司的营业执照副本复印件及总公司针对本项目响应的授权书原件。）</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default" w:eastAsia="宋体"/>
          <w:b/>
          <w:bCs/>
          <w:sz w:val="32"/>
          <w:szCs w:val="32"/>
          <w:lang w:val="en-US" w:eastAsia="zh-CN"/>
        </w:rPr>
      </w:pPr>
      <w:r>
        <w:rPr>
          <w:rFonts w:hint="eastAsia"/>
          <w:b/>
          <w:bCs/>
          <w:sz w:val="32"/>
          <w:szCs w:val="32"/>
          <w:lang w:val="en-US" w:eastAsia="zh-CN"/>
        </w:rPr>
        <w:t>三、供应商保险许可证</w:t>
      </w:r>
    </w:p>
    <w:p>
      <w:pPr>
        <w:pStyle w:val="25"/>
        <w:tabs>
          <w:tab w:val="left" w:pos="1050"/>
          <w:tab w:val="center" w:pos="4535"/>
        </w:tabs>
        <w:spacing w:line="360" w:lineRule="auto"/>
        <w:jc w:val="center"/>
        <w:outlineLvl w:val="0"/>
        <w:rPr>
          <w:rFonts w:hint="eastAsia" w:eastAsia="宋体"/>
          <w:b/>
          <w:bCs/>
          <w:sz w:val="32"/>
          <w:szCs w:val="32"/>
          <w:lang w:eastAsia="zh-CN"/>
        </w:rPr>
      </w:pPr>
      <w:r>
        <w:rPr>
          <w:rFonts w:hint="eastAsia" w:ascii="宋体" w:hAnsi="宋体"/>
          <w:bCs/>
          <w:color w:val="0070C0"/>
          <w:sz w:val="24"/>
          <w:szCs w:val="24"/>
        </w:rPr>
        <w:t>（分公司或中心支公司的保险机构报名的，须提供《经营保险业务许可证》；总公司报名的，须提供《保险公司法人许可证》）(提供有效证书的复印件，加盖公章）</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6440845"/>
    <w:rsid w:val="0D8344AC"/>
    <w:rsid w:val="0D9809B4"/>
    <w:rsid w:val="12FE7D69"/>
    <w:rsid w:val="135207CE"/>
    <w:rsid w:val="14C35BD0"/>
    <w:rsid w:val="14EF6DCA"/>
    <w:rsid w:val="17150B6B"/>
    <w:rsid w:val="172327DB"/>
    <w:rsid w:val="1B060F39"/>
    <w:rsid w:val="1D177890"/>
    <w:rsid w:val="1D391E21"/>
    <w:rsid w:val="1EF609CD"/>
    <w:rsid w:val="1F87795B"/>
    <w:rsid w:val="21293969"/>
    <w:rsid w:val="212F023B"/>
    <w:rsid w:val="21402D3F"/>
    <w:rsid w:val="22587BCC"/>
    <w:rsid w:val="24B94269"/>
    <w:rsid w:val="261C29D8"/>
    <w:rsid w:val="27F63A2D"/>
    <w:rsid w:val="28B27AD1"/>
    <w:rsid w:val="29CF4042"/>
    <w:rsid w:val="2A745ACB"/>
    <w:rsid w:val="2E26476D"/>
    <w:rsid w:val="2E4520F6"/>
    <w:rsid w:val="30452C70"/>
    <w:rsid w:val="30811227"/>
    <w:rsid w:val="33D07732"/>
    <w:rsid w:val="33E86666"/>
    <w:rsid w:val="34D33DC9"/>
    <w:rsid w:val="35115140"/>
    <w:rsid w:val="370768B5"/>
    <w:rsid w:val="39056E6A"/>
    <w:rsid w:val="39102554"/>
    <w:rsid w:val="3A136D0B"/>
    <w:rsid w:val="3A294580"/>
    <w:rsid w:val="41B5198F"/>
    <w:rsid w:val="41F769E0"/>
    <w:rsid w:val="429E024C"/>
    <w:rsid w:val="42E531CF"/>
    <w:rsid w:val="42FE1FCA"/>
    <w:rsid w:val="4352242D"/>
    <w:rsid w:val="4582125E"/>
    <w:rsid w:val="468C4D8C"/>
    <w:rsid w:val="46A2484B"/>
    <w:rsid w:val="4A1C47DE"/>
    <w:rsid w:val="4C4F110A"/>
    <w:rsid w:val="51701B4D"/>
    <w:rsid w:val="548C5956"/>
    <w:rsid w:val="55252680"/>
    <w:rsid w:val="563C073B"/>
    <w:rsid w:val="597F2160"/>
    <w:rsid w:val="5A9932D8"/>
    <w:rsid w:val="5B125F66"/>
    <w:rsid w:val="5C5762BC"/>
    <w:rsid w:val="5C952952"/>
    <w:rsid w:val="5CE84F5B"/>
    <w:rsid w:val="5FC06B3E"/>
    <w:rsid w:val="638E7E05"/>
    <w:rsid w:val="639C77AA"/>
    <w:rsid w:val="64DB34C0"/>
    <w:rsid w:val="65D16498"/>
    <w:rsid w:val="65F91CA0"/>
    <w:rsid w:val="669D5528"/>
    <w:rsid w:val="66C035C3"/>
    <w:rsid w:val="69E20917"/>
    <w:rsid w:val="6AC77EEC"/>
    <w:rsid w:val="6DF1127F"/>
    <w:rsid w:val="6F2A1050"/>
    <w:rsid w:val="6F523856"/>
    <w:rsid w:val="6FB966A4"/>
    <w:rsid w:val="70CB0E37"/>
    <w:rsid w:val="746A0197"/>
    <w:rsid w:val="75DF317C"/>
    <w:rsid w:val="768B3397"/>
    <w:rsid w:val="79DF1122"/>
    <w:rsid w:val="7A2540C6"/>
    <w:rsid w:val="7A8E3AE6"/>
    <w:rsid w:val="7CA73C49"/>
    <w:rsid w:val="7F626E1B"/>
    <w:rsid w:val="7F7043FF"/>
    <w:rsid w:val="7FBA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2196</Words>
  <Characters>2329</Characters>
  <Lines>16</Lines>
  <Paragraphs>4</Paragraphs>
  <TotalTime>2</TotalTime>
  <ScaleCrop>false</ScaleCrop>
  <LinksUpToDate>false</LinksUpToDate>
  <CharactersWithSpaces>2460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小奀</cp:lastModifiedBy>
  <cp:lastPrinted>2022-08-23T03:15:00Z</cp:lastPrinted>
  <dcterms:modified xsi:type="dcterms:W3CDTF">2022-11-22T04:06:54Z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166C090F5F594C7E87577E737B94B29F</vt:lpwstr>
  </property>
</Properties>
</file>