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3493"/>
      <w:bookmarkStart w:id="3" w:name="_Toc15365"/>
      <w:bookmarkStart w:id="4" w:name="_Toc14315"/>
      <w:bookmarkStart w:id="5" w:name="_Toc15553"/>
      <w:bookmarkStart w:id="6" w:name="_Toc15189"/>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spacing w:line="480" w:lineRule="auto"/>
        <w:jc w:val="center"/>
        <w:rPr>
          <w:rFonts w:hint="eastAsia" w:ascii="宋体" w:hAnsi="宋体" w:eastAsia="宋体"/>
          <w:b/>
          <w:bCs/>
          <w:sz w:val="52"/>
          <w:szCs w:val="52"/>
          <w:lang w:eastAsia="zh-CN"/>
        </w:rPr>
      </w:pPr>
      <w:r>
        <w:rPr>
          <w:rFonts w:hint="eastAsia" w:ascii="宋体" w:hAnsi="宋体"/>
          <w:b/>
          <w:bCs/>
          <w:sz w:val="52"/>
          <w:szCs w:val="52"/>
        </w:rPr>
        <w:t>采购部分二代测序NGS检测服务包</w:t>
      </w:r>
      <w:r>
        <w:rPr>
          <w:rFonts w:hint="eastAsia" w:ascii="宋体" w:hAnsi="宋体"/>
          <w:b/>
          <w:bCs/>
          <w:sz w:val="52"/>
          <w:szCs w:val="52"/>
          <w:lang w:eastAsia="zh-CN"/>
        </w:rPr>
        <w:t>项目（第二次）</w:t>
      </w: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ZCB-2023008</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3.邮件主题：采购部分二代测序NGS检测服务包项目（第二次）-某某公司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5.报名截止时间：2021年1月31日下午1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（7）特定资格条件：供应商须具备有效的《医疗机构执业许可证》。</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31053"/>
      <w:bookmarkStart w:id="14" w:name="_Toc17375"/>
      <w:bookmarkStart w:id="15" w:name="_Toc31740"/>
      <w:bookmarkStart w:id="16" w:name="_Toc6408"/>
      <w:bookmarkStart w:id="17" w:name="_Toc6151"/>
      <w:bookmarkStart w:id="18" w:name="_Toc25869"/>
      <w:bookmarkStart w:id="19" w:name="_Toc28528"/>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hint="eastAsia" w:ascii="宋体" w:hAnsi="宋体" w:eastAsia="宋体" w:cs="宋体"/>
          <w:b/>
          <w:kern w:val="0"/>
          <w:sz w:val="52"/>
          <w:szCs w:val="52"/>
          <w:lang w:eastAsia="zh-CN"/>
        </w:rPr>
      </w:pPr>
      <w:r>
        <w:rPr>
          <w:rFonts w:hint="eastAsia" w:ascii="宋体" w:hAnsi="宋体" w:cs="宋体"/>
          <w:b/>
          <w:kern w:val="0"/>
          <w:sz w:val="52"/>
          <w:szCs w:val="52"/>
        </w:rPr>
        <w:t>采购</w:t>
      </w:r>
      <w:r>
        <w:rPr>
          <w:rFonts w:hint="eastAsia" w:ascii="宋体" w:hAnsi="宋体" w:cs="宋体"/>
          <w:b/>
          <w:color w:val="0000FF"/>
          <w:kern w:val="0"/>
          <w:sz w:val="52"/>
          <w:szCs w:val="52"/>
        </w:rPr>
        <w:t>部分二代测序NGS检测服务包服务</w:t>
      </w:r>
      <w:r>
        <w:rPr>
          <w:rFonts w:hint="eastAsia" w:ascii="宋体" w:hAnsi="宋体" w:cs="宋体"/>
          <w:b/>
          <w:kern w:val="0"/>
          <w:sz w:val="52"/>
          <w:szCs w:val="52"/>
        </w:rPr>
        <w:t>项目</w:t>
      </w:r>
      <w:r>
        <w:rPr>
          <w:rFonts w:hint="eastAsia" w:ascii="宋体" w:hAnsi="宋体" w:cs="宋体"/>
          <w:b/>
          <w:kern w:val="0"/>
          <w:sz w:val="52"/>
          <w:szCs w:val="52"/>
          <w:lang w:eastAsia="zh-CN"/>
        </w:rPr>
        <w:t>（第二次）</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35"/>
      <w:bookmarkStart w:id="22" w:name="_Toc11075"/>
      <w:bookmarkStart w:id="23" w:name="_Toc21249"/>
      <w:bookmarkStart w:id="24" w:name="_Toc40346375"/>
      <w:bookmarkStart w:id="25" w:name="_Toc15870"/>
      <w:bookmarkStart w:id="26" w:name="_Toc40346216"/>
      <w:bookmarkStart w:id="27" w:name="_Toc6547"/>
      <w:bookmarkStart w:id="28" w:name="_Toc28703"/>
      <w:bookmarkStart w:id="29" w:name="_Toc12520"/>
      <w:bookmarkStart w:id="30" w:name="_Toc3471"/>
      <w:bookmarkStart w:id="31" w:name="_Toc7291"/>
      <w:bookmarkStart w:id="32" w:name="_Toc29113"/>
      <w:bookmarkStart w:id="33" w:name="_Toc26267"/>
      <w:bookmarkStart w:id="34" w:name="_Toc1994"/>
      <w:bookmarkStart w:id="35" w:name="_Toc8364"/>
      <w:bookmarkStart w:id="36" w:name="_Toc11305"/>
      <w:bookmarkStart w:id="37" w:name="_Toc4077611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376"/>
      <w:bookmarkStart w:id="40" w:name="_Toc1743"/>
      <w:bookmarkStart w:id="41" w:name="_Toc40776112"/>
      <w:bookmarkStart w:id="42" w:name="_Toc20884"/>
      <w:bookmarkStart w:id="43" w:name="_Toc2916"/>
      <w:bookmarkStart w:id="44" w:name="_Toc27997"/>
      <w:bookmarkStart w:id="45" w:name="_Toc40346217"/>
    </w:p>
    <w:p>
      <w:pPr>
        <w:widowControl/>
        <w:spacing w:line="360" w:lineRule="auto"/>
        <w:ind w:firstLine="600"/>
        <w:outlineLvl w:val="0"/>
        <w:rPr>
          <w:rFonts w:cs="宋体"/>
          <w:kern w:val="0"/>
          <w:sz w:val="30"/>
          <w:szCs w:val="30"/>
        </w:rPr>
      </w:pPr>
      <w:bookmarkStart w:id="46" w:name="_Toc30979"/>
      <w:bookmarkStart w:id="47" w:name="_Toc23097"/>
      <w:bookmarkStart w:id="48" w:name="_Toc19699"/>
      <w:bookmarkStart w:id="49" w:name="_Toc5238"/>
      <w:bookmarkStart w:id="50" w:name="_Toc11485"/>
      <w:bookmarkStart w:id="51" w:name="_Toc2029"/>
      <w:bookmarkStart w:id="52" w:name="_Toc29102"/>
      <w:bookmarkStart w:id="53" w:name="_Toc2012"/>
      <w:bookmarkStart w:id="54" w:name="_Toc31538"/>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40776113"/>
      <w:bookmarkStart w:id="56" w:name="_Toc24763"/>
      <w:bookmarkStart w:id="57" w:name="_Toc14824"/>
      <w:bookmarkStart w:id="58" w:name="_Toc40346377"/>
      <w:bookmarkStart w:id="59" w:name="_Toc21483"/>
      <w:bookmarkStart w:id="60" w:name="_Toc4013"/>
      <w:bookmarkStart w:id="61" w:name="_Toc28064"/>
      <w:bookmarkStart w:id="62" w:name="_Toc16794"/>
      <w:bookmarkStart w:id="63" w:name="_Toc12645"/>
      <w:bookmarkStart w:id="64" w:name="_Toc7052"/>
      <w:bookmarkStart w:id="65" w:name="_Toc11141"/>
      <w:bookmarkStart w:id="66" w:name="_Toc29767"/>
      <w:bookmarkStart w:id="67" w:name="_Toc17930"/>
      <w:bookmarkStart w:id="68" w:name="_Toc31993"/>
      <w:bookmarkStart w:id="69" w:name="_Toc11558"/>
      <w:bookmarkStart w:id="70" w:name="_Toc40346218"/>
      <w:bookmarkStart w:id="71" w:name="_Toc2786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346219"/>
      <w:bookmarkStart w:id="73" w:name="_Toc17537"/>
      <w:bookmarkStart w:id="74" w:name="_Toc4563"/>
      <w:bookmarkStart w:id="75" w:name="_Toc32709"/>
      <w:bookmarkStart w:id="76" w:name="_Toc40346378"/>
      <w:bookmarkStart w:id="77" w:name="_Toc26029"/>
      <w:bookmarkStart w:id="78" w:name="_Toc14287"/>
      <w:bookmarkStart w:id="79" w:name="_Toc27771"/>
      <w:bookmarkStart w:id="80" w:name="_Toc19831"/>
      <w:bookmarkStart w:id="81" w:name="_Toc6438"/>
      <w:bookmarkStart w:id="82" w:name="_Toc9883"/>
      <w:bookmarkStart w:id="83" w:name="_Toc1324"/>
      <w:bookmarkStart w:id="84" w:name="_Toc40776114"/>
      <w:bookmarkStart w:id="85" w:name="_Toc16813"/>
      <w:bookmarkStart w:id="86" w:name="_Toc31197"/>
      <w:bookmarkStart w:id="87" w:name="_Toc1133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30336"/>
      <w:bookmarkStart w:id="91" w:name="_Toc12650"/>
      <w:bookmarkStart w:id="92" w:name="_Toc18353"/>
      <w:bookmarkStart w:id="93" w:name="_Toc20994"/>
      <w:bookmarkStart w:id="94" w:name="_Toc21686"/>
      <w:bookmarkStart w:id="95" w:name="_Toc40346379"/>
      <w:bookmarkStart w:id="96" w:name="_Toc40346220"/>
      <w:bookmarkStart w:id="97" w:name="_Toc5634"/>
      <w:bookmarkStart w:id="98" w:name="_Toc17483"/>
      <w:bookmarkStart w:id="99" w:name="_Toc5189"/>
      <w:bookmarkStart w:id="100" w:name="_Toc14586"/>
      <w:bookmarkStart w:id="101" w:name="_Toc21940"/>
      <w:bookmarkStart w:id="102" w:name="_Toc3895"/>
      <w:bookmarkStart w:id="103" w:name="_Toc13222"/>
      <w:bookmarkStart w:id="104" w:name="_Toc40776115"/>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40776116"/>
      <w:bookmarkStart w:id="108" w:name="_Toc14462"/>
      <w:bookmarkStart w:id="109" w:name="_Toc30856"/>
      <w:bookmarkStart w:id="110" w:name="_Toc27009"/>
      <w:bookmarkStart w:id="111" w:name="_Toc12127"/>
      <w:bookmarkStart w:id="112" w:name="_Toc8526"/>
      <w:bookmarkStart w:id="113" w:name="_Toc30904"/>
      <w:bookmarkStart w:id="114" w:name="_Toc27646"/>
      <w:bookmarkStart w:id="115" w:name="_Toc40346380"/>
      <w:bookmarkStart w:id="116" w:name="_Toc5220"/>
      <w:bookmarkStart w:id="117" w:name="_Toc40346221"/>
      <w:bookmarkStart w:id="118" w:name="_Toc11547"/>
      <w:bookmarkStart w:id="119" w:name="_Toc21449"/>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728"/>
      <w:bookmarkStart w:id="124" w:name="_Toc9697"/>
      <w:bookmarkStart w:id="125" w:name="_Toc13184"/>
      <w:bookmarkStart w:id="126" w:name="_Toc16608"/>
      <w:bookmarkStart w:id="127" w:name="_Toc8637"/>
      <w:bookmarkStart w:id="128" w:name="_Toc31077"/>
      <w:bookmarkStart w:id="129" w:name="_Toc15539"/>
      <w:bookmarkStart w:id="130" w:name="_Toc6691"/>
      <w:bookmarkStart w:id="131" w:name="_Toc28747"/>
      <w:bookmarkStart w:id="132" w:name="_Toc21213"/>
      <w:bookmarkStart w:id="133" w:name="_Toc10399"/>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采购部分二代测序NGS检测服务包服务（第二次</w:t>
      </w:r>
      <w:bookmarkStart w:id="134" w:name="_GoBack"/>
      <w:bookmarkEnd w:id="134"/>
      <w:r>
        <w:rPr>
          <w:rFonts w:hint="eastAsia" w:ascii="宋体" w:hAnsi="宋体" w:cs="宋体"/>
          <w:b/>
          <w:bCs/>
          <w:color w:val="auto"/>
          <w:sz w:val="24"/>
          <w:highlight w:val="none"/>
          <w:u w:val="single"/>
          <w:lang w:val="en-US" w:eastAsia="zh-CN"/>
        </w:rPr>
        <w:t>）</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三、《医疗机构执业许可证》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5664A8C"/>
    <w:rsid w:val="05EE4645"/>
    <w:rsid w:val="2A295C1A"/>
    <w:rsid w:val="5F641B90"/>
    <w:rsid w:val="64536EC4"/>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2002</Words>
  <Characters>2110</Characters>
  <Paragraphs>201</Paragraphs>
  <TotalTime>16</TotalTime>
  <ScaleCrop>false</ScaleCrop>
  <LinksUpToDate>false</LinksUpToDate>
  <CharactersWithSpaces>2233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2023-01-20T14:21:48Z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