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9"/>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3040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中山大学孙逸仙纪念医院采购血液疾病521项基因检测服务</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9"/>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30日</w:t>
      </w: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第一章  </w:t>
      </w:r>
      <w:r>
        <w:rPr>
          <w:rStyle w:val="27"/>
          <w:rFonts w:hint="eastAsia" w:ascii="仿宋" w:hAnsi="仿宋" w:eastAsia="仿宋" w:cs="仿宋"/>
          <w:b/>
          <w:color w:val="000000"/>
          <w:sz w:val="32"/>
          <w:szCs w:val="32"/>
          <w:highlight w:val="none"/>
          <w:lang w:val="en-US" w:eastAsia="zh-CN"/>
        </w:rPr>
        <w:t>比选邀请</w:t>
      </w:r>
      <w:r>
        <w:rPr>
          <w:rStyle w:val="27"/>
          <w:rFonts w:hint="eastAsia" w:ascii="仿宋" w:hAnsi="仿宋" w:eastAsia="仿宋" w:cs="仿宋"/>
          <w:b/>
          <w:color w:val="000000"/>
          <w:sz w:val="32"/>
          <w:szCs w:val="32"/>
          <w:highlight w:val="none"/>
        </w:rPr>
        <w:t>函</w:t>
      </w:r>
      <w:r>
        <w:rPr>
          <w:rFonts w:hint="eastAsia" w:ascii="华文仿宋" w:hAnsi="华文仿宋" w:eastAsia="华文仿宋" w:cs="华文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第二章  </w:t>
      </w:r>
      <w:r>
        <w:rPr>
          <w:rStyle w:val="27"/>
          <w:rFonts w:hint="eastAsia" w:ascii="华文仿宋" w:hAnsi="华文仿宋" w:eastAsia="华文仿宋" w:cs="华文仿宋"/>
          <w:b/>
          <w:color w:val="000000"/>
          <w:sz w:val="32"/>
          <w:szCs w:val="32"/>
          <w:highlight w:val="none"/>
          <w:lang w:eastAsia="zh-CN"/>
        </w:rPr>
        <w:t>用户</w:t>
      </w:r>
      <w:r>
        <w:rPr>
          <w:rStyle w:val="27"/>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第三章  </w:t>
      </w:r>
      <w:r>
        <w:rPr>
          <w:rStyle w:val="27"/>
          <w:rFonts w:hint="eastAsia" w:ascii="华文仿宋" w:hAnsi="华文仿宋" w:eastAsia="华文仿宋" w:cs="华文仿宋"/>
          <w:b/>
          <w:color w:val="000000"/>
          <w:sz w:val="32"/>
          <w:szCs w:val="32"/>
          <w:highlight w:val="none"/>
          <w:lang w:val="en-US" w:eastAsia="zh-CN"/>
        </w:rPr>
        <w:t>响应</w:t>
      </w:r>
      <w:r>
        <w:rPr>
          <w:rStyle w:val="27"/>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8"/>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6465"/>
      <w:bookmarkStart w:id="1" w:name="_Toc50737317"/>
      <w:bookmarkStart w:id="2" w:name="_Toc385939527"/>
      <w:bookmarkStart w:id="3" w:name="_Toc50737285"/>
      <w:bookmarkStart w:id="4" w:name="_Toc50691018"/>
      <w:bookmarkStart w:id="5" w:name="_Toc76354913"/>
      <w:bookmarkStart w:id="6" w:name="_Toc385940868"/>
      <w:bookmarkStart w:id="7" w:name="_Toc417914517"/>
      <w:r>
        <w:rPr>
          <w:rFonts w:hint="eastAsia" w:ascii="微软雅黑" w:hAnsi="微软雅黑" w:eastAsia="微软雅黑" w:cs="微软雅黑"/>
          <w:color w:val="000000"/>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比选邀请</w:t>
      </w:r>
      <w:r>
        <w:rPr>
          <w:rFonts w:hint="eastAsia" w:ascii="微软雅黑" w:hAnsi="微软雅黑" w:eastAsia="微软雅黑" w:cs="微软雅黑"/>
          <w:color w:val="000000"/>
          <w:highlight w:val="none"/>
        </w:rPr>
        <w:t>函</w:t>
      </w:r>
      <w:bookmarkEnd w:id="7"/>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rPr>
          <w:rFonts w:hint="eastAsia" w:ascii="宋体" w:hAnsi="宋体" w:cs="宋体"/>
          <w:b/>
          <w:bCs/>
          <w:color w:val="000000"/>
          <w:kern w:val="44"/>
          <w:sz w:val="36"/>
          <w:szCs w:val="36"/>
          <w:highlight w:val="none"/>
          <w:lang w:val="en-US" w:eastAsia="zh-CN"/>
        </w:rPr>
      </w:pPr>
      <w:r>
        <w:rPr>
          <w:rFonts w:hint="eastAsia" w:ascii="宋体" w:hAnsi="宋体" w:cs="宋体"/>
          <w:b/>
          <w:bCs/>
          <w:color w:val="000000"/>
          <w:kern w:val="44"/>
          <w:sz w:val="36"/>
          <w:szCs w:val="36"/>
          <w:highlight w:val="none"/>
          <w:lang w:val="en-US" w:eastAsia="zh-CN"/>
        </w:rPr>
        <w:br w:type="page"/>
      </w:r>
    </w:p>
    <w:p>
      <w:pPr>
        <w:keepNext w:val="0"/>
        <w:keepLines w:val="0"/>
        <w:pageBreakBefore w:val="0"/>
        <w:widowControl/>
        <w:kinsoku/>
        <w:wordWrap/>
        <w:overflowPunct/>
        <w:topLinePunct w:val="0"/>
        <w:bidi w:val="0"/>
        <w:adjustRightInd w:val="0"/>
        <w:snapToGrid w:val="0"/>
        <w:spacing w:line="408" w:lineRule="auto"/>
        <w:ind w:right="0" w:rightChars="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我院采购血液疾病521项基因检测服务</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ZCB-2023040</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：中山大学孙逸仙纪念医院采购血液疾病521项基因检测服务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pPr w:leftFromText="180" w:rightFromText="180" w:vertAnchor="text" w:horzAnchor="page" w:tblpXSpec="center" w:tblpY="295"/>
        <w:tblOverlap w:val="never"/>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4"/>
        <w:gridCol w:w="2685"/>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32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采购内容</w:t>
            </w:r>
          </w:p>
        </w:tc>
        <w:tc>
          <w:tcPr>
            <w:tcW w:w="268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c>
          <w:tcPr>
            <w:tcW w:w="2156"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324" w:type="dxa"/>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highlight w:val="none"/>
              </w:rPr>
              <w:t>血液疾病521项基因检测</w:t>
            </w:r>
          </w:p>
        </w:tc>
        <w:tc>
          <w:tcPr>
            <w:tcW w:w="2685"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720000.00</w:t>
            </w:r>
          </w:p>
        </w:tc>
        <w:tc>
          <w:tcPr>
            <w:tcW w:w="2156"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自合同签订起</w:t>
            </w:r>
            <w:r>
              <w:rPr>
                <w:rFonts w:hint="eastAsia" w:ascii="仿宋" w:hAnsi="仿宋" w:eastAsia="仿宋" w:cs="仿宋"/>
                <w:color w:val="000000"/>
                <w:sz w:val="24"/>
                <w:szCs w:val="24"/>
                <w:highlight w:val="none"/>
                <w:lang w:val="en-US" w:eastAsia="zh-CN"/>
              </w:rPr>
              <w:t>1年</w:t>
            </w:r>
          </w:p>
        </w:tc>
      </w:tr>
    </w:tbl>
    <w:p>
      <w:pPr>
        <w:pStyle w:val="22"/>
        <w:rPr>
          <w:rFonts w:hint="eastAsia"/>
        </w:rPr>
      </w:pPr>
    </w:p>
    <w:p>
      <w:pPr>
        <w:pStyle w:val="22"/>
        <w:rPr>
          <w:rFonts w:hint="eastAsia"/>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2、项目时间：按采购人要求；</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3、项目地点：广州市沿江西路107号、海珠区盈丰路33号。</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bCs/>
          <w:color w:val="000000"/>
          <w:sz w:val="24"/>
          <w:szCs w:val="24"/>
          <w:highlight w:val="none"/>
          <w:lang w:val="en-US" w:eastAsia="zh-CN"/>
        </w:rPr>
        <w:t>本项目不接受联合体响应，成交供应商不得分包、转包。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i w:val="0"/>
          <w:iCs w:val="0"/>
          <w:caps w:val="0"/>
          <w:color w:val="000000"/>
          <w:spacing w:val="0"/>
          <w:sz w:val="24"/>
          <w:szCs w:val="24"/>
          <w:highlight w:val="none"/>
          <w:u w:val="none"/>
          <w:vertAlign w:val="baseline"/>
          <w:lang w:val="en-US" w:eastAsia="zh-CN"/>
        </w:rPr>
        <w:t>血液疾病521项基因检测</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报名，成交供应商不得分包、转包。</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7、具备从事医学检验、检测的资质。提供《医疗机构执业许可证》复印件并加盖公章，原件备查；</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8、提供《临床基因扩增检验实验室验收合格证书》，提供复印件并加盖公章，原件备查。</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9、提供标的中项目自报名截止之日起半年内的检验报告1份，并加盖响应人公章。</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联系人：林老师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电子邮箱：syxzcbgs01@163.com</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联系地址：广州市越秀区长堤大马路171号威力斯大楼907室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2023年4月12日中午12:00，广州市越秀区长堤大马路171号威力斯大楼907室。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（根据医院工作安排开展评审，供应商无需出席比选会议）</w:t>
      </w:r>
      <w:r>
        <w:rPr>
          <w:rFonts w:hint="eastAsia" w:ascii="仿宋" w:hAnsi="仿宋" w:eastAsia="仿宋" w:cs="仿宋"/>
          <w:b/>
          <w:bCs/>
          <w:color w:val="000000"/>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r>
        <w:rPr>
          <w:rFonts w:hint="eastAsia" w:ascii="仿宋" w:hAnsi="仿宋" w:eastAsia="仿宋" w:cs="仿宋"/>
          <w:color w:val="000000"/>
          <w:sz w:val="24"/>
          <w:szCs w:val="24"/>
          <w:highlight w:val="none"/>
        </w:rPr>
        <w:t xml:space="preserve">                                                                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30</w:t>
      </w:r>
      <w:bookmarkStart w:id="33" w:name="_GoBack"/>
      <w:bookmarkEnd w:id="33"/>
      <w:r>
        <w:rPr>
          <w:rFonts w:hint="eastAsia" w:ascii="仿宋" w:hAnsi="仿宋" w:eastAsia="仿宋" w:cs="仿宋"/>
          <w:color w:val="000000"/>
          <w:sz w:val="24"/>
          <w:szCs w:val="24"/>
          <w:highlight w:val="none"/>
          <w:lang w:val="en-US" w:eastAsia="zh-CN"/>
        </w:rPr>
        <w:t>日</w:t>
      </w:r>
    </w:p>
    <w:p>
      <w:pPr>
        <w:pStyle w:val="28"/>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2"/>
        <w:rPr>
          <w:rFonts w:hint="eastAsia" w:ascii="微软雅黑" w:hAnsi="微软雅黑" w:eastAsia="微软雅黑" w:cs="微软雅黑"/>
          <w:color w:val="000000"/>
          <w:highlight w:val="none"/>
        </w:rPr>
      </w:pPr>
      <w:bookmarkStart w:id="8" w:name="_Toc50737320"/>
      <w:bookmarkStart w:id="9" w:name="_Toc50736468"/>
      <w:bookmarkStart w:id="10" w:name="_Toc50737288"/>
      <w:bookmarkStart w:id="11" w:name="_Toc76354916"/>
      <w:bookmarkStart w:id="12" w:name="_Toc50691021"/>
      <w:bookmarkStart w:id="13" w:name="_Toc385939528"/>
      <w:bookmarkStart w:id="14" w:name="_Toc385940869"/>
      <w:bookmarkStart w:id="15" w:name="_Toc417914518"/>
    </w:p>
    <w:p>
      <w:pPr>
        <w:pStyle w:val="22"/>
        <w:rPr>
          <w:rFonts w:hint="eastAsia" w:ascii="微软雅黑" w:hAnsi="微软雅黑" w:eastAsia="微软雅黑" w:cs="微软雅黑"/>
          <w:color w:val="000000"/>
          <w:highlight w:val="none"/>
        </w:rPr>
      </w:pPr>
    </w:p>
    <w:p>
      <w:pPr>
        <w:rPr>
          <w:rFonts w:hint="eastAsia"/>
          <w:highlight w:val="none"/>
        </w:rPr>
      </w:pPr>
    </w:p>
    <w:p>
      <w:pPr>
        <w:rPr>
          <w:rFonts w:hint="eastAsia"/>
          <w:highlight w:val="none"/>
        </w:rPr>
      </w:pPr>
    </w:p>
    <w:p>
      <w:pPr>
        <w:rPr>
          <w:rFonts w:hint="eastAsia"/>
          <w:highlight w:val="none"/>
        </w:rPr>
      </w:pPr>
    </w:p>
    <w:p>
      <w:pPr>
        <w:rPr>
          <w:rFonts w:hint="eastAsia" w:ascii="微软雅黑" w:hAnsi="微软雅黑" w:eastAsia="微软雅黑" w:cs="微软雅黑"/>
          <w:color w:val="000000"/>
          <w:highlight w:val="none"/>
        </w:rPr>
      </w:pPr>
    </w:p>
    <w:p>
      <w:pPr>
        <w:pStyle w:val="7"/>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8"/>
        <w:rPr>
          <w:rFonts w:hint="eastAsia"/>
          <w:color w:val="000000"/>
          <w:highlight w:val="none"/>
        </w:rPr>
      </w:pPr>
    </w:p>
    <w:p>
      <w:pPr>
        <w:pStyle w:val="28"/>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385940875"/>
      <w:bookmarkStart w:id="17" w:name="_Toc417914519"/>
      <w:bookmarkStart w:id="18" w:name="_Toc385939529"/>
      <w:r>
        <w:rPr>
          <w:rFonts w:hint="eastAsia" w:ascii="仿宋" w:hAnsi="仿宋" w:eastAsia="仿宋" w:cs="仿宋"/>
          <w:b/>
          <w:color w:val="000000"/>
          <w:sz w:val="24"/>
          <w:szCs w:val="24"/>
          <w:highlight w:val="none"/>
          <w:lang w:eastAsia="zh-CN"/>
        </w:rPr>
        <w:t>用户需求书</w:t>
      </w:r>
      <w:r>
        <w:rPr>
          <w:rFonts w:hint="eastAsia" w:ascii="仿宋" w:hAnsi="仿宋" w:eastAsia="仿宋" w:cs="仿宋"/>
          <w:b/>
          <w:color w:val="000000"/>
          <w:sz w:val="24"/>
          <w:szCs w:val="24"/>
          <w:highlight w:val="none"/>
        </w:rPr>
        <w:t>：</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241" w:firstLineChars="100"/>
        <w:textAlignment w:val="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lang w:eastAsia="zh-CN"/>
        </w:rPr>
        <w:t>对于被委托实验室的要求</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1、响应人实验室符合国家卫健委《医疗机构临床实验室管理办法》等法律法规要求；</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2、响应人有能力提供免费的物流服务，按采购人指定地点收检标本（提供承诺函并加盖公章）；</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3、响应人负责免费提供标本采集试管、保存装置等；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4、响应人原则上使用电子签名签发报告，如暂未具备电子签名的条件，可试用纸质签名报告，但报告送达的时间必须约定的时间内（特殊情况须通知采购人，沟通解决）；</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5、响应人保证与采购人进行网络对接，实现网上查询结果，并可在采购人进行报告单打印，涉及的具体内容如有必要双方再另行签署相关协议；</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6、响应人保证按国家检测规范进行操作，并对标本的检测报告承担相应的责任；</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7、响应人有为采购人保密的义务，在未经采购人同意或授权下，响应人不得向采购人以外的任何单位或个人泄露采购人委托检测的任何信息；</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8、检测样本、检测数据的所有权、使用权为采购人所有，未经许可不得挪作它用；</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9、响应人检测后的剩余标本（如有），由响应人依法处置，响应人按照国家法律法规及相关行业规定的保存期限保存剩余标本（</w:t>
      </w:r>
      <w:r>
        <w:rPr>
          <w:rFonts w:hint="eastAsia" w:ascii="仿宋" w:hAnsi="仿宋" w:eastAsia="仿宋" w:cs="仿宋"/>
          <w:color w:val="000000"/>
          <w:sz w:val="24"/>
          <w:szCs w:val="24"/>
          <w:highlight w:val="none"/>
          <w:lang w:eastAsia="zh-CN"/>
        </w:rPr>
        <w:t>如</w:t>
      </w:r>
      <w:r>
        <w:rPr>
          <w:rFonts w:hint="eastAsia" w:ascii="仿宋" w:hAnsi="仿宋" w:eastAsia="仿宋" w:cs="仿宋"/>
          <w:color w:val="000000"/>
          <w:sz w:val="24"/>
          <w:szCs w:val="24"/>
          <w:highlight w:val="none"/>
        </w:rPr>
        <w:t>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10、响应人保证检验结果的公正性，不受任何诱使或压力的干扰。</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响应人建立快速的客户服务反应机制，如有针对响应人或采购人与响应人双方的投诉或需处理的情况，响应人须派代表在半日内到达医院及时沟通处理；若主要针对采购人的投诉或需处理的情况，响应人有义务协助采购人及时沟通处理；</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12、响应人每年定期安排相关的专家与采购人进行学术讲座、学术交流、培训等；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13、响应人应保证其应用到本项目的专利、技术是归其持有的，且享有处分权。</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双方合作仅限于开展本基因检测服务类范畴的合作。未经对方书面同意，采购人不得单方面以任何名义使用响应人及关联方品牌开展任何形式的宣传活动；响应人亦不得单方面以任何名义使用采购人及关联方品牌开展任何形式的宣传活动。双方如有一方违反规定，守约方保留向违约方追究相应法律责任的权利；</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15、响应人如使用采购人提供的受检者标本发表科研成果，需经采购人同意，且采购人有署名权，署名排序按照文章发表时各方的贡献另行协商确定；</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16、响应人应无偿向采购人提供检验项目所用检测方法的具体操作流程；</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17、响应人应无偿向采购人提供检验项目检测结果的原始数据数字化文件（包括</w:t>
      </w:r>
      <w:r>
        <w:rPr>
          <w:rFonts w:hint="eastAsia" w:ascii="仿宋" w:hAnsi="仿宋" w:eastAsia="仿宋" w:cs="仿宋"/>
          <w:color w:val="000000"/>
          <w:sz w:val="24"/>
          <w:szCs w:val="24"/>
          <w:highlight w:val="none"/>
          <w:lang w:eastAsia="zh-CN"/>
        </w:rPr>
        <w:t>但不限于</w:t>
      </w:r>
      <w:r>
        <w:rPr>
          <w:rFonts w:hint="eastAsia" w:ascii="仿宋" w:hAnsi="仿宋" w:eastAsia="仿宋" w:cs="仿宋"/>
          <w:color w:val="000000"/>
          <w:sz w:val="24"/>
          <w:szCs w:val="24"/>
          <w:highlight w:val="none"/>
        </w:rPr>
        <w:t>二代测序的*.fastq格式、一代测序的*.abl格式、芯片检测的*.cel格式、Q-PCR的原始数据、凝胶电泳图）；</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18、响应人应无偿向采购人提供原始数据数字化的分析方法说明，并向采购人技术人员作必要的解释；</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19、响应人无偿向采购人提供除检测结果外的技术报告（包括</w:t>
      </w:r>
      <w:r>
        <w:rPr>
          <w:rFonts w:hint="eastAsia" w:ascii="仿宋" w:hAnsi="仿宋" w:eastAsia="仿宋" w:cs="仿宋"/>
          <w:color w:val="000000"/>
          <w:sz w:val="24"/>
          <w:szCs w:val="24"/>
          <w:highlight w:val="none"/>
          <w:lang w:eastAsia="zh-CN"/>
        </w:rPr>
        <w:t>但不限于</w:t>
      </w:r>
      <w:r>
        <w:rPr>
          <w:rFonts w:hint="eastAsia" w:ascii="仿宋" w:hAnsi="仿宋" w:eastAsia="仿宋" w:cs="仿宋"/>
          <w:color w:val="000000"/>
          <w:sz w:val="24"/>
          <w:szCs w:val="24"/>
          <w:highlight w:val="none"/>
        </w:rPr>
        <w:t>检测基因的名称、国际标准ID号码、检测基因的目标序列或融合区域序列以及指明正常和致病序列</w:t>
      </w:r>
      <w:r>
        <w:rPr>
          <w:rFonts w:hint="eastAsia" w:ascii="仿宋" w:hAnsi="仿宋" w:eastAsia="仿宋" w:cs="仿宋"/>
          <w:color w:val="000000"/>
          <w:sz w:val="24"/>
          <w:szCs w:val="24"/>
          <w:highlight w:val="none"/>
          <w:lang w:eastAsia="zh-CN"/>
        </w:rPr>
        <w:t>的内容</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20、响应人应无偿向采购人提供所用试剂的厂家、货号或自配剂型的相关说明。</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21、响应人的高通量测序质量管理体系成熟，通过第三方评估认证。</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eastAsia="仿宋"/>
          <w:lang w:val="en-US" w:eastAsia="zh-CN"/>
        </w:rPr>
      </w:pPr>
      <w:r>
        <w:rPr>
          <w:rFonts w:hint="eastAsia" w:ascii="仿宋" w:hAnsi="仿宋" w:cs="仿宋"/>
          <w:color w:val="000000"/>
          <w:kern w:val="2"/>
          <w:sz w:val="24"/>
          <w:szCs w:val="24"/>
          <w:highlight w:val="none"/>
          <w:lang w:val="en-US" w:eastAsia="zh-CN" w:bidi="ar-SA"/>
        </w:rPr>
        <w:t>22、</w:t>
      </w:r>
      <w:r>
        <w:rPr>
          <w:rFonts w:hint="eastAsia" w:ascii="仿宋" w:hAnsi="仿宋" w:eastAsia="仿宋" w:cs="仿宋"/>
          <w:color w:val="000000"/>
          <w:kern w:val="2"/>
          <w:sz w:val="24"/>
          <w:szCs w:val="24"/>
          <w:highlight w:val="none"/>
          <w:lang w:val="en-US" w:eastAsia="zh-CN" w:bidi="ar-SA"/>
        </w:rPr>
        <w:t>响应人具备履行合同、提供检验服务所必需的专业技术能力，包括配备专业的诊断技术人员及开展基因测序项目所必备的设备、仪器。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二</w:t>
      </w:r>
      <w:r>
        <w:rPr>
          <w:rFonts w:hint="eastAsia" w:ascii="仿宋" w:hAnsi="仿宋" w:eastAsia="仿宋" w:cs="仿宋"/>
          <w:b/>
          <w:color w:val="000000"/>
          <w:sz w:val="24"/>
          <w:szCs w:val="24"/>
          <w:highlight w:val="none"/>
          <w:lang w:eastAsia="zh-CN"/>
        </w:rPr>
        <w:t>）被委托实验室的质量要求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1、质量要求</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（1）批内CV&lt;1/3 TEa(国家卫生健康委临检中心室间质评允许误差)，天间CV &lt;1/2 TEa；</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（2）同一检测项目在不同检测系统上检测，结果的相对偏差&lt;1/2 TEa；</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（3）参加国家卫生健康委室间质量评价95%以上项目PT成绩100分；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（4）检验结果的报告时限符合率≥90%；</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（5）检验报告合格率100%；</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（6）服务对象满意率≥95%。</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color w:val="000000"/>
          <w:sz w:val="24"/>
          <w:szCs w:val="24"/>
          <w:highlight w:val="none"/>
          <w:lang w:val="en-US" w:eastAsia="zh-CN"/>
        </w:rPr>
        <w:t>2、</w:t>
      </w:r>
      <w:r>
        <w:rPr>
          <w:rFonts w:hint="eastAsia" w:ascii="仿宋" w:hAnsi="仿宋" w:eastAsia="仿宋" w:cs="仿宋"/>
          <w:bCs w:val="0"/>
          <w:color w:val="000000"/>
          <w:spacing w:val="0"/>
          <w:kern w:val="2"/>
          <w:sz w:val="24"/>
          <w:szCs w:val="24"/>
          <w:highlight w:val="none"/>
          <w:lang w:val="en-US" w:eastAsia="zh-CN" w:bidi="ar-SA"/>
        </w:rPr>
        <w:t>成交人对采购人送检的合格样本结果进行负责，对于按照成交人取材要求进行取材的合格样本，若因成交人原因导致检测结果存在质量问题，由成交人承担相关责任。</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成交人均按日或检测批次对采购人委托项目进行室内质控，按季度提供室内质量控制报表，其内容包括质控检测数据.控制标准.质控分析.失控报告。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4、</w:t>
      </w:r>
      <w:r>
        <w:rPr>
          <w:rFonts w:hint="default" w:ascii="仿宋" w:hAnsi="仿宋" w:eastAsia="仿宋" w:cs="仿宋"/>
          <w:b w:val="0"/>
          <w:bCs w:val="0"/>
          <w:color w:val="000000"/>
          <w:kern w:val="0"/>
          <w:sz w:val="24"/>
          <w:szCs w:val="24"/>
          <w:highlight w:val="none"/>
          <w:lang w:val="en-US" w:eastAsia="zh-CN" w:bidi="ar"/>
        </w:rPr>
        <w:t>成交人</w:t>
      </w:r>
      <w:r>
        <w:rPr>
          <w:rFonts w:hint="eastAsia" w:ascii="仿宋" w:hAnsi="仿宋" w:eastAsia="仿宋" w:cs="仿宋"/>
          <w:b w:val="0"/>
          <w:bCs w:val="0"/>
          <w:color w:val="000000"/>
          <w:kern w:val="0"/>
          <w:sz w:val="24"/>
          <w:szCs w:val="24"/>
          <w:highlight w:val="none"/>
          <w:lang w:val="en-US" w:eastAsia="zh-CN" w:bidi="ar"/>
        </w:rPr>
        <w:t>需</w:t>
      </w:r>
      <w:r>
        <w:rPr>
          <w:rFonts w:hint="default" w:ascii="仿宋" w:hAnsi="仿宋" w:eastAsia="仿宋" w:cs="仿宋"/>
          <w:b w:val="0"/>
          <w:bCs w:val="0"/>
          <w:color w:val="000000"/>
          <w:kern w:val="0"/>
          <w:sz w:val="24"/>
          <w:szCs w:val="24"/>
          <w:highlight w:val="none"/>
          <w:lang w:val="en-US" w:eastAsia="zh-CN" w:bidi="ar"/>
        </w:rPr>
        <w:t>参加国家卫生健康委室间质评，每半年提供委托项目的能力验证活动报告，没有能力验证的检验项目应提供与</w:t>
      </w:r>
      <w:r>
        <w:rPr>
          <w:rFonts w:hint="eastAsia" w:ascii="仿宋" w:hAnsi="仿宋" w:eastAsia="仿宋" w:cs="仿宋"/>
          <w:b w:val="0"/>
          <w:bCs w:val="0"/>
          <w:color w:val="000000"/>
          <w:kern w:val="0"/>
          <w:sz w:val="24"/>
          <w:szCs w:val="24"/>
          <w:highlight w:val="none"/>
          <w:lang w:val="en-US" w:eastAsia="zh-CN" w:bidi="ar"/>
        </w:rPr>
        <w:t>采购人</w:t>
      </w:r>
      <w:r>
        <w:rPr>
          <w:rFonts w:hint="default" w:ascii="仿宋" w:hAnsi="仿宋" w:eastAsia="仿宋" w:cs="仿宋"/>
          <w:b w:val="0"/>
          <w:bCs w:val="0"/>
          <w:color w:val="000000"/>
          <w:kern w:val="0"/>
          <w:sz w:val="24"/>
          <w:szCs w:val="24"/>
          <w:highlight w:val="none"/>
          <w:lang w:val="en-US" w:eastAsia="zh-CN" w:bidi="ar"/>
        </w:rPr>
        <w:t>认可的实验室结果一致性的证据。</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5</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按采购人要求，随时提供质量和技术资料，如更换试剂批号.仪器维修后.检验系统更换后的质控记录和性能验证报告。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如检测结果和质控不符合国际最新指南标准和专家整改要求，需根据采购人和专家要求进行质控和检验结果的调整。</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6</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成交人有专人负责采购人业务及质量、技术、培训等工作。</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7</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成交人随时接受并妥善安排采购人查阅项目检测、质量控制等情况。</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8</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成交人有义务要保证检验过程中的质量控制。在检验过程中由成交人的原因造成的检验失败由成交人负全部责任。</w:t>
      </w:r>
    </w:p>
    <w:p>
      <w:pPr>
        <w:keepNext w:val="0"/>
        <w:keepLines w:val="0"/>
        <w:pageBreakBefore w:val="0"/>
        <w:widowControl/>
        <w:kinsoku/>
        <w:wordWrap/>
        <w:overflowPunct/>
        <w:topLinePunct w:val="0"/>
        <w:autoSpaceDE/>
        <w:autoSpaceDN/>
        <w:bidi w:val="0"/>
        <w:spacing w:line="360" w:lineRule="exact"/>
        <w:ind w:firstLine="480"/>
        <w:jc w:val="left"/>
        <w:textAlignment w:val="auto"/>
        <w:rPr>
          <w:rFonts w:hint="default" w:ascii="仿宋" w:hAnsi="仿宋" w:eastAsia="仿宋" w:cs="仿宋"/>
          <w:color w:val="000000"/>
          <w:kern w:val="0"/>
          <w:sz w:val="24"/>
          <w:highlight w:val="none"/>
          <w:lang w:val="en-US" w:eastAsia="zh-CN" w:bidi="ar"/>
        </w:rPr>
      </w:pPr>
      <w:r>
        <w:rPr>
          <w:rFonts w:hint="default" w:ascii="仿宋" w:hAnsi="仿宋" w:eastAsia="仿宋" w:cs="仿宋"/>
          <w:color w:val="000000"/>
          <w:kern w:val="0"/>
          <w:sz w:val="24"/>
          <w:highlight w:val="none"/>
          <w:lang w:bidi="ar"/>
        </w:rPr>
        <w:t>若采购人患者对</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人出具的检测结果存有异议，因患者有充足的证据（如</w:t>
      </w:r>
      <w:r>
        <w:rPr>
          <w:rFonts w:hint="eastAsia" w:ascii="仿宋" w:hAnsi="仿宋" w:eastAsia="仿宋" w:cs="仿宋"/>
          <w:color w:val="000000"/>
          <w:kern w:val="0"/>
          <w:sz w:val="24"/>
          <w:highlight w:val="none"/>
          <w:lang w:val="en-US" w:eastAsia="zh-CN" w:bidi="ar"/>
        </w:rPr>
        <w:t>XXXX</w:t>
      </w:r>
      <w:r>
        <w:rPr>
          <w:rFonts w:hint="default" w:ascii="仿宋" w:hAnsi="仿宋" w:eastAsia="仿宋" w:cs="仿宋"/>
          <w:color w:val="000000"/>
          <w:kern w:val="0"/>
          <w:sz w:val="24"/>
          <w:highlight w:val="none"/>
          <w:lang w:bidi="ar"/>
        </w:rPr>
        <w:t>等）证明</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人所提供的检测结果有误导致采购人赔偿的，经法定的医疗争议解决途径确认采购人损失后，</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人对采购人予以赔偿；或者</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人无法协助采购人证明所出具结果准确性如无法提供留存的标本委托法定的第三方检验、检测机构再次检验等，导致通过法定的医疗争议解决途径，采购人需要向检测患者或近亲属承担赔付责任的，</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人需要全数承担采购人的经济损失。</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9</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对样本运输的要求：</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（1）临床科室采集样本后，由委托检测机构派专人到采购人指定地点接收并保证相应样本的物流运输条件。</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（2）一般标本自接收后24小时内送达委托检测机构，特殊项目具体按双方协商时间为准。</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（3）样本运输要求直立、冷藏、封闭，符合《GBT28577-2012 冷链物流分类与基本要求》与生物安全要求，确保运输过程的样品质量和环境安全。</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（4）成交人接收后不合格样本率&lt;1/1000。</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10</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对于样本周转时间（TAT）的要求：</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（1）样本周转时间起点为委托检测单位接收样本，终点为我院</w:t>
      </w:r>
      <w:r>
        <w:rPr>
          <w:rFonts w:hint="eastAsia" w:ascii="仿宋" w:hAnsi="仿宋" w:eastAsia="仿宋" w:cs="仿宋"/>
          <w:b w:val="0"/>
          <w:bCs w:val="0"/>
          <w:color w:val="000000"/>
          <w:kern w:val="0"/>
          <w:sz w:val="24"/>
          <w:szCs w:val="24"/>
          <w:highlight w:val="none"/>
          <w:lang w:val="en-US" w:eastAsia="zh-CN" w:bidi="ar"/>
        </w:rPr>
        <w:t>细胞分子诊断中心</w:t>
      </w:r>
      <w:r>
        <w:rPr>
          <w:rFonts w:hint="default" w:ascii="仿宋" w:hAnsi="仿宋" w:eastAsia="仿宋" w:cs="仿宋"/>
          <w:b w:val="0"/>
          <w:bCs w:val="0"/>
          <w:color w:val="000000"/>
          <w:kern w:val="0"/>
          <w:sz w:val="24"/>
          <w:szCs w:val="24"/>
          <w:highlight w:val="none"/>
          <w:lang w:val="en-US" w:eastAsia="zh-CN" w:bidi="ar"/>
        </w:rPr>
        <w:t>收到检测报告。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（2）每个项目TAT时间详见 “中山大学孙逸仙纪念医院检验服务参数”之“一、对于被委托实验室的要求”之第5条。</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（3）报告延误率&lt;1/1000。</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（4）定期提供委托项目的样本周转时间（TAT）分析，对于用户提出的要求及时反馈并更正。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三</w:t>
      </w:r>
      <w:r>
        <w:rPr>
          <w:rFonts w:hint="eastAsia" w:ascii="仿宋" w:hAnsi="仿宋" w:eastAsia="仿宋" w:cs="仿宋"/>
          <w:b/>
          <w:color w:val="000000"/>
          <w:sz w:val="24"/>
          <w:szCs w:val="24"/>
          <w:highlight w:val="none"/>
          <w:lang w:eastAsia="zh-CN"/>
        </w:rPr>
        <w:t>）对于委托检验项目的要求</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1、</w:t>
      </w:r>
      <w:r>
        <w:rPr>
          <w:rFonts w:hint="default" w:ascii="仿宋" w:hAnsi="仿宋" w:eastAsia="仿宋" w:cs="仿宋"/>
          <w:b w:val="0"/>
          <w:bCs w:val="0"/>
          <w:color w:val="000000"/>
          <w:spacing w:val="0"/>
          <w:kern w:val="0"/>
          <w:sz w:val="24"/>
          <w:szCs w:val="24"/>
          <w:highlight w:val="yellow"/>
          <w:lang w:val="en-US" w:eastAsia="zh-CN" w:bidi="ar"/>
        </w:rPr>
        <w:t>合作期限内，当采购人能够在院内开展委托的检测项目时，本协议可提前终止，采购人不承担任何的违约责任</w:t>
      </w:r>
      <w:r>
        <w:rPr>
          <w:rFonts w:hint="eastAsia" w:ascii="仿宋" w:hAnsi="仿宋" w:eastAsia="仿宋" w:cs="仿宋"/>
          <w:b w:val="0"/>
          <w:bCs w:val="0"/>
          <w:color w:val="000000"/>
          <w:spacing w:val="0"/>
          <w:kern w:val="0"/>
          <w:sz w:val="24"/>
          <w:szCs w:val="24"/>
          <w:highlight w:val="yellow"/>
          <w:lang w:val="en-US" w:eastAsia="zh-CN" w:bidi="ar"/>
        </w:rPr>
        <w:t>。</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2、</w:t>
      </w:r>
      <w:r>
        <w:rPr>
          <w:rFonts w:hint="default" w:ascii="仿宋" w:hAnsi="仿宋" w:eastAsia="仿宋" w:cs="仿宋"/>
          <w:b w:val="0"/>
          <w:bCs w:val="0"/>
          <w:color w:val="000000"/>
          <w:spacing w:val="0"/>
          <w:kern w:val="0"/>
          <w:sz w:val="24"/>
          <w:szCs w:val="24"/>
          <w:highlight w:val="none"/>
          <w:lang w:val="en-US" w:eastAsia="zh-CN" w:bidi="ar"/>
        </w:rPr>
        <w:t>项目</w:t>
      </w:r>
      <w:r>
        <w:rPr>
          <w:rFonts w:hint="eastAsia" w:ascii="仿宋" w:hAnsi="仿宋" w:eastAsia="仿宋" w:cs="仿宋"/>
          <w:b w:val="0"/>
          <w:bCs w:val="0"/>
          <w:color w:val="000000"/>
          <w:spacing w:val="0"/>
          <w:kern w:val="0"/>
          <w:sz w:val="24"/>
          <w:szCs w:val="24"/>
          <w:highlight w:val="none"/>
          <w:lang w:val="en-US" w:eastAsia="zh-CN" w:bidi="ar"/>
        </w:rPr>
        <w:t>采购内容</w:t>
      </w:r>
      <w:r>
        <w:rPr>
          <w:rFonts w:hint="default" w:ascii="仿宋" w:hAnsi="仿宋" w:eastAsia="仿宋" w:cs="仿宋"/>
          <w:b w:val="0"/>
          <w:bCs w:val="0"/>
          <w:color w:val="000000"/>
          <w:spacing w:val="0"/>
          <w:kern w:val="0"/>
          <w:sz w:val="24"/>
          <w:szCs w:val="24"/>
          <w:highlight w:val="none"/>
          <w:lang w:val="en-US" w:eastAsia="zh-CN" w:bidi="ar"/>
        </w:rPr>
        <w:t>具体内容见附件：《中山大学孙逸仙纪念医院采购血液疾病521项基因检测》，被委托实验室按采购人要求进行检测，在标本结果出具时限内出具检验报告。响应人报价时须对全部采购内容进行响应报价，如有缺漏，将导致响应无效。</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附件：《中山大学孙逸仙纪念医院采购血液疾病521项基因检测》</w:t>
      </w:r>
    </w:p>
    <w:tbl>
      <w:tblPr>
        <w:tblStyle w:val="23"/>
        <w:tblW w:w="4999" w:type="pct"/>
        <w:tblInd w:w="0" w:type="dxa"/>
        <w:tblLayout w:type="autofit"/>
        <w:tblCellMar>
          <w:top w:w="0" w:type="dxa"/>
          <w:left w:w="108" w:type="dxa"/>
          <w:bottom w:w="0" w:type="dxa"/>
          <w:right w:w="108" w:type="dxa"/>
        </w:tblCellMar>
      </w:tblPr>
      <w:tblGrid>
        <w:gridCol w:w="1225"/>
        <w:gridCol w:w="8735"/>
      </w:tblGrid>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项目名称</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eastAsia="宋体"/>
                <w:color w:val="000000"/>
                <w:kern w:val="0"/>
                <w:sz w:val="20"/>
                <w:szCs w:val="20"/>
                <w:lang w:bidi="ar"/>
              </w:rPr>
            </w:pPr>
            <w:r>
              <w:rPr>
                <w:rFonts w:hint="default" w:ascii="仿宋" w:hAnsi="仿宋" w:eastAsia="仿宋" w:cs="仿宋"/>
                <w:b w:val="0"/>
                <w:bCs w:val="0"/>
                <w:color w:val="000000"/>
                <w:spacing w:val="0"/>
                <w:kern w:val="0"/>
                <w:sz w:val="24"/>
                <w:szCs w:val="24"/>
                <w:highlight w:val="none"/>
                <w:lang w:val="en-US" w:eastAsia="zh-CN" w:bidi="ar"/>
              </w:rPr>
              <w:t>血液疾病521项基因检测</w:t>
            </w:r>
          </w:p>
        </w:tc>
      </w:tr>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检测方法</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NGS</w:t>
            </w:r>
          </w:p>
        </w:tc>
      </w:tr>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检测内容</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为各类白血病（AML、ALL、CML、CLL等）、骨髓增生异常综合征（MDS）、骨髓增殖性肿瘤（MPN）及各类淋巴瘤患者提供相关521个基因的突变检测；检测突变类型包括SNV和INDEL；重要热点基因均全部外显子覆盖；非ctDNA样本平均有效测序深度在1000X以上，保证低至1%的低频突变稳定准确检出；ctDNA样本平均有效测序深度在1500X以上，保证低至0.5%的低频突变稳定准确检出；重要位点FLT3-ITD可实现多维度检测，包括定性定量，插入长度和插入个数；可区分位点来源是体系还是胚系</w:t>
            </w:r>
            <w:r>
              <w:rPr>
                <w:rFonts w:hint="eastAsia" w:ascii="仿宋" w:hAnsi="仿宋" w:eastAsia="仿宋" w:cs="仿宋"/>
                <w:b w:val="0"/>
                <w:bCs w:val="0"/>
                <w:color w:val="000000"/>
                <w:spacing w:val="0"/>
                <w:kern w:val="0"/>
                <w:sz w:val="24"/>
                <w:szCs w:val="24"/>
                <w:highlight w:val="none"/>
                <w:lang w:val="en-US" w:eastAsia="zh-CN" w:bidi="ar"/>
              </w:rPr>
              <w:t>。</w:t>
            </w:r>
          </w:p>
        </w:tc>
      </w:tr>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临床意义</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为疑似血液肿瘤但尚未明确疾病类型的患者提供详细的辅助诊断信息，如CHIP相关基因可以辅助诊断MDS，NPM1/FLT3等基因可以辅助诊断sAML,JAK2/CALR/MPL基因可以诊断MPN，MYD88/BRAF/TCF3/TNFRSF14等基因可以辅助诊断淋巴瘤相关亚型，RUNX1/DDX41/CEBPA等基因胚系检测可以诊断伴胚系易感性血液肿瘤；</w:t>
            </w:r>
          </w:p>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为血液肿瘤患者的精准预后评估提供准确、全面、专业的基因层面的信息，随着NGS在临床的不断应用，已经有越来越多的基因突变纳入血液肿瘤患者预后分层系统，如AML患者的NCCN/ELN预后系统，MDS患者的IPSS-R结合30多个基因突变的预后系统，MPN患者的MIPSS70-Plus预后积分模型，这些基因的检测是患者精准预后分层的重要指标，该产品独有的共突变解读模块是综合患者携带的多个突变基因综合提示患者的预后分层系统，实现更准确更全面的预后指导；</w:t>
            </w:r>
          </w:p>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指导临床全面准确的用药指导信息，制定个性化治疗方案；可以指导靶向药物，去甲基化药物，免疫调节抑制剂，通路抑制剂，蛋白抑制剂等血液肿瘤患者常用药物的使用，涉及TKI/恩西地平/ivosidenib/EZH2抑制剂/地西他滨/阿扎胞苷/来那度胺/维奈克拉/BTK抑制剂/JAK-STAT通路抑制剂等；</w:t>
            </w:r>
          </w:p>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微小残留MRD监控，初诊时期全面的基因筛查可以为患者提供更全面的可用于监控的分子指标，诱导治疗后进行监测可以指导下一步巩固治疗策略的选择，巩固治疗后进行MRD监控可以指导维持治疗的强度及评估患者临床治疗是否获益；移植前后的MRD监控可以指导患者移植前的预处理方案选择，移植后的维持治疗用药等；此外选择基于ctDNA的分子突变层面的监控可以实现比目前临床常规流式监控平台更早的提示患者疾病进展风险；</w:t>
            </w:r>
          </w:p>
          <w:p>
            <w:pPr>
              <w:keepNext w:val="0"/>
              <w:keepLines w:val="0"/>
              <w:widowControl/>
              <w:suppressLineNumbers w:val="0"/>
              <w:spacing w:before="0" w:beforeAutospacing="0" w:after="0" w:afterAutospacing="0"/>
              <w:ind w:left="0" w:right="0"/>
              <w:jc w:val="left"/>
              <w:textAlignment w:val="center"/>
              <w:rPr>
                <w:rFonts w:hint="eastAsia" w:eastAsia="等线"/>
                <w:color w:val="000000"/>
                <w:kern w:val="0"/>
                <w:sz w:val="20"/>
                <w:szCs w:val="20"/>
                <w:lang w:bidi="ar"/>
              </w:rPr>
            </w:pPr>
            <w:r>
              <w:rPr>
                <w:rFonts w:hint="default" w:ascii="仿宋" w:hAnsi="仿宋" w:eastAsia="仿宋" w:cs="仿宋"/>
                <w:b w:val="0"/>
                <w:bCs w:val="0"/>
                <w:color w:val="000000"/>
                <w:spacing w:val="0"/>
                <w:kern w:val="0"/>
                <w:sz w:val="24"/>
                <w:szCs w:val="24"/>
                <w:highlight w:val="none"/>
                <w:lang w:val="en-US" w:eastAsia="zh-CN" w:bidi="ar"/>
              </w:rPr>
              <w:t>5）选择更合适的移植供者，对于胚系易感性血液肿瘤患者，筛选不携带易感胚系位点的家属作为供者，降低移植后的复发率，保证移植获益。</w:t>
            </w:r>
          </w:p>
        </w:tc>
      </w:tr>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标本要求</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骨髓：EDTA抗凝管（紫头）采集2ml，遇干抽等情况可减量至0.5ml，上下颠倒3~4次充分混匀，并避免剧烈震荡</w:t>
            </w:r>
          </w:p>
        </w:tc>
      </w:tr>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报告时间</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7-9个工作日</w:t>
            </w:r>
          </w:p>
        </w:tc>
      </w:tr>
      <w:tr>
        <w:tblPrEx>
          <w:tblCellMar>
            <w:top w:w="0" w:type="dxa"/>
            <w:left w:w="108" w:type="dxa"/>
            <w:bottom w:w="0" w:type="dxa"/>
            <w:right w:w="108" w:type="dxa"/>
          </w:tblCellMar>
        </w:tblPrEx>
        <w:trPr>
          <w:trHeight w:val="294"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收费标准（元）</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9316元</w:t>
            </w:r>
          </w:p>
        </w:tc>
      </w:tr>
    </w:tbl>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注：运输时间≤24小时。合同期内，双方有义务根据政府有关部门物价调整的通知对收费做出相应的修正。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四</w:t>
      </w:r>
      <w:r>
        <w:rPr>
          <w:rFonts w:hint="eastAsia" w:ascii="仿宋" w:hAnsi="仿宋" w:eastAsia="仿宋" w:cs="仿宋"/>
          <w:b/>
          <w:color w:val="000000"/>
          <w:sz w:val="24"/>
          <w:szCs w:val="24"/>
          <w:highlight w:val="none"/>
          <w:lang w:eastAsia="zh-CN"/>
        </w:rPr>
        <w:t>）质量与服务考核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采购人对受委托方的质量与服务进行考核，考核周期为半年一次，考核日期由双方进行协商确定，考核内容、标准及考核结果处理如下：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质量要求：（50分）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（1）批内检测CV&lt;1/3 TEa(国家卫健委临检中心室间质评允许误差)，天间检测CV &lt;1/2 TEa。有不符合的，每项扣2分。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（2）同一检测项目在不同检测系统上检测，结果的相对偏差&lt;1/2 TEa。有不符合的，每项扣2分。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（3）达到参加国家卫健委室间质量评价95%以上项目PT成绩100分。有不符合的，每项扣2分。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（4）委托项目按日或检测批次进行室内质控，按季度提供室内质量控制报表。有不符合的，每项扣2分。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（5）每半年提供委托项目的能力验证活动报告，没有能力验证的检验项目提供与委托方认可的实验室结果一致性的证据。有不符合的，每项扣2分。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（6）按用户要求，随时提供质量和技术资料，如更换试剂批号、仪器维修后、检验系统更换后的质控记录和性能验证报告。有不符合的，每项扣2分。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（7）每年至少2次对用户就业务、质量、技术进行培训。有不符合的，每次扣2分。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（8）随时接受并妥善安排用户现场查阅项目检测、质量控制等。有不符合的，每项扣2分。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（9）每季度提供委托项目的样本周转时间（TAT）分析，对于用户提出的要求及时反馈并更正。有不符合的，每项扣2分。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服务评分：（50分）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（1）检验结果的报告时限（TAT）符合率＜90%，扣5分；＞98%，加2分。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（2）检验报告合格率＜100%，扣2分；＜98%，扣5分；＜95%，扣10分。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（3）服务对象满意率＜90%，扣3分；＞95%加2分。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（4）检验样本接收及时，物流运输保证。发现有样本运输时间≤4小时，加2分；＞8小时，扣3分；＞12小时，扣5分。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（5）样本运输做到直立、冷藏、封闭，保证样本运输安全，抽查有不符合的，每次扣3分。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（6）不合格样本率＞1/1000，扣2分；＞3/1000，扣5分。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（7）检验报告延误率大于1/1000，扣2分；＞3/1000，扣5分。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（1）总分100分，85分以上为优秀，70分以上为良好。由医务科负责组织相关科室对检测机构进行评价。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（2）评分60-70分：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第一次出现时采购人对成交人提出书面警告；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第二次出现要求成交人提交整改报告。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（3）连续两次评分﹤70分，采购人对成交人采取经济处罚措施，包括但不限于扣除委托服务费等形式，具体处罚措施视情况而定。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五</w:t>
      </w:r>
      <w:r>
        <w:rPr>
          <w:rFonts w:hint="eastAsia" w:ascii="仿宋" w:hAnsi="仿宋" w:eastAsia="仿宋" w:cs="仿宋"/>
          <w:b/>
          <w:color w:val="000000"/>
          <w:sz w:val="24"/>
          <w:szCs w:val="24"/>
          <w:highlight w:val="none"/>
          <w:lang w:eastAsia="zh-CN"/>
        </w:rPr>
        <w:t>）采购项目商务要求</w:t>
      </w:r>
    </w:p>
    <w:p>
      <w:pPr>
        <w:pStyle w:val="2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1、经验要求：响应人企业在经营范围内响应，且近年来资信良好，履约能力强，没有违法记录；</w:t>
      </w:r>
    </w:p>
    <w:p>
      <w:pPr>
        <w:pStyle w:val="2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★2、报价要求：响应人应按照广东省物价局《中央、军队、武警省属驻穗非营利性医疗机构医疗服务价格》，</w:t>
      </w:r>
      <w:r>
        <w:rPr>
          <w:rFonts w:hint="eastAsia" w:ascii="仿宋" w:hAnsi="仿宋" w:eastAsia="仿宋" w:cs="仿宋"/>
          <w:b w:val="0"/>
          <w:bCs w:val="0"/>
          <w:color w:val="000000"/>
          <w:spacing w:val="0"/>
          <w:kern w:val="0"/>
          <w:sz w:val="24"/>
          <w:szCs w:val="24"/>
          <w:highlight w:val="yellow"/>
          <w:lang w:val="en-US" w:eastAsia="zh-CN" w:bidi="ar"/>
        </w:rPr>
        <w:t>对本项目提供</w:t>
      </w:r>
      <w:r>
        <w:rPr>
          <w:rFonts w:hint="eastAsia" w:ascii="仿宋" w:hAnsi="仿宋" w:cs="仿宋"/>
          <w:b w:val="0"/>
          <w:bCs w:val="0"/>
          <w:color w:val="000000"/>
          <w:spacing w:val="0"/>
          <w:kern w:val="0"/>
          <w:sz w:val="24"/>
          <w:szCs w:val="24"/>
          <w:highlight w:val="yellow"/>
          <w:lang w:val="en-US" w:eastAsia="zh-CN" w:bidi="ar"/>
        </w:rPr>
        <w:t>唯一</w:t>
      </w:r>
      <w:r>
        <w:rPr>
          <w:rFonts w:hint="eastAsia" w:ascii="仿宋" w:hAnsi="仿宋" w:eastAsia="仿宋" w:cs="仿宋"/>
          <w:b w:val="0"/>
          <w:bCs w:val="0"/>
          <w:color w:val="000000"/>
          <w:spacing w:val="0"/>
          <w:kern w:val="0"/>
          <w:sz w:val="24"/>
          <w:szCs w:val="24"/>
          <w:highlight w:val="yellow"/>
          <w:lang w:val="en-US" w:eastAsia="zh-CN" w:bidi="ar"/>
        </w:rPr>
        <w:t>的</w:t>
      </w:r>
      <w:r>
        <w:rPr>
          <w:rFonts w:hint="eastAsia" w:ascii="仿宋" w:hAnsi="仿宋" w:cs="仿宋"/>
          <w:b w:val="0"/>
          <w:bCs w:val="0"/>
          <w:color w:val="000000"/>
          <w:spacing w:val="0"/>
          <w:kern w:val="0"/>
          <w:sz w:val="24"/>
          <w:szCs w:val="24"/>
          <w:highlight w:val="yellow"/>
          <w:lang w:val="en-US" w:eastAsia="zh-CN" w:bidi="ar"/>
        </w:rPr>
        <w:t>下浮率</w:t>
      </w:r>
      <w:r>
        <w:rPr>
          <w:rFonts w:hint="eastAsia" w:ascii="仿宋" w:hAnsi="仿宋" w:eastAsia="仿宋" w:cs="仿宋"/>
          <w:b w:val="0"/>
          <w:bCs w:val="0"/>
          <w:color w:val="000000"/>
          <w:spacing w:val="0"/>
          <w:kern w:val="0"/>
          <w:sz w:val="24"/>
          <w:szCs w:val="24"/>
          <w:highlight w:val="yellow"/>
          <w:lang w:val="en-US" w:eastAsia="zh-CN" w:bidi="ar"/>
        </w:rPr>
        <w:t>报价（下浮率须达到30%或以上），</w:t>
      </w:r>
      <w:r>
        <w:rPr>
          <w:rFonts w:hint="eastAsia" w:ascii="仿宋" w:hAnsi="仿宋" w:eastAsia="仿宋" w:cs="仿宋"/>
          <w:b w:val="0"/>
          <w:bCs w:val="0"/>
          <w:color w:val="000000"/>
          <w:spacing w:val="0"/>
          <w:kern w:val="0"/>
          <w:sz w:val="24"/>
          <w:szCs w:val="24"/>
          <w:highlight w:val="none"/>
          <w:lang w:val="en-US" w:eastAsia="zh-CN" w:bidi="ar"/>
        </w:rPr>
        <w:t>否则将导致响应无效，如果评</w:t>
      </w:r>
      <w:r>
        <w:rPr>
          <w:rFonts w:hint="eastAsia" w:ascii="仿宋" w:hAnsi="仿宋" w:cs="仿宋"/>
          <w:b w:val="0"/>
          <w:bCs w:val="0"/>
          <w:color w:val="000000"/>
          <w:spacing w:val="0"/>
          <w:kern w:val="0"/>
          <w:sz w:val="24"/>
          <w:szCs w:val="24"/>
          <w:highlight w:val="none"/>
          <w:lang w:val="en-US" w:eastAsia="zh-CN" w:bidi="ar"/>
        </w:rPr>
        <w:t>审</w:t>
      </w:r>
      <w:r>
        <w:rPr>
          <w:rFonts w:hint="eastAsia" w:ascii="仿宋" w:hAnsi="仿宋" w:eastAsia="仿宋" w:cs="仿宋"/>
          <w:b w:val="0"/>
          <w:bCs w:val="0"/>
          <w:color w:val="000000"/>
          <w:spacing w:val="0"/>
          <w:kern w:val="0"/>
          <w:sz w:val="24"/>
          <w:szCs w:val="24"/>
          <w:highlight w:val="none"/>
          <w:lang w:val="en-US" w:eastAsia="zh-CN" w:bidi="ar"/>
        </w:rPr>
        <w:t>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响应处理。</w:t>
      </w:r>
    </w:p>
    <w:p>
      <w:pPr>
        <w:pStyle w:val="2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3、完工期：响应人提供服务时间应满足本项目服务期限。</w:t>
      </w:r>
    </w:p>
    <w:p>
      <w:pPr>
        <w:pStyle w:val="2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4、付款方式：成交人对标本进行检测后，每季度凭检测的统计表并开具相应的发票到采购人核对送检数量，经采购人相关科室（包括医务科、主管医技科室、财务科）核实后再到财务科结算，采购人财务科按实际收取的检验费×</w:t>
      </w:r>
      <w:r>
        <w:rPr>
          <w:rFonts w:hint="eastAsia" w:ascii="仿宋" w:hAnsi="仿宋" w:cs="仿宋"/>
          <w:b w:val="0"/>
          <w:bCs w:val="0"/>
          <w:color w:val="000000"/>
          <w:spacing w:val="0"/>
          <w:kern w:val="0"/>
          <w:sz w:val="24"/>
          <w:szCs w:val="24"/>
          <w:highlight w:val="none"/>
          <w:lang w:val="en-US" w:eastAsia="zh-CN" w:bidi="ar"/>
        </w:rPr>
        <w:t>（1-</w:t>
      </w:r>
      <w:r>
        <w:rPr>
          <w:rFonts w:hint="eastAsia" w:ascii="仿宋" w:hAnsi="仿宋" w:eastAsia="仿宋" w:cs="仿宋"/>
          <w:b w:val="0"/>
          <w:bCs w:val="0"/>
          <w:color w:val="000000"/>
          <w:spacing w:val="0"/>
          <w:kern w:val="0"/>
          <w:sz w:val="24"/>
          <w:szCs w:val="24"/>
          <w:highlight w:val="none"/>
          <w:lang w:val="en-US" w:eastAsia="zh-CN" w:bidi="ar"/>
        </w:rPr>
        <w:t>成交下浮率</w:t>
      </w:r>
      <w:r>
        <w:rPr>
          <w:rFonts w:hint="eastAsia" w:ascii="仿宋" w:hAnsi="仿宋" w:cs="仿宋"/>
          <w:b w:val="0"/>
          <w:bCs w:val="0"/>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支付给成交人，可以银行转账或支票方式实现，以账款到达成交人账户时间为准。</w:t>
      </w:r>
    </w:p>
    <w:p>
      <w:pPr>
        <w:pStyle w:val="22"/>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同意采购人以任何形式对响应文件内容及采购人认为有必要的相关资料的真实性和有效性进行审查、验证。</w:t>
      </w:r>
    </w:p>
    <w:p>
      <w:pPr>
        <w:pStyle w:val="22"/>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cs="仿宋"/>
          <w:color w:val="000000"/>
          <w:kern w:val="0"/>
          <w:sz w:val="24"/>
          <w:highlight w:val="none"/>
          <w:lang w:bidi="ar"/>
        </w:rPr>
        <w:t>服务期：</w:t>
      </w:r>
      <w:r>
        <w:rPr>
          <w:rFonts w:hint="eastAsia" w:ascii="仿宋" w:hAnsi="仿宋" w:cs="仿宋"/>
          <w:color w:val="000000"/>
          <w:kern w:val="0"/>
          <w:sz w:val="24"/>
          <w:highlight w:val="none"/>
          <w:lang w:eastAsia="zh-CN" w:bidi="ar"/>
        </w:rPr>
        <w:t>自合同签订之日起</w:t>
      </w:r>
      <w:r>
        <w:rPr>
          <w:rFonts w:hint="eastAsia" w:ascii="仿宋" w:hAnsi="仿宋" w:cs="仿宋"/>
          <w:color w:val="000000"/>
          <w:kern w:val="0"/>
          <w:sz w:val="24"/>
          <w:highlight w:val="none"/>
          <w:lang w:val="en-US" w:eastAsia="zh-CN" w:bidi="ar"/>
        </w:rPr>
        <w:t>1</w:t>
      </w:r>
      <w:r>
        <w:rPr>
          <w:rFonts w:hint="eastAsia" w:ascii="仿宋" w:hAnsi="仿宋" w:cs="仿宋"/>
          <w:color w:val="000000"/>
          <w:kern w:val="0"/>
          <w:sz w:val="24"/>
          <w:highlight w:val="none"/>
          <w:lang w:bidi="ar"/>
        </w:rPr>
        <w:t>年</w:t>
      </w:r>
      <w:r>
        <w:rPr>
          <w:rFonts w:hint="eastAsia" w:ascii="仿宋" w:hAnsi="仿宋" w:cs="仿宋"/>
          <w:color w:val="000000"/>
          <w:kern w:val="0"/>
          <w:sz w:val="24"/>
          <w:highlight w:val="none"/>
          <w:lang w:eastAsia="zh-CN" w:bidi="ar"/>
        </w:rPr>
        <w:t>。</w:t>
      </w:r>
    </w:p>
    <w:p>
      <w:pPr>
        <w:pStyle w:val="22"/>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cs="仿宋"/>
          <w:color w:val="000000"/>
          <w:kern w:val="0"/>
          <w:sz w:val="24"/>
          <w:highlight w:val="none"/>
          <w:lang w:bidi="ar"/>
        </w:rPr>
        <w:t>验收标准：</w:t>
      </w:r>
      <w:r>
        <w:rPr>
          <w:rFonts w:hint="eastAsia" w:ascii="仿宋" w:hAnsi="仿宋" w:cs="仿宋"/>
          <w:color w:val="000000"/>
          <w:kern w:val="0"/>
          <w:sz w:val="24"/>
          <w:highlight w:val="none"/>
          <w:lang w:eastAsia="zh-CN" w:bidi="ar"/>
        </w:rPr>
        <w:t>成交</w:t>
      </w:r>
      <w:r>
        <w:rPr>
          <w:rFonts w:hint="eastAsia" w:ascii="仿宋" w:hAnsi="仿宋" w:cs="仿宋"/>
          <w:color w:val="000000"/>
          <w:kern w:val="0"/>
          <w:sz w:val="24"/>
          <w:highlight w:val="none"/>
          <w:lang w:bidi="ar"/>
        </w:rPr>
        <w:t>人完成检测服务后出具报告，供临床科室确认使用。</w:t>
      </w:r>
    </w:p>
    <w:p>
      <w:pPr>
        <w:pStyle w:val="22"/>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cs="仿宋"/>
          <w:color w:val="000000"/>
          <w:kern w:val="0"/>
          <w:sz w:val="24"/>
          <w:highlight w:val="none"/>
          <w:lang w:bidi="ar"/>
        </w:rPr>
      </w:pPr>
      <w:r>
        <w:rPr>
          <w:rFonts w:hint="eastAsia" w:ascii="仿宋" w:hAnsi="仿宋" w:cs="仿宋"/>
          <w:color w:val="000000"/>
          <w:kern w:val="0"/>
          <w:sz w:val="24"/>
          <w:highlight w:val="none"/>
          <w:lang w:eastAsia="zh-CN" w:bidi="ar"/>
        </w:rPr>
        <w:t>响应</w:t>
      </w:r>
      <w:r>
        <w:rPr>
          <w:rFonts w:hint="eastAsia" w:ascii="仿宋" w:hAnsi="仿宋" w:cs="仿宋"/>
          <w:color w:val="000000"/>
          <w:kern w:val="0"/>
          <w:sz w:val="24"/>
          <w:highlight w:val="none"/>
          <w:lang w:bidi="ar"/>
        </w:rPr>
        <w:t>人如需了解</w:t>
      </w:r>
      <w:r>
        <w:rPr>
          <w:rFonts w:hint="eastAsia" w:ascii="仿宋" w:hAnsi="仿宋" w:cs="仿宋"/>
          <w:color w:val="000000"/>
          <w:kern w:val="0"/>
          <w:sz w:val="24"/>
          <w:highlight w:val="none"/>
          <w:lang w:eastAsia="zh-CN" w:bidi="ar"/>
        </w:rPr>
        <w:t>本项目的相关信息</w:t>
      </w:r>
      <w:r>
        <w:rPr>
          <w:rFonts w:hint="eastAsia" w:ascii="仿宋" w:hAnsi="仿宋" w:cs="仿宋"/>
          <w:color w:val="000000"/>
          <w:kern w:val="0"/>
          <w:sz w:val="24"/>
          <w:highlight w:val="none"/>
          <w:lang w:bidi="ar"/>
        </w:rPr>
        <w:t>，可进行现场踏勘或电话咨询。集合时间: 2023-2-XX 09:30:00， 集合地点: 广州市越秀区沿江西路 107 号: 联系人: XX老师:联系电话: 020-81332451: 集合说明: 按照医院要求，请每家潜在</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可安排不超过1人出席，并须携带本人身份证原件及加盖投标单位公章的介绍信(证明函)。</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应充分重视和认真地考察现场，收集编制</w:t>
      </w:r>
      <w:r>
        <w:rPr>
          <w:rFonts w:hint="eastAsia" w:ascii="仿宋" w:hAnsi="仿宋" w:cs="仿宋"/>
          <w:color w:val="000000"/>
          <w:kern w:val="0"/>
          <w:sz w:val="24"/>
          <w:highlight w:val="none"/>
          <w:lang w:val="en-US" w:eastAsia="zh-CN" w:bidi="ar"/>
        </w:rPr>
        <w:t>比选</w:t>
      </w:r>
      <w:r>
        <w:rPr>
          <w:rFonts w:hint="eastAsia" w:ascii="仿宋" w:hAnsi="仿宋" w:cs="仿宋"/>
          <w:color w:val="000000"/>
          <w:kern w:val="0"/>
          <w:sz w:val="24"/>
          <w:highlight w:val="none"/>
          <w:lang w:bidi="ar"/>
        </w:rPr>
        <w:t>文件和签订合同所需的有关信息，并对考察中获取的现场资料负责。不管</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是否考察过现场，均被认为在递交</w:t>
      </w:r>
      <w:r>
        <w:rPr>
          <w:rFonts w:hint="eastAsia" w:ascii="仿宋" w:hAnsi="仿宋" w:cs="仿宋"/>
          <w:color w:val="000000"/>
          <w:kern w:val="0"/>
          <w:sz w:val="24"/>
          <w:highlight w:val="none"/>
          <w:lang w:val="en-US" w:eastAsia="zh-CN" w:bidi="ar"/>
        </w:rPr>
        <w:t>响应</w:t>
      </w:r>
      <w:r>
        <w:rPr>
          <w:rFonts w:hint="eastAsia" w:ascii="仿宋" w:hAnsi="仿宋" w:cs="仿宋"/>
          <w:color w:val="000000"/>
          <w:kern w:val="0"/>
          <w:sz w:val="24"/>
          <w:highlight w:val="none"/>
          <w:lang w:bidi="ar"/>
        </w:rPr>
        <w:t>文件前已经了解现场情况。</w:t>
      </w:r>
    </w:p>
    <w:p>
      <w:pPr>
        <w:pStyle w:val="22"/>
        <w:keepNext w:val="0"/>
        <w:keepLines w:val="0"/>
        <w:pageBreakBefore w:val="0"/>
        <w:widowControl w:val="0"/>
        <w:numPr>
          <w:ilvl w:val="-1"/>
          <w:numId w:val="0"/>
        </w:numPr>
        <w:kinsoku/>
        <w:wordWrap/>
        <w:overflowPunct/>
        <w:topLinePunct w:val="0"/>
        <w:autoSpaceDE/>
        <w:autoSpaceDN/>
        <w:bidi w:val="0"/>
        <w:adjustRightInd/>
        <w:snapToGrid/>
        <w:spacing w:after="0" w:line="360" w:lineRule="exact"/>
        <w:ind w:left="840" w:leftChars="400" w:firstLine="0" w:firstLineChars="0"/>
        <w:textAlignment w:val="auto"/>
        <w:rPr>
          <w:rFonts w:hint="eastAsia" w:ascii="仿宋" w:hAnsi="仿宋" w:cs="仿宋"/>
          <w:color w:val="000000"/>
          <w:kern w:val="0"/>
          <w:sz w:val="24"/>
          <w:highlight w:val="none"/>
          <w:lang w:bidi="ar"/>
        </w:rPr>
      </w:pPr>
      <w:r>
        <w:rPr>
          <w:rFonts w:hint="eastAsia" w:ascii="仿宋" w:hAnsi="仿宋" w:cs="仿宋"/>
          <w:color w:val="000000"/>
          <w:kern w:val="0"/>
          <w:sz w:val="24"/>
          <w:highlight w:val="none"/>
          <w:lang w:bidi="ar"/>
        </w:rPr>
        <w:t>出席踏勘的</w:t>
      </w:r>
      <w:r>
        <w:rPr>
          <w:rFonts w:hint="eastAsia" w:ascii="仿宋" w:hAnsi="仿宋" w:cs="仿宋"/>
          <w:color w:val="000000"/>
          <w:kern w:val="0"/>
          <w:sz w:val="24"/>
          <w:highlight w:val="none"/>
          <w:lang w:val="en-US" w:eastAsia="zh-CN" w:bidi="ar"/>
        </w:rPr>
        <w:t>响应</w:t>
      </w:r>
      <w:r>
        <w:rPr>
          <w:rFonts w:hint="eastAsia" w:ascii="仿宋" w:hAnsi="仿宋" w:cs="仿宋"/>
          <w:color w:val="000000"/>
          <w:kern w:val="0"/>
          <w:sz w:val="24"/>
          <w:highlight w:val="none"/>
          <w:lang w:bidi="ar"/>
        </w:rPr>
        <w:t>人应承担踏勘现场自身所发生的费用。</w:t>
      </w:r>
    </w:p>
    <w:p>
      <w:pPr>
        <w:pStyle w:val="22"/>
        <w:keepNext w:val="0"/>
        <w:keepLines w:val="0"/>
        <w:pageBreakBefore w:val="0"/>
        <w:widowControl w:val="0"/>
        <w:numPr>
          <w:ilvl w:val="-1"/>
          <w:numId w:val="0"/>
        </w:numPr>
        <w:kinsoku/>
        <w:wordWrap/>
        <w:overflowPunct/>
        <w:topLinePunct w:val="0"/>
        <w:autoSpaceDE/>
        <w:autoSpaceDN/>
        <w:bidi w:val="0"/>
        <w:adjustRightInd/>
        <w:snapToGrid/>
        <w:spacing w:after="0" w:line="360" w:lineRule="exact"/>
        <w:ind w:left="420" w:leftChars="200" w:firstLine="480" w:firstLineChars="200"/>
        <w:textAlignment w:val="auto"/>
        <w:rPr>
          <w:rFonts w:hint="eastAsia" w:ascii="仿宋" w:hAnsi="仿宋" w:cs="仿宋"/>
          <w:color w:val="000000"/>
          <w:kern w:val="0"/>
          <w:sz w:val="24"/>
          <w:highlight w:val="yellow"/>
          <w:lang w:val="en-US" w:eastAsia="zh-CN" w:bidi="ar"/>
        </w:rPr>
      </w:pPr>
      <w:r>
        <w:rPr>
          <w:rFonts w:hint="eastAsia" w:ascii="仿宋" w:hAnsi="仿宋" w:cs="仿宋"/>
          <w:color w:val="000000"/>
          <w:kern w:val="0"/>
          <w:sz w:val="24"/>
          <w:highlight w:val="yellow"/>
          <w:lang w:val="en-US" w:eastAsia="zh-CN" w:bidi="ar"/>
        </w:rPr>
        <w:t>9、合同终止时间为：支付达到项目估算金额（人民币720,000.00）的100%或采购人提前1个月通知成交供应商或合同到期自动终止。</w:t>
      </w:r>
    </w:p>
    <w:p>
      <w:pPr>
        <w:pStyle w:val="29"/>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highlight w:val="none"/>
        </w:rPr>
      </w:pPr>
      <w:r>
        <w:rPr>
          <w:rFonts w:hint="eastAsia"/>
          <w:highlight w:val="none"/>
        </w:rPr>
        <w:t xml:space="preserve">   </w:t>
      </w: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1.报名结束后采购人择期组织采购比选会议。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w:t>
            </w:r>
            <w:r>
              <w:rPr>
                <w:rFonts w:hint="eastAsia" w:ascii="仿宋" w:hAnsi="仿宋" w:eastAsia="仿宋" w:cs="仿宋"/>
                <w:color w:val="000000"/>
                <w:sz w:val="20"/>
                <w:szCs w:val="20"/>
                <w:highlight w:val="none"/>
                <w:lang w:val="zh-CN"/>
              </w:rPr>
              <w:t>不得分包、转包（</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提供《医疗机构执业许可证》复印件并加盖公章，原件备查。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提供</w:t>
            </w:r>
            <w:r>
              <w:rPr>
                <w:rFonts w:hint="eastAsia" w:ascii="仿宋" w:hAnsi="仿宋" w:eastAsia="仿宋" w:cs="仿宋"/>
                <w:color w:val="000000"/>
                <w:sz w:val="20"/>
                <w:szCs w:val="20"/>
                <w:highlight w:val="none"/>
                <w:lang w:val="zh-CN"/>
              </w:rPr>
              <w:t>《临床基因扩增检验实验室验收合格证书》复印件并加盖公章，原件备查。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10</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提供标的中项目自报名截止之日起半年内的检验报告1份，并加盖响应人公章。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11</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①响应下浮率</w:t>
            </w:r>
            <w:r>
              <w:rPr>
                <w:rFonts w:hint="eastAsia" w:ascii="仿宋" w:hAnsi="仿宋" w:eastAsia="仿宋" w:cs="仿宋"/>
                <w:sz w:val="20"/>
                <w:szCs w:val="20"/>
                <w:highlight w:val="none"/>
                <w:lang w:val="en-US" w:eastAsia="zh-CN"/>
              </w:rPr>
              <w:t>应大于或等于</w:t>
            </w:r>
            <w:r>
              <w:rPr>
                <w:rFonts w:hint="eastAsia" w:ascii="仿宋" w:hAnsi="仿宋" w:eastAsia="仿宋" w:cs="仿宋"/>
                <w:sz w:val="20"/>
                <w:szCs w:val="20"/>
                <w:highlight w:val="none"/>
              </w:rPr>
              <w:t>本项目限定下浮率最低值</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③</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实际收取的</w:t>
            </w:r>
            <w:r>
              <w:rPr>
                <w:rFonts w:hint="eastAsia" w:ascii="仿宋" w:hAnsi="仿宋" w:eastAsia="仿宋" w:cs="仿宋"/>
                <w:sz w:val="20"/>
                <w:szCs w:val="20"/>
                <w:highlight w:val="none"/>
                <w:lang w:val="en-US" w:eastAsia="zh-CN"/>
              </w:rPr>
              <w:t>费用【</w:t>
            </w:r>
            <w:r>
              <w:rPr>
                <w:rFonts w:hint="eastAsia" w:ascii="仿宋" w:hAnsi="仿宋" w:eastAsia="仿宋" w:cs="仿宋"/>
                <w:sz w:val="20"/>
                <w:szCs w:val="20"/>
                <w:highlight w:val="none"/>
              </w:rPr>
              <w:t>检验费×（1-</w:t>
            </w:r>
            <w:r>
              <w:rPr>
                <w:rFonts w:hint="eastAsia" w:ascii="仿宋" w:hAnsi="仿宋" w:eastAsia="仿宋" w:cs="仿宋"/>
                <w:sz w:val="20"/>
                <w:szCs w:val="20"/>
                <w:highlight w:val="none"/>
                <w:lang w:eastAsia="zh-CN"/>
              </w:rPr>
              <w:t>成交</w:t>
            </w:r>
            <w:r>
              <w:rPr>
                <w:rFonts w:hint="eastAsia" w:ascii="仿宋" w:hAnsi="仿宋" w:eastAsia="仿宋" w:cs="仿宋"/>
                <w:sz w:val="20"/>
                <w:szCs w:val="20"/>
                <w:highlight w:val="none"/>
              </w:rPr>
              <w:t>下浮率）</w:t>
            </w:r>
            <w:r>
              <w:rPr>
                <w:rFonts w:hint="eastAsia" w:ascii="仿宋" w:hAnsi="仿宋" w:eastAsia="仿宋" w:cs="仿宋"/>
                <w:sz w:val="20"/>
                <w:szCs w:val="20"/>
                <w:highlight w:val="none"/>
                <w:lang w:val="en-US" w:eastAsia="zh-CN"/>
              </w:rPr>
              <w:t>】</w:t>
            </w:r>
            <w:r>
              <w:rPr>
                <w:rFonts w:hint="eastAsia" w:ascii="仿宋" w:hAnsi="仿宋" w:eastAsia="仿宋" w:cs="仿宋"/>
                <w:sz w:val="20"/>
                <w:szCs w:val="20"/>
                <w:highlight w:val="none"/>
              </w:rPr>
              <w:t>不低于成本价,且是唯一确定的</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响应</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不存在明显低于其他通过符合性审查响应人</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的，或</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虽明显低于其他通过符合性审查响应人</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评分（45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100分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25分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商务评审表（30分）</w:t>
      </w:r>
    </w:p>
    <w:tbl>
      <w:tblPr>
        <w:tblStyle w:val="24"/>
        <w:tblpPr w:leftFromText="180" w:rightFromText="180" w:vertAnchor="text" w:horzAnchor="page" w:tblpX="1602"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829"/>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评审内容</w:t>
            </w:r>
          </w:p>
        </w:tc>
        <w:tc>
          <w:tcPr>
            <w:tcW w:w="82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分值</w:t>
            </w:r>
          </w:p>
        </w:tc>
        <w:tc>
          <w:tcPr>
            <w:tcW w:w="7011"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同类</w:t>
            </w:r>
            <w:r>
              <w:rPr>
                <w:rFonts w:hint="eastAsia" w:ascii="仿宋" w:hAnsi="仿宋" w:eastAsia="仿宋" w:cs="仿宋"/>
                <w:sz w:val="20"/>
                <w:szCs w:val="20"/>
                <w:highlight w:val="none"/>
                <w:lang w:val="en-US" w:eastAsia="zh-CN"/>
              </w:rPr>
              <w:t>业绩</w:t>
            </w: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z w:val="20"/>
                <w:szCs w:val="20"/>
                <w:highlight w:val="none"/>
                <w:lang w:val="en-US" w:eastAsia="zh-CN"/>
              </w:rPr>
              <w:t>10</w:t>
            </w:r>
          </w:p>
        </w:tc>
        <w:tc>
          <w:tcPr>
            <w:tcW w:w="70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0"/>
                <w:szCs w:val="20"/>
                <w:highlight w:val="none"/>
              </w:rPr>
            </w:pPr>
            <w:r>
              <w:rPr>
                <w:rFonts w:hint="eastAsia" w:ascii="仿宋" w:hAnsi="仿宋" w:eastAsia="仿宋" w:cs="仿宋"/>
                <w:b w:val="0"/>
                <w:bCs w:val="0"/>
                <w:sz w:val="20"/>
                <w:szCs w:val="20"/>
                <w:highlight w:val="none"/>
              </w:rPr>
              <w:t>根据</w:t>
            </w:r>
            <w:r>
              <w:rPr>
                <w:rFonts w:hint="eastAsia" w:ascii="仿宋" w:hAnsi="仿宋" w:eastAsia="仿宋" w:cs="仿宋"/>
                <w:b w:val="0"/>
                <w:bCs w:val="0"/>
                <w:sz w:val="20"/>
                <w:szCs w:val="20"/>
                <w:highlight w:val="none"/>
                <w:lang w:val="en-US" w:eastAsia="zh-CN"/>
              </w:rPr>
              <w:t>各响应人</w:t>
            </w:r>
            <w:r>
              <w:rPr>
                <w:rFonts w:hint="eastAsia" w:ascii="仿宋" w:hAnsi="仿宋" w:eastAsia="仿宋" w:cs="仿宋"/>
                <w:b w:val="0"/>
                <w:bCs w:val="0"/>
                <w:sz w:val="20"/>
                <w:szCs w:val="20"/>
                <w:highlight w:val="none"/>
              </w:rPr>
              <w:t>自2020年1月1日（以合同签订时间为准）以来，具有同</w:t>
            </w:r>
            <w:r>
              <w:rPr>
                <w:rFonts w:hint="eastAsia" w:ascii="仿宋" w:hAnsi="仿宋" w:eastAsia="仿宋" w:cs="仿宋"/>
                <w:b w:val="0"/>
                <w:bCs w:val="0"/>
                <w:sz w:val="20"/>
                <w:szCs w:val="20"/>
                <w:highlight w:val="none"/>
                <w:lang w:eastAsia="zh-CN"/>
              </w:rPr>
              <w:t>类</w:t>
            </w:r>
            <w:r>
              <w:rPr>
                <w:rFonts w:hint="eastAsia" w:ascii="仿宋" w:hAnsi="仿宋" w:eastAsia="仿宋" w:cs="仿宋"/>
                <w:b w:val="0"/>
                <w:bCs w:val="0"/>
                <w:sz w:val="20"/>
                <w:szCs w:val="20"/>
                <w:highlight w:val="none"/>
              </w:rPr>
              <w:t>检验项目委托服务项目业绩进行评分，每提供一个得</w:t>
            </w:r>
            <w:r>
              <w:rPr>
                <w:rFonts w:hint="eastAsia" w:ascii="仿宋" w:hAnsi="仿宋" w:eastAsia="仿宋" w:cs="仿宋"/>
                <w:b w:val="0"/>
                <w:bCs w:val="0"/>
                <w:sz w:val="20"/>
                <w:szCs w:val="20"/>
                <w:highlight w:val="none"/>
                <w:lang w:val="en-US" w:eastAsia="zh-CN"/>
              </w:rPr>
              <w:t>5</w:t>
            </w:r>
            <w:r>
              <w:rPr>
                <w:rFonts w:hint="eastAsia" w:ascii="仿宋" w:hAnsi="仿宋" w:eastAsia="仿宋" w:cs="仿宋"/>
                <w:b w:val="0"/>
                <w:bCs w:val="0"/>
                <w:sz w:val="20"/>
                <w:szCs w:val="20"/>
                <w:highlight w:val="none"/>
              </w:rPr>
              <w:t>分，最高得</w:t>
            </w:r>
            <w:r>
              <w:rPr>
                <w:rFonts w:hint="eastAsia" w:ascii="仿宋" w:hAnsi="仿宋" w:eastAsia="仿宋" w:cs="仿宋"/>
                <w:b w:val="0"/>
                <w:bCs w:val="0"/>
                <w:sz w:val="20"/>
                <w:szCs w:val="20"/>
                <w:highlight w:val="none"/>
                <w:lang w:val="en-US" w:eastAsia="zh-CN"/>
              </w:rPr>
              <w:t>10</w:t>
            </w:r>
            <w:r>
              <w:rPr>
                <w:rFonts w:hint="eastAsia" w:ascii="仿宋" w:hAnsi="仿宋" w:eastAsia="仿宋" w:cs="仿宋"/>
                <w:b w:val="0"/>
                <w:bCs w:val="0"/>
                <w:sz w:val="20"/>
                <w:szCs w:val="20"/>
                <w:highlight w:val="none"/>
              </w:rPr>
              <w:t>分</w:t>
            </w:r>
            <w:r>
              <w:rPr>
                <w:rFonts w:hint="eastAsia" w:ascii="仿宋" w:hAnsi="仿宋" w:eastAsia="仿宋" w:cs="仿宋"/>
                <w:b w:val="0"/>
                <w:bCs w:val="0"/>
                <w:sz w:val="20"/>
                <w:szCs w:val="20"/>
                <w:highlight w:val="none"/>
                <w:lang w:eastAsia="zh-CN"/>
              </w:rPr>
              <w:t>，</w:t>
            </w:r>
            <w:r>
              <w:rPr>
                <w:rFonts w:hint="eastAsia" w:ascii="仿宋" w:hAnsi="仿宋" w:eastAsia="仿宋" w:cs="仿宋"/>
                <w:sz w:val="20"/>
                <w:szCs w:val="20"/>
                <w:highlight w:val="none"/>
              </w:rPr>
              <w:t>不提供得0分。</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注：</w:t>
            </w:r>
            <w:r>
              <w:rPr>
                <w:rFonts w:hint="eastAsia" w:ascii="仿宋" w:hAnsi="仿宋" w:eastAsia="仿宋" w:cs="仿宋"/>
                <w:b w:val="0"/>
                <w:bCs w:val="0"/>
                <w:sz w:val="20"/>
                <w:szCs w:val="20"/>
                <w:highlight w:val="none"/>
                <w:lang w:val="en-US" w:eastAsia="zh-CN"/>
              </w:rPr>
              <w:t>响应人</w:t>
            </w:r>
            <w:r>
              <w:rPr>
                <w:rFonts w:hint="eastAsia" w:ascii="仿宋" w:hAnsi="仿宋" w:eastAsia="仿宋" w:cs="仿宋"/>
                <w:b w:val="0"/>
                <w:bCs w:val="0"/>
                <w:sz w:val="20"/>
                <w:szCs w:val="20"/>
                <w:highlight w:val="none"/>
              </w:rPr>
              <w:t>需提供合同关键页（含签订合同双方的单位名称、合同项目名称</w:t>
            </w:r>
            <w:r>
              <w:rPr>
                <w:rFonts w:hint="eastAsia" w:ascii="仿宋" w:hAnsi="仿宋" w:eastAsia="仿宋" w:cs="仿宋"/>
                <w:b w:val="0"/>
                <w:bCs w:val="0"/>
                <w:sz w:val="20"/>
                <w:szCs w:val="20"/>
                <w:highlight w:val="none"/>
                <w:lang w:val="en-US" w:eastAsia="zh-CN"/>
              </w:rPr>
              <w:t>和数量</w:t>
            </w:r>
            <w:r>
              <w:rPr>
                <w:rFonts w:hint="eastAsia" w:ascii="仿宋" w:hAnsi="仿宋" w:eastAsia="仿宋" w:cs="仿宋"/>
                <w:b w:val="0"/>
                <w:bCs w:val="0"/>
                <w:sz w:val="20"/>
                <w:szCs w:val="20"/>
                <w:highlight w:val="none"/>
              </w:rPr>
              <w:t>、签订合同双方的落款盖章的关键页）复印件，并加盖公章，不提供不得分。</w:t>
            </w:r>
            <w:r>
              <w:rPr>
                <w:rFonts w:hint="eastAsia" w:ascii="仿宋" w:hAnsi="仿宋" w:eastAsia="仿宋" w:cs="仿宋"/>
                <w:b w:val="0"/>
                <w:bCs w:val="0"/>
                <w:sz w:val="20"/>
                <w:szCs w:val="20"/>
                <w:highlight w:val="none"/>
                <w:lang w:val="en-US" w:eastAsia="zh-CN"/>
              </w:rPr>
              <w:t>同一客户单位不重复计分。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履约评价</w:t>
            </w:r>
          </w:p>
        </w:tc>
        <w:tc>
          <w:tcPr>
            <w:tcW w:w="82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rPr>
              <w:t>对各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人自20</w:t>
            </w:r>
            <w:r>
              <w:rPr>
                <w:rFonts w:hint="eastAsia" w:ascii="仿宋" w:hAnsi="仿宋" w:eastAsia="仿宋" w:cs="仿宋"/>
                <w:b w:val="0"/>
                <w:bCs w:val="0"/>
                <w:sz w:val="20"/>
                <w:szCs w:val="20"/>
                <w:highlight w:val="none"/>
                <w:lang w:val="en-US" w:eastAsia="zh-CN"/>
              </w:rPr>
              <w:t>20</w:t>
            </w:r>
            <w:r>
              <w:rPr>
                <w:rFonts w:hint="eastAsia" w:ascii="仿宋" w:hAnsi="仿宋" w:eastAsia="仿宋" w:cs="仿宋"/>
                <w:b w:val="0"/>
                <w:bCs w:val="0"/>
                <w:sz w:val="20"/>
                <w:szCs w:val="20"/>
                <w:highlight w:val="none"/>
              </w:rPr>
              <w:t>年以来</w:t>
            </w:r>
            <w:r>
              <w:rPr>
                <w:rFonts w:hint="eastAsia" w:ascii="仿宋" w:hAnsi="仿宋" w:eastAsia="仿宋" w:cs="仿宋"/>
                <w:b w:val="0"/>
                <w:bCs w:val="0"/>
                <w:sz w:val="20"/>
                <w:szCs w:val="20"/>
                <w:highlight w:val="none"/>
                <w:lang w:val="en-US" w:eastAsia="zh-CN"/>
              </w:rPr>
              <w:t>前</w:t>
            </w:r>
            <w:r>
              <w:rPr>
                <w:rFonts w:hint="eastAsia" w:ascii="仿宋" w:hAnsi="仿宋" w:eastAsia="仿宋" w:cs="仿宋"/>
                <w:b w:val="0"/>
                <w:bCs w:val="0"/>
                <w:sz w:val="20"/>
                <w:szCs w:val="20"/>
                <w:highlight w:val="none"/>
              </w:rPr>
              <w:t>述同类项目检验委托服务的客户满意情况进行综合评议</w:t>
            </w:r>
            <w:r>
              <w:rPr>
                <w:rFonts w:hint="eastAsia" w:ascii="仿宋" w:hAnsi="仿宋" w:eastAsia="仿宋" w:cs="仿宋"/>
                <w:b w:val="0"/>
                <w:bCs w:val="0"/>
                <w:sz w:val="20"/>
                <w:szCs w:val="20"/>
                <w:highlight w:val="none"/>
                <w:lang w:eastAsia="zh-CN"/>
              </w:rPr>
              <w:t>：</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（1）</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人提供 2 份及以上满意度调查结果且调查结果均为“满意”或同等级别者得</w:t>
            </w:r>
            <w:r>
              <w:rPr>
                <w:rFonts w:hint="eastAsia" w:ascii="仿宋" w:hAnsi="仿宋" w:eastAsia="仿宋" w:cs="仿宋"/>
                <w:b w:val="0"/>
                <w:bCs w:val="0"/>
                <w:sz w:val="20"/>
                <w:szCs w:val="20"/>
                <w:highlight w:val="none"/>
                <w:lang w:eastAsia="zh-CN"/>
              </w:rPr>
              <w:t>5</w:t>
            </w:r>
            <w:r>
              <w:rPr>
                <w:rFonts w:hint="eastAsia" w:ascii="仿宋" w:hAnsi="仿宋" w:eastAsia="仿宋" w:cs="仿宋"/>
                <w:b w:val="0"/>
                <w:bCs w:val="0"/>
                <w:sz w:val="20"/>
                <w:szCs w:val="20"/>
                <w:highlight w:val="none"/>
              </w:rPr>
              <w:t>分，</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（2）</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人仅提供 1 份满意度调查结果或同等级别者得</w:t>
            </w: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分，</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人无法提供满意度调查结果或存在“不满意”或同等级别者得0分。注：</w:t>
            </w:r>
            <w:r>
              <w:rPr>
                <w:rFonts w:hint="eastAsia" w:ascii="仿宋" w:hAnsi="仿宋" w:eastAsia="仿宋" w:cs="仿宋"/>
                <w:b w:val="0"/>
                <w:bCs w:val="0"/>
                <w:sz w:val="20"/>
                <w:szCs w:val="20"/>
                <w:highlight w:val="none"/>
                <w:lang w:val="en-US" w:eastAsia="zh-CN"/>
              </w:rPr>
              <w:t>响应人</w:t>
            </w:r>
            <w:r>
              <w:rPr>
                <w:rFonts w:hint="eastAsia" w:ascii="仿宋" w:hAnsi="仿宋" w:eastAsia="仿宋" w:cs="仿宋"/>
                <w:b w:val="0"/>
                <w:bCs w:val="0"/>
                <w:sz w:val="20"/>
                <w:szCs w:val="20"/>
                <w:highlight w:val="none"/>
              </w:rPr>
              <w:t>需提供</w:t>
            </w:r>
            <w:r>
              <w:rPr>
                <w:rFonts w:hint="eastAsia" w:ascii="仿宋" w:hAnsi="仿宋" w:eastAsia="仿宋" w:cs="仿宋"/>
                <w:b w:val="0"/>
                <w:bCs w:val="0"/>
                <w:sz w:val="20"/>
                <w:szCs w:val="20"/>
                <w:highlight w:val="none"/>
                <w:lang w:val="en-US" w:eastAsia="zh-CN"/>
              </w:rPr>
              <w:t>上述业绩</w:t>
            </w:r>
            <w:r>
              <w:rPr>
                <w:rFonts w:hint="eastAsia" w:ascii="仿宋" w:hAnsi="仿宋" w:eastAsia="仿宋" w:cs="仿宋"/>
                <w:b w:val="0"/>
                <w:bCs w:val="0"/>
                <w:sz w:val="20"/>
                <w:szCs w:val="20"/>
                <w:highlight w:val="none"/>
              </w:rPr>
              <w:t>的客户出具的满意度情况表加盖公章。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z w:val="20"/>
                <w:szCs w:val="20"/>
                <w:highlight w:val="none"/>
                <w:lang w:eastAsia="zh-CN"/>
              </w:rPr>
              <w:t>人员</w:t>
            </w:r>
            <w:r>
              <w:rPr>
                <w:rFonts w:hint="eastAsia" w:ascii="仿宋" w:hAnsi="仿宋" w:eastAsia="仿宋" w:cs="仿宋"/>
                <w:sz w:val="20"/>
                <w:szCs w:val="20"/>
                <w:highlight w:val="none"/>
                <w:lang w:val="en-US" w:eastAsia="zh-CN"/>
              </w:rPr>
              <w:t>配置</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pStyle w:val="2"/>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rPr>
              <w:t>对各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人提供的诊断技术人员资历说明进行</w:t>
            </w:r>
            <w:r>
              <w:rPr>
                <w:rFonts w:hint="eastAsia" w:ascii="仿宋" w:hAnsi="仿宋" w:eastAsia="仿宋" w:cs="仿宋"/>
                <w:b w:val="0"/>
                <w:bCs w:val="0"/>
                <w:sz w:val="20"/>
                <w:szCs w:val="20"/>
                <w:highlight w:val="none"/>
                <w:lang w:eastAsia="zh-CN"/>
              </w:rPr>
              <w:t>评分：</w:t>
            </w:r>
          </w:p>
          <w:p>
            <w:pPr>
              <w:pStyle w:val="2"/>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（1）</w:t>
            </w:r>
            <w:r>
              <w:rPr>
                <w:rFonts w:hint="eastAsia" w:ascii="仿宋" w:hAnsi="仿宋" w:eastAsia="仿宋" w:cs="仿宋"/>
                <w:b w:val="0"/>
                <w:bCs w:val="0"/>
                <w:sz w:val="20"/>
                <w:szCs w:val="20"/>
                <w:highlight w:val="none"/>
              </w:rPr>
              <w:t>相关技术人员职称最高，工作经验最丰富的得5分，</w:t>
            </w:r>
          </w:p>
          <w:p>
            <w:pPr>
              <w:pStyle w:val="2"/>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（2）</w:t>
            </w:r>
            <w:r>
              <w:rPr>
                <w:rFonts w:hint="eastAsia" w:ascii="仿宋" w:hAnsi="仿宋" w:eastAsia="仿宋" w:cs="仿宋"/>
                <w:b w:val="0"/>
                <w:bCs w:val="0"/>
                <w:sz w:val="20"/>
                <w:szCs w:val="20"/>
                <w:highlight w:val="none"/>
              </w:rPr>
              <w:t>相关技术人员职称及工作经验对比存在差距的得3分，</w:t>
            </w:r>
          </w:p>
          <w:p>
            <w:pPr>
              <w:pStyle w:val="2"/>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相关技术人员职称及工作经验对比存在较大差距，难以承担本项目检测服务的得1分，</w:t>
            </w:r>
          </w:p>
          <w:p>
            <w:pPr>
              <w:pStyle w:val="2"/>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eastAsia="zh-CN"/>
              </w:rPr>
              <w:t>（</w:t>
            </w:r>
            <w:r>
              <w:rPr>
                <w:rFonts w:hint="eastAsia" w:ascii="仿宋" w:hAnsi="仿宋" w:eastAsia="仿宋" w:cs="仿宋"/>
                <w:b w:val="0"/>
                <w:bCs w:val="0"/>
                <w:sz w:val="20"/>
                <w:szCs w:val="20"/>
                <w:highlight w:val="none"/>
                <w:lang w:val="en-US" w:eastAsia="zh-CN"/>
              </w:rPr>
              <w:t>4</w:t>
            </w:r>
            <w:r>
              <w:rPr>
                <w:rFonts w:hint="eastAsia" w:ascii="仿宋" w:hAnsi="仿宋" w:eastAsia="仿宋" w:cs="仿宋"/>
                <w:b w:val="0"/>
                <w:bCs w:val="0"/>
                <w:sz w:val="20"/>
                <w:szCs w:val="20"/>
                <w:highlight w:val="none"/>
                <w:lang w:eastAsia="zh-CN"/>
              </w:rPr>
              <w:t>）</w:t>
            </w:r>
            <w:r>
              <w:rPr>
                <w:rFonts w:hint="eastAsia" w:ascii="仿宋" w:hAnsi="仿宋" w:eastAsia="仿宋" w:cs="仿宋"/>
                <w:b w:val="0"/>
                <w:bCs w:val="0"/>
                <w:sz w:val="20"/>
                <w:szCs w:val="20"/>
                <w:highlight w:val="none"/>
              </w:rPr>
              <w:t>没有提供相关证明材料</w:t>
            </w:r>
            <w:r>
              <w:rPr>
                <w:rFonts w:hint="eastAsia" w:ascii="仿宋" w:hAnsi="仿宋" w:eastAsia="仿宋" w:cs="仿宋"/>
                <w:b w:val="0"/>
                <w:bCs w:val="0"/>
                <w:sz w:val="20"/>
                <w:szCs w:val="20"/>
                <w:highlight w:val="none"/>
                <w:lang w:val="en-US" w:eastAsia="zh-CN"/>
              </w:rPr>
              <w:t>或提供材料不全</w:t>
            </w:r>
            <w:r>
              <w:rPr>
                <w:rFonts w:hint="eastAsia" w:ascii="仿宋" w:hAnsi="仿宋" w:eastAsia="仿宋" w:cs="仿宋"/>
                <w:b w:val="0"/>
                <w:bCs w:val="0"/>
                <w:sz w:val="20"/>
                <w:szCs w:val="20"/>
                <w:highlight w:val="none"/>
              </w:rPr>
              <w:t>的得0分。</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注：响应人需提供以下资料作为得分依据：</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1、提供相关技术人员的名单；</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2、提供相关技术人员的职称证书扫描件并加盖公章；</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3、响应人自2022年10月至今内任意一个月为其缴纳社会保险的凭据并加盖公章；</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4、工作经验的证明材料并加盖公章。</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若出现无证明资料或专家无法凭所提供资料判断是否得分的情况，一律作不得分处理。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行业认证</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trike w:val="0"/>
                <w:dstrike w:val="0"/>
                <w:sz w:val="20"/>
                <w:szCs w:val="20"/>
                <w:highlight w:val="none"/>
              </w:rPr>
            </w:pPr>
            <w:r>
              <w:rPr>
                <w:rFonts w:hint="eastAsia" w:ascii="仿宋" w:hAnsi="仿宋" w:eastAsia="仿宋" w:cs="仿宋"/>
                <w:strike w:val="0"/>
                <w:dstrike w:val="0"/>
                <w:sz w:val="20"/>
                <w:szCs w:val="20"/>
                <w:highlight w:val="none"/>
              </w:rPr>
              <w:t>响应人通过中国合格评定国家认可委员会(CNAS)的ISO15189认</w:t>
            </w:r>
            <w:r>
              <w:rPr>
                <w:rFonts w:hint="eastAsia" w:ascii="仿宋" w:hAnsi="仿宋" w:eastAsia="仿宋" w:cs="仿宋"/>
                <w:strike w:val="0"/>
                <w:dstrike w:val="0"/>
                <w:sz w:val="20"/>
                <w:szCs w:val="20"/>
                <w:highlight w:val="none"/>
                <w:lang w:eastAsia="zh-CN"/>
              </w:rPr>
              <w:t>证。</w:t>
            </w:r>
            <w:r>
              <w:rPr>
                <w:rFonts w:hint="eastAsia" w:ascii="仿宋" w:hAnsi="仿宋" w:eastAsia="仿宋" w:cs="仿宋"/>
                <w:strike w:val="0"/>
                <w:dstrike w:val="0"/>
                <w:sz w:val="20"/>
                <w:szCs w:val="20"/>
                <w:highlight w:val="none"/>
              </w:rPr>
              <w:t>每提供一份提供相关行业协会认可证明材料得</w:t>
            </w:r>
            <w:r>
              <w:rPr>
                <w:rFonts w:hint="eastAsia" w:ascii="仿宋" w:hAnsi="仿宋" w:eastAsia="仿宋" w:cs="仿宋"/>
                <w:strike w:val="0"/>
                <w:dstrike w:val="0"/>
                <w:sz w:val="20"/>
                <w:szCs w:val="20"/>
                <w:highlight w:val="none"/>
                <w:lang w:val="en-US" w:eastAsia="zh-CN"/>
              </w:rPr>
              <w:t>5</w:t>
            </w:r>
            <w:r>
              <w:rPr>
                <w:rFonts w:hint="eastAsia" w:ascii="仿宋" w:hAnsi="仿宋" w:eastAsia="仿宋" w:cs="仿宋"/>
                <w:strike w:val="0"/>
                <w:dstrike w:val="0"/>
                <w:sz w:val="20"/>
                <w:szCs w:val="20"/>
                <w:highlight w:val="none"/>
              </w:rPr>
              <w:t>分，最高得</w:t>
            </w:r>
            <w:r>
              <w:rPr>
                <w:rFonts w:hint="eastAsia" w:ascii="仿宋" w:hAnsi="仿宋" w:eastAsia="仿宋" w:cs="仿宋"/>
                <w:strike w:val="0"/>
                <w:dstrike w:val="0"/>
                <w:sz w:val="20"/>
                <w:szCs w:val="20"/>
                <w:highlight w:val="none"/>
                <w:lang w:val="en-US" w:eastAsia="zh-CN"/>
              </w:rPr>
              <w:t>5</w:t>
            </w:r>
            <w:r>
              <w:rPr>
                <w:rFonts w:hint="eastAsia" w:ascii="仿宋" w:hAnsi="仿宋" w:eastAsia="仿宋" w:cs="仿宋"/>
                <w:strike w:val="0"/>
                <w:dstrike w:val="0"/>
                <w:sz w:val="20"/>
                <w:szCs w:val="20"/>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rPr>
              <w:t>注:响应人需提供有效的证书复印件、认可项目清单复印件加盖公章。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管理认证</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trike w:val="0"/>
                <w:dstrike w:val="0"/>
                <w:sz w:val="20"/>
                <w:szCs w:val="20"/>
                <w:highlight w:val="no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响应人的高通量测序质量管理体系通过第三方评估认证。提供相关证书，得5分；不提供不得分。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备注：响应人需提供有效的证书复印件加盖公章。</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 xml:space="preserve">        服务评审表（45分）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627"/>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0"/>
                <w:szCs w:val="20"/>
                <w:highlight w:val="none"/>
                <w:vertAlign w:val="baseline"/>
                <w:lang w:val="en-US" w:eastAsia="zh-CN"/>
              </w:rPr>
            </w:pPr>
            <w:r>
              <w:rPr>
                <w:rFonts w:hint="eastAsia" w:ascii="仿宋" w:hAnsi="仿宋" w:eastAsia="仿宋" w:cs="仿宋"/>
                <w:b/>
                <w:bCs/>
                <w:sz w:val="20"/>
                <w:szCs w:val="20"/>
                <w:highlight w:val="none"/>
              </w:rPr>
              <w:t>评审内容</w:t>
            </w:r>
          </w:p>
        </w:tc>
        <w:tc>
          <w:tcPr>
            <w:tcW w:w="627"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分值</w:t>
            </w:r>
          </w:p>
        </w:tc>
        <w:tc>
          <w:tcPr>
            <w:tcW w:w="736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vertAlign w:val="baseline"/>
                <w:lang w:val="en-US" w:eastAsia="zh-CN"/>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rPr>
              <w:t>服务</w:t>
            </w:r>
            <w:r>
              <w:rPr>
                <w:rFonts w:hint="eastAsia" w:ascii="仿宋" w:hAnsi="仿宋" w:eastAsia="仿宋" w:cs="仿宋"/>
                <w:sz w:val="20"/>
                <w:szCs w:val="20"/>
                <w:highlight w:val="none"/>
                <w:lang w:eastAsia="zh-CN"/>
              </w:rPr>
              <w:t>方案</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24</w:t>
            </w:r>
          </w:p>
        </w:tc>
        <w:tc>
          <w:tcPr>
            <w:tcW w:w="7365"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响应人应针对本项目提供服务方案，方案应至少包括：</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（1）总体策划；</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（2）专业化管理；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（3）相关设备配备；</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（4）专业人员配备；</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（5）数据传输方案；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（6）质量控制方案；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（7）关于样本生物信息安全保护；</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（8）隐私保密。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w:t>
            </w:r>
            <w:r>
              <w:rPr>
                <w:rFonts w:hint="eastAsia" w:ascii="仿宋" w:hAnsi="仿宋" w:eastAsia="仿宋" w:cs="仿宋"/>
                <w:sz w:val="20"/>
                <w:szCs w:val="20"/>
                <w:highlight w:val="none"/>
                <w:lang w:eastAsia="zh-CN"/>
              </w:rPr>
              <w:t>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24</w:t>
            </w:r>
            <w:r>
              <w:rPr>
                <w:rFonts w:hint="eastAsia" w:ascii="仿宋" w:hAnsi="仿宋" w:eastAsia="仿宋" w:cs="仿宋"/>
                <w:sz w:val="20"/>
                <w:szCs w:val="20"/>
                <w:highlight w:val="none"/>
              </w:rPr>
              <w:t>分。未提供服务方案不得分。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保障措施及服务质量承诺</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12</w:t>
            </w:r>
          </w:p>
        </w:tc>
        <w:tc>
          <w:tcPr>
            <w:tcW w:w="7365"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响应人应针对本项目提供项目实施保障措施及服务质量，方案应至少包括：</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（1）实施保障措施和服务质量承诺有针对性；</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（2）切实考虑项目实施实际情况；</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（3）提出解决方案；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（4）措施完善可行、具体合理。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w:t>
            </w:r>
            <w:r>
              <w:rPr>
                <w:rFonts w:hint="eastAsia" w:ascii="仿宋" w:hAnsi="仿宋" w:eastAsia="仿宋" w:cs="仿宋"/>
                <w:sz w:val="20"/>
                <w:szCs w:val="20"/>
                <w:highlight w:val="none"/>
                <w:lang w:eastAsia="zh-CN"/>
              </w:rPr>
              <w:t>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12</w:t>
            </w:r>
            <w:r>
              <w:rPr>
                <w:rFonts w:hint="eastAsia" w:ascii="仿宋" w:hAnsi="仿宋" w:eastAsia="仿宋" w:cs="仿宋"/>
                <w:sz w:val="20"/>
                <w:szCs w:val="20"/>
                <w:highlight w:val="none"/>
              </w:rPr>
              <w:t>分。未提供服务方案不得分。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物流运输方案</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5</w:t>
            </w:r>
          </w:p>
        </w:tc>
        <w:tc>
          <w:tcPr>
            <w:tcW w:w="7365" w:type="dxa"/>
            <w:vAlign w:val="center"/>
          </w:tcPr>
          <w:p>
            <w:pPr>
              <w:pStyle w:val="28"/>
              <w:keepNext w:val="0"/>
              <w:keepLines w:val="0"/>
              <w:suppressLineNumbers w:val="0"/>
              <w:spacing w:before="0" w:beforeAutospacing="0" w:after="0" w:afterAutospacing="0"/>
              <w:ind w:left="0" w:leftChars="0" w:right="0" w:firstLine="0" w:firstLineChars="0"/>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对各</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物流运输方案，能否保证样本运输安全，样本运输是否完整，是否做到全程直立、冷藏、封闭进行横向评议及打分</w:t>
            </w:r>
            <w:r>
              <w:rPr>
                <w:rFonts w:hint="eastAsia" w:ascii="仿宋" w:hAnsi="仿宋" w:eastAsia="仿宋" w:cs="仿宋"/>
                <w:sz w:val="20"/>
                <w:szCs w:val="20"/>
                <w:highlight w:val="none"/>
                <w:lang w:eastAsia="zh-CN"/>
              </w:rPr>
              <w:t>：</w:t>
            </w:r>
          </w:p>
          <w:p>
            <w:pPr>
              <w:pStyle w:val="28"/>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能满足以上要求，且</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自带物流运输团队者</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p>
          <w:p>
            <w:pPr>
              <w:pStyle w:val="28"/>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基本满足以上要求，与第三方物流运输团队签订合作协议者得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w:t>
            </w:r>
          </w:p>
          <w:p>
            <w:pPr>
              <w:pStyle w:val="28"/>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无自带物流运输团队且未与第三方物流运输团队签订合作协议者得0分。</w:t>
            </w:r>
          </w:p>
          <w:p>
            <w:pPr>
              <w:pStyle w:val="28"/>
              <w:keepNext w:val="0"/>
              <w:keepLines w:val="0"/>
              <w:numPr>
                <w:ilvl w:val="0"/>
                <w:numId w:val="0"/>
              </w:numPr>
              <w:suppressLineNumbers w:val="0"/>
              <w:spacing w:before="0" w:beforeAutospacing="0" w:after="0" w:afterAutospacing="0"/>
              <w:ind w:left="0" w:leftChars="0" w:right="0"/>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提供相关方案的介绍说明，提供运输专用容器实物图片、提供全程电子监控系统的系统截图及介绍，无提供或资料不全者不得分。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对本次项目所投入的设施、设备的使用和管理方案</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w:t>
            </w:r>
          </w:p>
        </w:tc>
        <w:tc>
          <w:tcPr>
            <w:tcW w:w="7365" w:type="dxa"/>
            <w:vAlign w:val="center"/>
          </w:tcPr>
          <w:p>
            <w:pPr>
              <w:pStyle w:val="28"/>
              <w:keepNext w:val="0"/>
              <w:keepLines w:val="0"/>
              <w:numPr>
                <w:ilvl w:val="0"/>
                <w:numId w:val="0"/>
              </w:numPr>
              <w:suppressLineNumbers w:val="0"/>
              <w:spacing w:before="0" w:beforeAutospacing="0" w:after="0" w:afterAutospacing="0"/>
              <w:ind w:left="0" w:leftChars="0" w:right="0"/>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对各响应人对本次项目所投入的设施、设备的使用是否完善可行、具体合理，进行评议及打分：</w:t>
            </w:r>
          </w:p>
          <w:p>
            <w:pPr>
              <w:pStyle w:val="28"/>
              <w:keepNext w:val="0"/>
              <w:keepLines w:val="0"/>
              <w:numPr>
                <w:ilvl w:val="0"/>
                <w:numId w:val="0"/>
              </w:numPr>
              <w:suppressLineNumbers w:val="0"/>
              <w:spacing w:before="0" w:beforeAutospacing="0" w:after="0" w:afterAutospacing="0"/>
              <w:ind w:left="0" w:right="0" w:rightChars="0"/>
              <w:jc w:val="both"/>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（1）响应人针对本次项目所投入的设施、设备高端，能满足本项目实施需要，配置合理的得4分，</w:t>
            </w:r>
          </w:p>
          <w:p>
            <w:pPr>
              <w:pStyle w:val="28"/>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（2）所投入的设施、设备存在差距者得2分，</w:t>
            </w:r>
          </w:p>
          <w:p>
            <w:pPr>
              <w:pStyle w:val="28"/>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（3）所投入的设施、设备基本不满足用户需求者得1分，</w:t>
            </w:r>
          </w:p>
          <w:p>
            <w:pPr>
              <w:pStyle w:val="28"/>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（4）没有提供任何说明或证明材料的得0分。</w:t>
            </w:r>
          </w:p>
          <w:p>
            <w:pPr>
              <w:pStyle w:val="28"/>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lang w:eastAsia="zh-CN"/>
              </w:rPr>
              <w:t>须提供设备实物图片及对应的有效的设备购买合同及发票加盖公章）</w:t>
            </w:r>
            <w:r>
              <w:rPr>
                <w:rFonts w:hint="eastAsia" w:ascii="仿宋" w:hAnsi="仿宋" w:eastAsia="仿宋" w:cs="仿宋"/>
                <w:sz w:val="20"/>
                <w:szCs w:val="20"/>
                <w:highlight w:val="none"/>
              </w:rPr>
              <w:t>，无提供或资料不全者不得分。</w:t>
            </w:r>
          </w:p>
        </w:tc>
      </w:tr>
    </w:tbl>
    <w:p>
      <w:pPr>
        <w:pStyle w:val="28"/>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highlight w:val="none"/>
          <w:u w:val="single"/>
        </w:rPr>
        <w:t>下浮率最高者</w:t>
      </w:r>
      <w:r>
        <w:rPr>
          <w:rFonts w:hint="eastAsia" w:ascii="仿宋" w:hAnsi="仿宋" w:eastAsia="仿宋" w:cs="仿宋"/>
          <w:color w:val="000000"/>
          <w:sz w:val="24"/>
          <w:szCs w:val="24"/>
          <w:highlight w:val="none"/>
          <w:lang w:val="en-US" w:eastAsia="zh-CN"/>
        </w:rPr>
        <w:t>作为价格评分的评审依据。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满足比选文件要求且总报价最低的价格为评分基准价</w:t>
      </w:r>
      <w:r>
        <w:rPr>
          <w:rFonts w:hint="eastAsia" w:ascii="仿宋" w:hAnsi="仿宋" w:eastAsia="仿宋" w:cs="仿宋"/>
          <w:color w:val="000000"/>
          <w:sz w:val="24"/>
          <w:highlight w:val="none"/>
        </w:rPr>
        <w:t>（即取响应报价中最低者作为基准价，如，某供应商的报价为下浮率</w:t>
      </w:r>
      <w:r>
        <w:rPr>
          <w:rFonts w:hint="eastAsia" w:ascii="仿宋" w:hAnsi="仿宋" w:eastAsia="仿宋" w:cs="仿宋"/>
          <w:color w:val="000000"/>
          <w:sz w:val="24"/>
          <w:highlight w:val="none"/>
          <w:lang w:eastAsia="zh-CN"/>
        </w:rPr>
        <w:t>3</w:t>
      </w:r>
      <w:r>
        <w:rPr>
          <w:rFonts w:hint="eastAsia" w:ascii="仿宋" w:hAnsi="仿宋" w:eastAsia="仿宋" w:cs="仿宋"/>
          <w:color w:val="000000"/>
          <w:sz w:val="24"/>
          <w:highlight w:val="none"/>
        </w:rPr>
        <w:t>0%，即响应报价为所述价格的</w:t>
      </w:r>
      <w:r>
        <w:rPr>
          <w:rFonts w:hint="eastAsia" w:ascii="仿宋" w:hAnsi="仿宋" w:eastAsia="仿宋" w:cs="仿宋"/>
          <w:color w:val="000000"/>
          <w:sz w:val="24"/>
          <w:highlight w:val="none"/>
          <w:lang w:eastAsia="zh-CN"/>
        </w:rPr>
        <w:t>7</w:t>
      </w:r>
      <w:r>
        <w:rPr>
          <w:rFonts w:hint="eastAsia" w:ascii="仿宋" w:hAnsi="仿宋" w:eastAsia="仿宋" w:cs="仿宋"/>
          <w:color w:val="000000"/>
          <w:sz w:val="24"/>
          <w:highlight w:val="none"/>
        </w:rPr>
        <w:t>0%），</w:t>
      </w:r>
      <w:r>
        <w:rPr>
          <w:rFonts w:hint="eastAsia" w:ascii="仿宋" w:hAnsi="仿宋" w:eastAsia="仿宋" w:cs="仿宋"/>
          <w:color w:val="000000"/>
          <w:sz w:val="24"/>
          <w:szCs w:val="24"/>
          <w:highlight w:val="none"/>
          <w:lang w:val="en-US" w:eastAsia="zh-CN"/>
        </w:rPr>
        <w:t>价格得分＝（评分基准价/响应报价）*25，保留两位小数）。</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某个响应人的</w:t>
      </w:r>
      <w:r>
        <w:rPr>
          <w:rFonts w:hint="eastAsia" w:ascii="仿宋" w:hAnsi="仿宋" w:eastAsia="仿宋" w:cs="仿宋"/>
          <w:color w:val="000000"/>
          <w:sz w:val="24"/>
          <w:szCs w:val="24"/>
          <w:highlight w:val="none"/>
          <w:lang w:eastAsia="zh-CN"/>
        </w:rPr>
        <w:t>服务</w:t>
      </w:r>
      <w:r>
        <w:rPr>
          <w:rFonts w:hint="eastAsia" w:ascii="仿宋" w:hAnsi="仿宋" w:eastAsia="仿宋" w:cs="仿宋"/>
          <w:color w:val="000000"/>
          <w:sz w:val="24"/>
          <w:szCs w:val="24"/>
          <w:highlight w:val="none"/>
        </w:rPr>
        <w:t>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      某个响应人的商务评审得分；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报价相同的，按照技术部分得分（由高到低）顺序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 xml:space="preserve">协助答复质疑。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广州市越秀区长堤大马路171号威力斯大楼907室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采购人与成交人自成交通知书发出之日起三十日内，按比选文件要求和成交人响应文件承诺签订采购合同，但不得超出比选文件和成交人响应文件的范围、也不得再行订立背离合同实质性内容的其他协议。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9"/>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8"/>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9"/>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9"/>
        <w:rPr>
          <w:rFonts w:hint="eastAsia"/>
          <w:highlight w:val="none"/>
        </w:rPr>
      </w:pPr>
    </w:p>
    <w:p>
      <w:pPr>
        <w:pStyle w:val="29"/>
        <w:rPr>
          <w:rFonts w:hint="eastAsia"/>
          <w:highlight w:val="none"/>
        </w:rPr>
      </w:pPr>
    </w:p>
    <w:p>
      <w:pPr>
        <w:pStyle w:val="28"/>
        <w:ind w:firstLine="0" w:firstLineChars="0"/>
        <w:rPr>
          <w:rFonts w:hint="eastAsia" w:ascii="仿宋_GB2312" w:eastAsia="仿宋_GB2312" w:cs="仿宋_GB2312"/>
          <w:b/>
          <w:color w:val="000000"/>
          <w:sz w:val="28"/>
          <w:szCs w:val="28"/>
          <w:highlight w:val="none"/>
        </w:rPr>
      </w:pPr>
    </w:p>
    <w:p>
      <w:pPr>
        <w:pStyle w:val="28"/>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jc w:val="center"/>
        <w:rPr>
          <w:rFonts w:ascii="方正小标宋简体" w:eastAsia="方正小标宋简体"/>
          <w:bCs/>
          <w:snapToGrid w:val="0"/>
          <w:spacing w:val="4"/>
          <w:kern w:val="0"/>
          <w:sz w:val="36"/>
          <w:szCs w:val="36"/>
        </w:rPr>
      </w:pPr>
      <w:r>
        <w:rPr>
          <w:rFonts w:hint="eastAsia" w:ascii="方正小标宋简体" w:eastAsia="方正小标宋简体"/>
          <w:bCs/>
          <w:snapToGrid w:val="0"/>
          <w:spacing w:val="4"/>
          <w:kern w:val="0"/>
          <w:sz w:val="36"/>
          <w:szCs w:val="36"/>
        </w:rPr>
        <w:t>关于</w:t>
      </w:r>
      <w:r>
        <w:rPr>
          <w:rFonts w:hint="eastAsia" w:ascii="方正小标宋简体" w:eastAsia="方正小标宋简体"/>
          <w:bCs/>
          <w:snapToGrid w:val="0"/>
          <w:spacing w:val="4"/>
          <w:kern w:val="0"/>
          <w:sz w:val="36"/>
          <w:szCs w:val="36"/>
          <w:u w:val="single"/>
        </w:rPr>
        <w:t xml:space="preserve">              </w:t>
      </w:r>
      <w:r>
        <w:rPr>
          <w:rFonts w:hint="eastAsia" w:ascii="方正小标宋简体" w:eastAsia="方正小标宋简体"/>
          <w:bCs/>
          <w:snapToGrid w:val="0"/>
          <w:spacing w:val="4"/>
          <w:kern w:val="0"/>
          <w:sz w:val="36"/>
          <w:szCs w:val="36"/>
        </w:rPr>
        <w:t>外送的委托协议书</w:t>
      </w:r>
    </w:p>
    <w:p>
      <w:pPr>
        <w:spacing w:line="500" w:lineRule="exact"/>
        <w:ind w:left="141" w:leftChars="67"/>
        <w:rPr>
          <w:rFonts w:hint="eastAsia"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委托方（甲方）：中山大学孙逸仙纪念医院</w:t>
      </w: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联系地址：</w:t>
      </w:r>
      <w:r>
        <w:rPr>
          <w:rFonts w:ascii="仿宋" w:hAnsi="仿宋"/>
          <w:bCs/>
          <w:snapToGrid w:val="0"/>
          <w:spacing w:val="4"/>
          <w:kern w:val="0"/>
          <w:szCs w:val="28"/>
        </w:rPr>
        <w:t xml:space="preserve"> </w:t>
      </w:r>
    </w:p>
    <w:p>
      <w:pPr>
        <w:spacing w:line="500" w:lineRule="exact"/>
        <w:ind w:left="141" w:leftChars="67"/>
        <w:rPr>
          <w:rFonts w:ascii="仿宋" w:hAnsi="仿宋"/>
          <w:bCs/>
          <w:snapToGrid w:val="0"/>
          <w:spacing w:val="4"/>
          <w:kern w:val="0"/>
          <w:szCs w:val="28"/>
        </w:rPr>
      </w:pPr>
      <w:bookmarkStart w:id="20" w:name="_Hlk7514840"/>
      <w:r>
        <w:rPr>
          <w:rFonts w:hint="eastAsia" w:ascii="仿宋" w:hAnsi="仿宋"/>
          <w:bCs/>
          <w:snapToGrid w:val="0"/>
          <w:spacing w:val="4"/>
          <w:kern w:val="0"/>
          <w:szCs w:val="28"/>
        </w:rPr>
        <w:t xml:space="preserve">联系人：      </w:t>
      </w:r>
      <w:r>
        <w:rPr>
          <w:rFonts w:ascii="仿宋" w:hAnsi="仿宋"/>
          <w:bCs/>
          <w:snapToGrid w:val="0"/>
          <w:spacing w:val="4"/>
          <w:kern w:val="0"/>
          <w:szCs w:val="28"/>
        </w:rPr>
        <w:t xml:space="preserve">       </w:t>
      </w:r>
      <w:r>
        <w:rPr>
          <w:rFonts w:hint="eastAsia" w:ascii="仿宋" w:hAnsi="仿宋"/>
          <w:bCs/>
          <w:snapToGrid w:val="0"/>
          <w:spacing w:val="4"/>
          <w:kern w:val="0"/>
          <w:szCs w:val="28"/>
        </w:rPr>
        <w:t>联系电话：</w:t>
      </w:r>
    </w:p>
    <w:bookmarkEnd w:id="20"/>
    <w:p>
      <w:pPr>
        <w:spacing w:line="500" w:lineRule="exact"/>
        <w:ind w:left="141" w:leftChars="67"/>
        <w:rPr>
          <w:rFonts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受托方（乙方）：</w:t>
      </w:r>
      <w:r>
        <w:rPr>
          <w:rFonts w:ascii="仿宋" w:hAnsi="仿宋"/>
          <w:bCs/>
          <w:snapToGrid w:val="0"/>
          <w:spacing w:val="4"/>
          <w:kern w:val="0"/>
          <w:szCs w:val="28"/>
        </w:rPr>
        <w:t xml:space="preserve"> </w:t>
      </w:r>
    </w:p>
    <w:p>
      <w:pPr>
        <w:spacing w:line="500" w:lineRule="exact"/>
        <w:ind w:left="141" w:leftChars="67"/>
        <w:rPr>
          <w:rFonts w:hint="eastAsia" w:ascii="仿宋" w:hAnsi="仿宋"/>
          <w:bCs/>
          <w:snapToGrid w:val="0"/>
          <w:spacing w:val="4"/>
          <w:kern w:val="0"/>
          <w:szCs w:val="28"/>
        </w:rPr>
      </w:pPr>
      <w:r>
        <w:rPr>
          <w:rFonts w:hint="eastAsia" w:ascii="仿宋" w:hAnsi="仿宋"/>
          <w:bCs/>
          <w:snapToGrid w:val="0"/>
          <w:spacing w:val="4"/>
          <w:kern w:val="0"/>
          <w:szCs w:val="28"/>
        </w:rPr>
        <w:t>联系地址:</w:t>
      </w:r>
      <w:r>
        <w:rPr>
          <w:rFonts w:ascii="仿宋" w:hAnsi="仿宋"/>
          <w:bCs/>
          <w:snapToGrid w:val="0"/>
          <w:spacing w:val="4"/>
          <w:kern w:val="0"/>
          <w:szCs w:val="28"/>
        </w:rPr>
        <w:t xml:space="preserve"> </w:t>
      </w: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联系人：             联系电话：</w:t>
      </w:r>
    </w:p>
    <w:p>
      <w:pPr>
        <w:spacing w:line="500" w:lineRule="exact"/>
        <w:ind w:left="141" w:leftChars="67"/>
        <w:rPr>
          <w:rFonts w:ascii="仿宋" w:hAnsi="仿宋"/>
          <w:bCs/>
          <w:snapToGrid w:val="0"/>
          <w:spacing w:val="4"/>
          <w:kern w:val="0"/>
          <w:szCs w:val="28"/>
        </w:rPr>
      </w:pPr>
    </w:p>
    <w:p>
      <w:pPr>
        <w:spacing w:line="500" w:lineRule="exact"/>
        <w:rPr>
          <w:rFonts w:hint="eastAsia" w:ascii="仿宋" w:hAnsi="仿宋"/>
          <w:b/>
          <w:bCs/>
          <w:snapToGrid w:val="0"/>
          <w:spacing w:val="4"/>
          <w:kern w:val="0"/>
          <w:szCs w:val="28"/>
        </w:rPr>
      </w:pPr>
    </w:p>
    <w:p>
      <w:pPr>
        <w:spacing w:line="500" w:lineRule="exact"/>
        <w:rPr>
          <w:rFonts w:ascii="仿宋" w:hAnsi="仿宋"/>
          <w:b/>
          <w:bCs/>
          <w:snapToGrid w:val="0"/>
          <w:spacing w:val="4"/>
          <w:kern w:val="0"/>
          <w:szCs w:val="28"/>
        </w:rPr>
      </w:pPr>
      <w:r>
        <w:rPr>
          <w:rFonts w:hint="eastAsia" w:ascii="仿宋" w:hAnsi="仿宋"/>
          <w:b/>
          <w:bCs/>
          <w:snapToGrid w:val="0"/>
          <w:spacing w:val="4"/>
          <w:kern w:val="0"/>
          <w:szCs w:val="28"/>
        </w:rPr>
        <w:t>1、委托内容及范围</w:t>
      </w:r>
    </w:p>
    <w:p>
      <w:pPr>
        <w:spacing w:line="500" w:lineRule="exact"/>
        <w:ind w:firstLine="436" w:firstLineChars="200"/>
        <w:rPr>
          <w:rFonts w:ascii="仿宋" w:hAnsi="仿宋"/>
          <w:bCs/>
          <w:snapToGrid w:val="0"/>
          <w:spacing w:val="4"/>
          <w:kern w:val="0"/>
          <w:szCs w:val="28"/>
        </w:rPr>
      </w:pPr>
      <w:r>
        <w:rPr>
          <w:rFonts w:hint="eastAsia" w:ascii="仿宋" w:hAnsi="仿宋"/>
          <w:bCs/>
          <w:snapToGrid w:val="0"/>
          <w:spacing w:val="4"/>
          <w:kern w:val="0"/>
          <w:szCs w:val="28"/>
        </w:rPr>
        <w:t>甲方根据需要把部分的检测项目（见附件1表格）委托给乙方，乙方按照约定的时间准时到甲方</w:t>
      </w:r>
      <w:r>
        <w:rPr>
          <w:rFonts w:hint="eastAsia" w:ascii="仿宋" w:hAnsi="仿宋"/>
          <w:szCs w:val="28"/>
        </w:rPr>
        <w:t>签收</w:t>
      </w:r>
      <w:r>
        <w:rPr>
          <w:rFonts w:hint="eastAsia" w:ascii="仿宋" w:hAnsi="仿宋"/>
          <w:bCs/>
          <w:snapToGrid w:val="0"/>
          <w:spacing w:val="4"/>
          <w:kern w:val="0"/>
          <w:szCs w:val="28"/>
        </w:rPr>
        <w:t>标本，并在协议规定的时间内发送检测报告到甲方。</w:t>
      </w:r>
      <w:bookmarkStart w:id="21" w:name="OLE_LINK7"/>
      <w:r>
        <w:rPr>
          <w:rFonts w:hint="eastAsia" w:ascii="仿宋" w:hAnsi="仿宋"/>
          <w:bCs/>
          <w:snapToGrid w:val="0"/>
          <w:spacing w:val="4"/>
          <w:kern w:val="0"/>
          <w:szCs w:val="28"/>
        </w:rPr>
        <w:t>同时甲方按照物价规定收取检查检验费后，向乙方支付本协议约定金额的检查服务费。</w:t>
      </w:r>
    </w:p>
    <w:bookmarkEnd w:id="21"/>
    <w:p>
      <w:pPr>
        <w:spacing w:line="500" w:lineRule="exact"/>
        <w:rPr>
          <w:rFonts w:ascii="仿宋" w:hAnsi="仿宋"/>
          <w:bCs/>
          <w:snapToGrid w:val="0"/>
          <w:spacing w:val="4"/>
          <w:kern w:val="0"/>
          <w:szCs w:val="28"/>
        </w:rPr>
      </w:pPr>
    </w:p>
    <w:p>
      <w:pPr>
        <w:spacing w:line="500" w:lineRule="exact"/>
        <w:rPr>
          <w:rFonts w:ascii="仿宋" w:hAnsi="仿宋"/>
          <w:bCs/>
          <w:snapToGrid w:val="0"/>
          <w:spacing w:val="4"/>
          <w:kern w:val="0"/>
          <w:szCs w:val="28"/>
        </w:rPr>
      </w:pPr>
    </w:p>
    <w:p>
      <w:pPr>
        <w:spacing w:line="500" w:lineRule="exact"/>
        <w:rPr>
          <w:rFonts w:ascii="仿宋" w:hAnsi="仿宋"/>
          <w:b/>
          <w:bCs/>
          <w:snapToGrid w:val="0"/>
          <w:spacing w:val="4"/>
          <w:kern w:val="0"/>
          <w:szCs w:val="28"/>
        </w:rPr>
      </w:pPr>
      <w:r>
        <w:rPr>
          <w:rFonts w:hint="eastAsia" w:ascii="仿宋" w:hAnsi="仿宋"/>
          <w:b/>
          <w:snapToGrid w:val="0"/>
          <w:spacing w:val="4"/>
          <w:kern w:val="0"/>
          <w:szCs w:val="28"/>
        </w:rPr>
        <w:t>2、委托期限</w:t>
      </w:r>
      <w:r>
        <w:rPr>
          <w:rFonts w:hint="eastAsia" w:ascii="仿宋" w:hAnsi="仿宋"/>
          <w:b/>
          <w:bCs/>
          <w:snapToGrid w:val="0"/>
          <w:spacing w:val="4"/>
          <w:kern w:val="0"/>
          <w:szCs w:val="28"/>
        </w:rPr>
        <w:t>：</w:t>
      </w:r>
    </w:p>
    <w:p>
      <w:pPr>
        <w:spacing w:line="500" w:lineRule="exact"/>
        <w:ind w:firstLine="436" w:firstLineChars="200"/>
        <w:rPr>
          <w:rFonts w:ascii="仿宋" w:hAnsi="仿宋"/>
          <w:bCs/>
          <w:snapToGrid w:val="0"/>
          <w:spacing w:val="4"/>
          <w:kern w:val="0"/>
          <w:szCs w:val="28"/>
        </w:rPr>
      </w:pPr>
      <w:r>
        <w:rPr>
          <w:rFonts w:hint="eastAsia" w:ascii="仿宋" w:hAnsi="仿宋"/>
          <w:bCs/>
          <w:snapToGrid w:val="0"/>
          <w:spacing w:val="4"/>
          <w:kern w:val="0"/>
          <w:szCs w:val="28"/>
        </w:rPr>
        <w:t>甲方委托乙方检查期限有效期为期[壹年],经双方法定代表人（或委托代理人）签字并加盖单位合同印章生效。</w:t>
      </w:r>
    </w:p>
    <w:p>
      <w:pPr>
        <w:spacing w:line="500" w:lineRule="exact"/>
        <w:ind w:firstLine="436" w:firstLineChars="200"/>
      </w:pPr>
      <w:r>
        <w:rPr>
          <w:rFonts w:hint="eastAsia" w:ascii="仿宋" w:hAnsi="仿宋"/>
          <w:bCs/>
          <w:snapToGrid w:val="0"/>
          <w:spacing w:val="4"/>
          <w:kern w:val="0"/>
          <w:szCs w:val="28"/>
        </w:rPr>
        <w:t>合作期限内，甲方的实验室能够在院内开展协议内外送检测项目时，本协议中项目可提前终止，甲方不承担任何的违约责任。</w:t>
      </w:r>
      <w:r>
        <w:rPr>
          <w:rFonts w:hint="eastAsia"/>
        </w:rPr>
        <w:t>合同服务期到达一年或结算总额累计达到合同总额时，本合同自行终止。</w:t>
      </w:r>
    </w:p>
    <w:p>
      <w:pPr>
        <w:spacing w:line="500" w:lineRule="exact"/>
        <w:ind w:firstLine="144"/>
        <w:rPr>
          <w:rFonts w:ascii="仿宋" w:hAnsi="仿宋"/>
          <w:bCs/>
          <w:snapToGrid w:val="0"/>
          <w:spacing w:val="4"/>
          <w:kern w:val="0"/>
          <w:szCs w:val="28"/>
        </w:rPr>
      </w:pPr>
    </w:p>
    <w:p>
      <w:pPr>
        <w:spacing w:line="500" w:lineRule="exact"/>
        <w:rPr>
          <w:rFonts w:ascii="仿宋" w:hAnsi="仿宋"/>
          <w:b/>
          <w:snapToGrid w:val="0"/>
          <w:spacing w:val="4"/>
          <w:kern w:val="0"/>
          <w:szCs w:val="28"/>
        </w:rPr>
      </w:pPr>
      <w:r>
        <w:rPr>
          <w:rFonts w:hint="eastAsia" w:ascii="仿宋" w:hAnsi="仿宋"/>
          <w:b/>
          <w:bCs/>
          <w:snapToGrid w:val="0"/>
          <w:spacing w:val="4"/>
          <w:kern w:val="0"/>
          <w:szCs w:val="28"/>
        </w:rPr>
        <w:t>3</w:t>
      </w:r>
      <w:r>
        <w:rPr>
          <w:rFonts w:hint="eastAsia" w:ascii="仿宋" w:hAnsi="仿宋"/>
          <w:b/>
          <w:snapToGrid w:val="0"/>
          <w:spacing w:val="4"/>
          <w:kern w:val="0"/>
          <w:szCs w:val="28"/>
        </w:rPr>
        <w:t>、双方的权利与义务：</w:t>
      </w:r>
    </w:p>
    <w:p>
      <w:pPr>
        <w:spacing w:line="500" w:lineRule="exact"/>
        <w:ind w:firstLine="438" w:firstLineChars="200"/>
        <w:rPr>
          <w:rFonts w:ascii="仿宋" w:hAnsi="仿宋"/>
          <w:b/>
          <w:snapToGrid w:val="0"/>
          <w:spacing w:val="4"/>
          <w:kern w:val="0"/>
          <w:szCs w:val="28"/>
        </w:rPr>
      </w:pPr>
      <w:r>
        <w:rPr>
          <w:rFonts w:hint="eastAsia" w:ascii="仿宋" w:hAnsi="仿宋"/>
          <w:b/>
          <w:snapToGrid w:val="0"/>
          <w:spacing w:val="4"/>
          <w:kern w:val="0"/>
          <w:szCs w:val="28"/>
        </w:rPr>
        <w:t xml:space="preserve">甲方 </w:t>
      </w:r>
    </w:p>
    <w:p>
      <w:pPr>
        <w:spacing w:line="500" w:lineRule="exact"/>
        <w:ind w:left="134" w:leftChars="64" w:firstLine="436" w:firstLineChars="200"/>
        <w:rPr>
          <w:rFonts w:ascii="仿宋" w:hAnsi="仿宋" w:cs="宋体"/>
          <w:bCs/>
          <w:snapToGrid w:val="0"/>
          <w:spacing w:val="4"/>
          <w:kern w:val="0"/>
          <w:szCs w:val="28"/>
        </w:rPr>
      </w:pPr>
      <w:r>
        <w:rPr>
          <w:rFonts w:hint="eastAsia" w:ascii="仿宋" w:hAnsi="仿宋"/>
          <w:bCs/>
          <w:snapToGrid w:val="0"/>
          <w:spacing w:val="4"/>
          <w:kern w:val="0"/>
          <w:szCs w:val="28"/>
        </w:rPr>
        <w:t>3.1 负责开检验医嘱，组织护士采血，留取检验所需要的</w:t>
      </w:r>
      <w:bookmarkStart w:id="22" w:name="OLE_LINK3"/>
      <w:r>
        <w:rPr>
          <w:rFonts w:hint="eastAsia" w:ascii="仿宋" w:hAnsi="仿宋"/>
          <w:bCs/>
          <w:snapToGrid w:val="0"/>
          <w:spacing w:val="4"/>
          <w:kern w:val="0"/>
          <w:szCs w:val="28"/>
        </w:rPr>
        <w:t>标本</w:t>
      </w:r>
      <w:bookmarkEnd w:id="22"/>
      <w:r>
        <w:rPr>
          <w:rFonts w:hint="eastAsia" w:ascii="仿宋" w:hAnsi="仿宋"/>
          <w:bCs/>
          <w:snapToGrid w:val="0"/>
          <w:spacing w:val="4"/>
          <w:kern w:val="0"/>
          <w:szCs w:val="28"/>
        </w:rPr>
        <w:t>，对标本来源的合法性、准确性和完整性负责，</w:t>
      </w:r>
      <w:r>
        <w:rPr>
          <w:rFonts w:hint="eastAsia" w:ascii="仿宋" w:hAnsi="仿宋" w:cs="仿宋"/>
          <w:szCs w:val="28"/>
        </w:rPr>
        <w:t>确保</w:t>
      </w:r>
      <w:r>
        <w:rPr>
          <w:rFonts w:hint="eastAsia" w:ascii="仿宋" w:hAnsi="仿宋"/>
          <w:szCs w:val="28"/>
        </w:rPr>
        <w:t>标本信息与患者个人信息相符。如因取材和标本信息有误</w:t>
      </w:r>
      <w:r>
        <w:rPr>
          <w:rFonts w:hint="eastAsia" w:ascii="仿宋" w:hAnsi="仿宋" w:cs="宋体"/>
          <w:szCs w:val="28"/>
        </w:rPr>
        <w:t>导致检查结果出现问题的，由甲方负全部责任，但乙方有义务配合甲方合理解决问题。</w:t>
      </w:r>
    </w:p>
    <w:p>
      <w:pPr>
        <w:spacing w:line="500" w:lineRule="exact"/>
        <w:ind w:left="134" w:leftChars="64"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3.2 甲方负责向病人收取检验费，如存在错收或漏收所造成的损失由甲方承担相关责任，甲方应按本协议约定向乙方支付检验费。</w:t>
      </w:r>
    </w:p>
    <w:p>
      <w:pPr>
        <w:spacing w:line="500" w:lineRule="exact"/>
        <w:ind w:left="134" w:leftChars="64" w:firstLine="420" w:firstLineChars="200"/>
        <w:rPr>
          <w:rFonts w:ascii="仿宋" w:hAnsi="仿宋" w:cs="宋体"/>
          <w:b/>
          <w:snapToGrid w:val="0"/>
          <w:spacing w:val="4"/>
          <w:kern w:val="0"/>
          <w:szCs w:val="28"/>
        </w:rPr>
      </w:pPr>
      <w:r>
        <w:rPr>
          <w:rFonts w:hint="eastAsia" w:ascii="仿宋" w:hAnsi="仿宋" w:cs="宋体"/>
          <w:szCs w:val="28"/>
        </w:rPr>
        <w:t>3.3 甲方工作人员有责任与乙方工作人员在以下环节进行签字确认：标本交接、报告单交接、结算票据交接、知情同意书交接等。</w:t>
      </w:r>
    </w:p>
    <w:p>
      <w:pPr>
        <w:spacing w:line="500" w:lineRule="exact"/>
        <w:ind w:left="134" w:leftChars="64" w:firstLine="436" w:firstLineChars="200"/>
        <w:rPr>
          <w:rFonts w:ascii="仿宋" w:hAnsi="仿宋" w:cs="宋体"/>
          <w:szCs w:val="28"/>
        </w:rPr>
      </w:pPr>
      <w:bookmarkStart w:id="23" w:name="OLE_LINK10"/>
      <w:r>
        <w:rPr>
          <w:rFonts w:hint="eastAsia" w:ascii="仿宋" w:hAnsi="仿宋" w:cs="宋体"/>
          <w:snapToGrid w:val="0"/>
          <w:spacing w:val="4"/>
          <w:kern w:val="0"/>
          <w:szCs w:val="28"/>
        </w:rPr>
        <w:t>3.4 甲方负责在约定时间前将标本统一存放在指定交接处。如有特殊需求需在标本指定交接处以外的地方交接标本的，甲方</w:t>
      </w:r>
      <w:r>
        <w:rPr>
          <w:rFonts w:hint="eastAsia" w:ascii="仿宋" w:hAnsi="仿宋" w:cs="宋体"/>
          <w:bCs/>
          <w:snapToGrid w:val="0"/>
          <w:spacing w:val="4"/>
          <w:kern w:val="0"/>
          <w:szCs w:val="28"/>
        </w:rPr>
        <w:t>应提前电话告知乙方，客服预约标本，由乙方派人去甲方指定地点收取标本</w:t>
      </w:r>
      <w:r>
        <w:rPr>
          <w:rFonts w:hint="eastAsia" w:ascii="仿宋" w:hAnsi="仿宋" w:cs="宋体"/>
          <w:szCs w:val="28"/>
        </w:rPr>
        <w:t>。</w:t>
      </w:r>
    </w:p>
    <w:bookmarkEnd w:id="23"/>
    <w:p>
      <w:pPr>
        <w:spacing w:line="500" w:lineRule="exact"/>
        <w:ind w:left="134" w:leftChars="64" w:firstLine="420" w:firstLineChars="200"/>
        <w:rPr>
          <w:rFonts w:ascii="仿宋" w:hAnsi="仿宋" w:cs="宋体"/>
          <w:szCs w:val="28"/>
        </w:rPr>
      </w:pPr>
      <w:bookmarkStart w:id="24" w:name="OLE_LINK11"/>
      <w:r>
        <w:rPr>
          <w:rFonts w:hint="eastAsia" w:ascii="仿宋" w:hAnsi="仿宋" w:cs="宋体"/>
          <w:szCs w:val="28"/>
        </w:rPr>
        <w:t>3.5 如甲方临时决定更改检测项目或者取消不做，甲方须在标本签收后</w:t>
      </w:r>
      <w:r>
        <w:rPr>
          <w:rFonts w:hint="eastAsia" w:ascii="仿宋" w:hAnsi="仿宋"/>
          <w:bCs/>
          <w:snapToGrid w:val="0"/>
          <w:spacing w:val="4"/>
          <w:kern w:val="0"/>
          <w:szCs w:val="28"/>
        </w:rPr>
        <w:t>[]</w:t>
      </w:r>
      <w:r>
        <w:rPr>
          <w:rFonts w:hint="eastAsia" w:ascii="仿宋" w:hAnsi="仿宋" w:cs="宋体"/>
          <w:szCs w:val="28"/>
        </w:rPr>
        <w:t>小时内电话或书面告知乙方，与乙方及时沟通，否则乙方有权按正常标本检测流程检测并收取对应项目检测费用。</w:t>
      </w:r>
    </w:p>
    <w:bookmarkEnd w:id="24"/>
    <w:p>
      <w:pPr>
        <w:spacing w:line="500" w:lineRule="exact"/>
        <w:ind w:left="134" w:leftChars="64" w:firstLine="420" w:firstLineChars="200"/>
        <w:rPr>
          <w:rFonts w:ascii="仿宋" w:hAnsi="仿宋" w:cs="宋体"/>
          <w:szCs w:val="28"/>
        </w:rPr>
      </w:pPr>
      <w:r>
        <w:rPr>
          <w:rFonts w:hint="eastAsia" w:ascii="仿宋" w:hAnsi="仿宋" w:cs="宋体"/>
          <w:szCs w:val="28"/>
        </w:rPr>
        <w:t>3.6 甲方对在本协议有效期内从乙方知悉的关于乙方的经营信息、检验技术信息等一切非公开的保密信息负有保密义务。未经乙方书面同意，甲方不得将上述信息以任何形式泄露给任何第三方，否则承担相应的法律责任。</w:t>
      </w:r>
    </w:p>
    <w:p>
      <w:pPr>
        <w:spacing w:line="500" w:lineRule="exact"/>
        <w:ind w:left="134" w:leftChars="64" w:firstLine="420" w:firstLineChars="200"/>
        <w:rPr>
          <w:rFonts w:ascii="仿宋" w:hAnsi="仿宋" w:cs="宋体"/>
          <w:szCs w:val="28"/>
        </w:rPr>
      </w:pPr>
      <w:bookmarkStart w:id="25" w:name="OLE_LINK12"/>
      <w:r>
        <w:rPr>
          <w:rFonts w:hint="eastAsia" w:ascii="仿宋" w:hAnsi="仿宋" w:cs="宋体"/>
          <w:szCs w:val="28"/>
        </w:rPr>
        <w:t>3.7 甲方委托乙方对超过20例样本进行检验的，需提前一天书面通知乙方，以便乙方提前做好检验准备。</w:t>
      </w:r>
      <w:bookmarkEnd w:id="25"/>
    </w:p>
    <w:p>
      <w:pPr>
        <w:spacing w:line="500" w:lineRule="exact"/>
        <w:ind w:left="134" w:leftChars="64" w:firstLine="420" w:firstLineChars="200"/>
        <w:rPr>
          <w:rFonts w:hint="eastAsia" w:ascii="仿宋" w:hAnsi="仿宋" w:cs="宋体"/>
          <w:szCs w:val="28"/>
        </w:rPr>
      </w:pPr>
      <w:r>
        <w:rPr>
          <w:rFonts w:hint="eastAsia" w:ascii="仿宋" w:hAnsi="仿宋" w:cs="宋体"/>
          <w:szCs w:val="28"/>
        </w:rPr>
        <w:t>3.8本协议有效期间，甲方不得就本协议约定的内容委托其他第三方进行检验。</w:t>
      </w:r>
      <w:r>
        <w:rPr>
          <w:rFonts w:hint="eastAsia" w:ascii="仿宋" w:hAnsi="仿宋" w:cs="仿宋"/>
          <w:sz w:val="32"/>
          <w:szCs w:val="32"/>
        </w:rPr>
        <w:t>甲方按照附件2内容，对乙方的质量和服务进行考核。</w:t>
      </w:r>
    </w:p>
    <w:p>
      <w:pPr>
        <w:pStyle w:val="7"/>
        <w:rPr>
          <w:rFonts w:hint="eastAsia"/>
        </w:rPr>
      </w:pPr>
    </w:p>
    <w:p>
      <w:pPr>
        <w:spacing w:line="500" w:lineRule="exact"/>
        <w:ind w:firstLine="438" w:firstLineChars="200"/>
        <w:rPr>
          <w:rFonts w:ascii="仿宋" w:hAnsi="仿宋" w:cs="宋体"/>
          <w:b/>
          <w:snapToGrid w:val="0"/>
          <w:spacing w:val="4"/>
          <w:kern w:val="0"/>
          <w:szCs w:val="28"/>
        </w:rPr>
      </w:pPr>
      <w:r>
        <w:rPr>
          <w:rFonts w:hint="eastAsia" w:ascii="仿宋" w:hAnsi="仿宋" w:cs="宋体"/>
          <w:b/>
          <w:snapToGrid w:val="0"/>
          <w:spacing w:val="4"/>
          <w:kern w:val="0"/>
          <w:szCs w:val="28"/>
        </w:rPr>
        <w:t>乙方</w:t>
      </w:r>
    </w:p>
    <w:p>
      <w:pPr>
        <w:spacing w:line="500" w:lineRule="exact"/>
        <w:ind w:firstLine="436" w:firstLineChars="200"/>
        <w:rPr>
          <w:rFonts w:ascii="仿宋" w:hAnsi="仿宋" w:cs="宋体"/>
          <w:szCs w:val="28"/>
        </w:rPr>
      </w:pPr>
      <w:r>
        <w:rPr>
          <w:rFonts w:hint="eastAsia" w:ascii="仿宋" w:hAnsi="仿宋" w:cs="宋体"/>
          <w:bCs/>
          <w:snapToGrid w:val="0"/>
          <w:spacing w:val="4"/>
          <w:kern w:val="0"/>
          <w:szCs w:val="28"/>
        </w:rPr>
        <w:t>3.9乙方收取样本的时间为</w:t>
      </w:r>
      <w:r>
        <w:rPr>
          <w:rFonts w:hint="eastAsia" w:ascii="仿宋" w:hAnsi="仿宋" w:cs="宋体"/>
          <w:bCs/>
          <w:snapToGrid w:val="0"/>
          <w:spacing w:val="4"/>
          <w:kern w:val="0"/>
          <w:szCs w:val="28"/>
          <w:shd w:val="pct10" w:color="auto" w:fill="FFFFFF"/>
        </w:rPr>
        <w:t>每周一、三、五</w:t>
      </w:r>
      <w:r>
        <w:rPr>
          <w:rFonts w:hint="eastAsia" w:ascii="仿宋" w:hAnsi="仿宋" w:cs="宋体"/>
          <w:bCs/>
          <w:snapToGrid w:val="0"/>
          <w:spacing w:val="4"/>
          <w:kern w:val="0"/>
          <w:szCs w:val="28"/>
        </w:rPr>
        <w:t>9：00～17：00（节假日除外），由乙方安排人员严格按约定的时间上门到甲方</w:t>
      </w:r>
      <w:r>
        <w:rPr>
          <w:rFonts w:hint="eastAsia" w:ascii="仿宋" w:hAnsi="仿宋"/>
          <w:bCs/>
          <w:snapToGrid w:val="0"/>
          <w:spacing w:val="4"/>
          <w:kern w:val="0"/>
          <w:szCs w:val="28"/>
        </w:rPr>
        <w:t>药学部药检室</w:t>
      </w:r>
      <w:r>
        <w:rPr>
          <w:rFonts w:hint="eastAsia" w:ascii="仿宋" w:hAnsi="仿宋" w:cs="宋体"/>
          <w:szCs w:val="28"/>
        </w:rPr>
        <w:t>签收</w:t>
      </w:r>
      <w:r>
        <w:rPr>
          <w:rFonts w:hint="eastAsia" w:ascii="仿宋" w:hAnsi="仿宋" w:cs="宋体"/>
          <w:bCs/>
          <w:snapToGrid w:val="0"/>
          <w:spacing w:val="4"/>
          <w:kern w:val="0"/>
          <w:szCs w:val="28"/>
        </w:rPr>
        <w:t>标本。遇不可抗拒的特殊情况，乙方不能安排人员去甲方收取标本的，必须提前一天通知并告知标本保存方式，否则，</w:t>
      </w:r>
      <w:r>
        <w:rPr>
          <w:rFonts w:hint="eastAsia" w:ascii="仿宋" w:hAnsi="仿宋" w:cs="宋体"/>
          <w:snapToGrid w:val="0"/>
          <w:spacing w:val="4"/>
          <w:kern w:val="0"/>
          <w:szCs w:val="28"/>
        </w:rPr>
        <w:t>造成不良后果的，</w:t>
      </w:r>
      <w:r>
        <w:rPr>
          <w:rFonts w:hint="eastAsia" w:ascii="仿宋" w:hAnsi="仿宋" w:cs="宋体"/>
          <w:szCs w:val="28"/>
        </w:rPr>
        <w:t>由乙方承担全部责任。</w:t>
      </w:r>
    </w:p>
    <w:p>
      <w:pPr>
        <w:spacing w:line="500" w:lineRule="exact"/>
        <w:ind w:firstLine="436" w:firstLineChars="200"/>
        <w:rPr>
          <w:rFonts w:ascii="仿宋" w:hAnsi="仿宋" w:cs="宋体"/>
          <w:bCs/>
          <w:snapToGrid w:val="0"/>
          <w:spacing w:val="4"/>
          <w:kern w:val="0"/>
          <w:szCs w:val="28"/>
        </w:rPr>
      </w:pPr>
      <w:r>
        <w:rPr>
          <w:rFonts w:hint="eastAsia" w:ascii="仿宋" w:hAnsi="仿宋" w:cs="宋体"/>
          <w:snapToGrid w:val="0"/>
          <w:spacing w:val="4"/>
          <w:kern w:val="0"/>
          <w:szCs w:val="28"/>
        </w:rPr>
        <w:t>乙方不在甲方指定的地方所收取的标本，甲方不予结算。</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3.10 在合作期间，针对送检的检测标本，乙方在出具的每一份报告单，其抬头为：中山大学孙逸仙纪念医院</w:t>
      </w:r>
      <w:r>
        <w:rPr>
          <w:rFonts w:ascii="仿宋" w:hAnsi="仿宋" w:cs="宋体"/>
          <w:bCs/>
          <w:snapToGrid w:val="0"/>
          <w:spacing w:val="4"/>
          <w:kern w:val="0"/>
          <w:szCs w:val="28"/>
        </w:rPr>
        <w:t>-</w:t>
      </w:r>
      <w:r>
        <w:rPr>
          <w:rFonts w:hint="eastAsia" w:ascii="仿宋" w:hAnsi="仿宋" w:cs="宋体"/>
          <w:bCs/>
          <w:snapToGrid w:val="0"/>
          <w:spacing w:val="4"/>
          <w:kern w:val="0"/>
          <w:szCs w:val="28"/>
        </w:rPr>
        <w:t>。</w:t>
      </w:r>
    </w:p>
    <w:p>
      <w:pPr>
        <w:spacing w:line="500" w:lineRule="exact"/>
        <w:ind w:firstLine="436" w:firstLineChars="200"/>
        <w:rPr>
          <w:rFonts w:ascii="仿宋" w:hAnsi="仿宋" w:cs="宋体"/>
          <w:szCs w:val="28"/>
        </w:rPr>
      </w:pPr>
      <w:r>
        <w:rPr>
          <w:rFonts w:ascii="仿宋" w:hAnsi="仿宋" w:cs="宋体"/>
          <w:bCs/>
          <w:snapToGrid w:val="0"/>
          <w:spacing w:val="4"/>
          <w:kern w:val="0"/>
          <w:szCs w:val="28"/>
        </w:rPr>
        <w:t>3.1</w:t>
      </w:r>
      <w:r>
        <w:rPr>
          <w:rFonts w:hint="eastAsia" w:ascii="仿宋" w:hAnsi="仿宋" w:cs="宋体"/>
          <w:bCs/>
          <w:snapToGrid w:val="0"/>
          <w:spacing w:val="4"/>
          <w:kern w:val="0"/>
          <w:szCs w:val="28"/>
        </w:rPr>
        <w:t>1</w:t>
      </w:r>
      <w:r>
        <w:rPr>
          <w:rFonts w:ascii="仿宋" w:hAnsi="仿宋" w:cs="宋体"/>
          <w:bCs/>
          <w:snapToGrid w:val="0"/>
          <w:spacing w:val="4"/>
          <w:kern w:val="0"/>
          <w:szCs w:val="28"/>
        </w:rPr>
        <w:t xml:space="preserve"> </w:t>
      </w:r>
      <w:r>
        <w:rPr>
          <w:rFonts w:hint="eastAsia" w:ascii="仿宋" w:hAnsi="仿宋" w:cs="宋体"/>
          <w:bCs/>
          <w:snapToGrid w:val="0"/>
          <w:spacing w:val="4"/>
          <w:kern w:val="0"/>
          <w:szCs w:val="28"/>
        </w:rPr>
        <w:t>乙方保证检验过程中的质量控制，在检验过程中因乙方的原因造成的检验失败由乙方负全部责任。</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3.12 如因标本量不够，甲方如在标本送检当天通知乙方决定取消不做，则乙方不收取检测费用；如甲方重新补足合格标本送检，则正常收费。</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3.13 乙方有为甲方保密的义务，在未经甲方同意或授权下，乙方不得向甲方以外的任何单位或个人泄露甲方委托检测的任何信息。</w:t>
      </w:r>
      <w:bookmarkStart w:id="26" w:name="OLE_LINK4"/>
    </w:p>
    <w:p>
      <w:pPr>
        <w:spacing w:line="500" w:lineRule="exact"/>
        <w:ind w:firstLine="436" w:firstLineChars="200"/>
        <w:rPr>
          <w:rFonts w:ascii="仿宋" w:hAnsi="仿宋" w:cs="宋体"/>
          <w:szCs w:val="28"/>
        </w:rPr>
      </w:pPr>
      <w:r>
        <w:rPr>
          <w:rFonts w:hint="eastAsia" w:ascii="仿宋" w:hAnsi="仿宋" w:cs="宋体"/>
          <w:bCs/>
          <w:snapToGrid w:val="0"/>
          <w:spacing w:val="4"/>
          <w:kern w:val="0"/>
          <w:szCs w:val="28"/>
        </w:rPr>
        <w:t>3.14 乙方原则上使用电子签名签发报告，如暂未具备电子签名的条件，可试用纸质签名报告，但报告送达的时间必须约定的时间内；乙方保证与甲方进行网络对接，实现网上查询结果，并可在甲方进行报告单打印。与乙方合作过程中，</w:t>
      </w:r>
      <w:r>
        <w:rPr>
          <w:rFonts w:ascii="仿宋" w:hAnsi="仿宋" w:cs="宋体"/>
          <w:bCs/>
          <w:snapToGrid w:val="0"/>
          <w:spacing w:val="4"/>
          <w:kern w:val="0"/>
          <w:szCs w:val="28"/>
        </w:rPr>
        <w:t>甲方</w:t>
      </w:r>
      <w:r>
        <w:rPr>
          <w:rFonts w:hint="eastAsia" w:ascii="仿宋" w:hAnsi="仿宋" w:cs="宋体"/>
          <w:bCs/>
          <w:snapToGrid w:val="0"/>
          <w:spacing w:val="4"/>
          <w:kern w:val="0"/>
          <w:szCs w:val="28"/>
        </w:rPr>
        <w:t>保证其使用的</w:t>
      </w:r>
      <w:r>
        <w:rPr>
          <w:rFonts w:ascii="仿宋" w:hAnsi="仿宋" w:cs="宋体"/>
          <w:bCs/>
          <w:snapToGrid w:val="0"/>
          <w:spacing w:val="4"/>
          <w:kern w:val="0"/>
          <w:szCs w:val="28"/>
        </w:rPr>
        <w:t>软件包括但不限于系统端口、系统对接等</w:t>
      </w:r>
      <w:r>
        <w:rPr>
          <w:rFonts w:hint="eastAsia" w:ascii="仿宋" w:hAnsi="仿宋" w:cs="宋体"/>
          <w:bCs/>
          <w:snapToGrid w:val="0"/>
          <w:spacing w:val="4"/>
          <w:kern w:val="0"/>
          <w:szCs w:val="28"/>
        </w:rPr>
        <w:t>知识产权是合法使用</w:t>
      </w:r>
      <w:r>
        <w:rPr>
          <w:rFonts w:ascii="仿宋" w:hAnsi="仿宋" w:cs="宋体"/>
          <w:bCs/>
          <w:snapToGrid w:val="0"/>
          <w:spacing w:val="4"/>
          <w:kern w:val="0"/>
          <w:szCs w:val="28"/>
        </w:rPr>
        <w:t>，</w:t>
      </w:r>
      <w:r>
        <w:rPr>
          <w:rFonts w:hint="eastAsia" w:ascii="仿宋" w:hAnsi="仿宋" w:cs="宋体"/>
          <w:bCs/>
          <w:snapToGrid w:val="0"/>
          <w:spacing w:val="4"/>
          <w:kern w:val="0"/>
          <w:szCs w:val="28"/>
        </w:rPr>
        <w:t>未侵犯任何第三人的合法权利，</w:t>
      </w:r>
      <w:r>
        <w:rPr>
          <w:rFonts w:ascii="仿宋" w:hAnsi="仿宋" w:cs="宋体"/>
          <w:bCs/>
          <w:snapToGrid w:val="0"/>
          <w:spacing w:val="4"/>
          <w:kern w:val="0"/>
          <w:szCs w:val="28"/>
        </w:rPr>
        <w:t>否则，甲方承担所有责任</w:t>
      </w:r>
      <w:r>
        <w:rPr>
          <w:rFonts w:hint="eastAsia" w:ascii="仿宋" w:hAnsi="仿宋" w:cs="宋体"/>
          <w:bCs/>
          <w:snapToGrid w:val="0"/>
          <w:spacing w:val="4"/>
          <w:kern w:val="0"/>
          <w:szCs w:val="28"/>
        </w:rPr>
        <w:t>。</w:t>
      </w:r>
    </w:p>
    <w:bookmarkEnd w:id="26"/>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3.15 建立快速的客户服务反应机制，如有针对乙方或甲、乙双方的投诉或需处理的情况，乙方须派代表在半日内到达医院及时沟通处理；若主要针对甲方的投诉或需处理的情况，乙方有义务协助甲方及时沟通处理。</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3.16 免费服务热线：</w:t>
      </w:r>
      <w:r>
        <w:rPr>
          <w:rFonts w:ascii="仿宋" w:hAnsi="仿宋" w:cs="宋体"/>
          <w:bCs/>
          <w:snapToGrid w:val="0"/>
          <w:spacing w:val="4"/>
          <w:kern w:val="0"/>
          <w:szCs w:val="28"/>
        </w:rPr>
        <w:t>[]</w:t>
      </w:r>
      <w:r>
        <w:rPr>
          <w:rFonts w:hint="eastAsia" w:ascii="仿宋" w:hAnsi="仿宋" w:cs="宋体"/>
          <w:bCs/>
          <w:snapToGrid w:val="0"/>
          <w:spacing w:val="4"/>
          <w:kern w:val="0"/>
          <w:szCs w:val="28"/>
        </w:rPr>
        <w:t>，如需要查询结果或复查，乙方客户服务中心专人跟进处理。</w:t>
      </w:r>
    </w:p>
    <w:p>
      <w:pPr>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3.17 乙方对甲方送检的合格样本结果进行负责，对于按照乙方取材要求进行取材的合格样本，若因乙方原因导致检测结果存在质量问题，由乙方承担相关责任。</w:t>
      </w:r>
    </w:p>
    <w:p>
      <w:pPr>
        <w:spacing w:line="360" w:lineRule="auto"/>
        <w:ind w:firstLine="436" w:firstLineChars="200"/>
        <w:rPr>
          <w:rFonts w:ascii="仿宋" w:hAnsi="仿宋" w:cs="宋体"/>
          <w:szCs w:val="28"/>
        </w:rPr>
      </w:pPr>
      <w:bookmarkStart w:id="27" w:name="OLE_LINK5"/>
      <w:r>
        <w:rPr>
          <w:rFonts w:ascii="仿宋" w:hAnsi="仿宋" w:cs="宋体"/>
          <w:bCs/>
          <w:snapToGrid w:val="0"/>
          <w:spacing w:val="4"/>
          <w:kern w:val="0"/>
          <w:szCs w:val="28"/>
        </w:rPr>
        <w:t>3</w:t>
      </w:r>
      <w:r>
        <w:rPr>
          <w:rFonts w:ascii="仿宋" w:hAnsi="仿宋" w:cs="宋体"/>
          <w:szCs w:val="28"/>
        </w:rPr>
        <w:t>.1</w:t>
      </w:r>
      <w:r>
        <w:rPr>
          <w:rFonts w:hint="eastAsia" w:ascii="仿宋" w:hAnsi="仿宋" w:cs="宋体"/>
          <w:szCs w:val="28"/>
        </w:rPr>
        <w:t>8</w:t>
      </w:r>
      <w:r>
        <w:rPr>
          <w:rFonts w:ascii="仿宋" w:hAnsi="仿宋" w:cs="宋体"/>
          <w:szCs w:val="28"/>
        </w:rPr>
        <w:t xml:space="preserve"> 乙</w:t>
      </w:r>
      <w:bookmarkStart w:id="28" w:name="OLE_LINK15"/>
      <w:r>
        <w:rPr>
          <w:rFonts w:hint="eastAsia" w:ascii="仿宋" w:hAnsi="仿宋" w:cs="宋体"/>
          <w:szCs w:val="28"/>
        </w:rPr>
        <w:t>方定期安排相关的专家与甲方进行学术讲座、学术交流、培训等。</w:t>
      </w:r>
      <w:bookmarkEnd w:id="27"/>
    </w:p>
    <w:p>
      <w:pPr>
        <w:spacing w:line="360" w:lineRule="auto"/>
        <w:ind w:firstLine="420" w:firstLineChars="200"/>
        <w:rPr>
          <w:rFonts w:ascii="仿宋" w:hAnsi="仿宋" w:cs="宋体"/>
          <w:szCs w:val="28"/>
        </w:rPr>
      </w:pPr>
      <w:r>
        <w:rPr>
          <w:rFonts w:hint="eastAsia" w:ascii="仿宋" w:hAnsi="仿宋" w:cs="宋体"/>
          <w:szCs w:val="28"/>
        </w:rPr>
        <w:t>3.19 乙方检测后的标本由乙方依法处置，乙方按照国家法律法规及相关行业规定的保存期限保存</w:t>
      </w:r>
      <w:bookmarkEnd w:id="28"/>
      <w:r>
        <w:rPr>
          <w:rFonts w:hint="eastAsia" w:ascii="仿宋" w:hAnsi="仿宋" w:cs="宋体"/>
          <w:szCs w:val="28"/>
        </w:rPr>
        <w:t>及处理标本，甲方如对乙方出具的检测结果有异议，应在标本保存期限内提出，否则，视为甲方对乙方出具的检测结果无异议。</w:t>
      </w:r>
      <w:bookmarkStart w:id="29" w:name="OLE_LINK14"/>
    </w:p>
    <w:p>
      <w:pPr>
        <w:widowControl/>
        <w:ind w:firstLine="420" w:firstLineChars="200"/>
        <w:jc w:val="left"/>
        <w:rPr>
          <w:rFonts w:ascii="仿宋" w:hAnsi="仿宋" w:cs="宋体"/>
          <w:szCs w:val="28"/>
        </w:rPr>
      </w:pPr>
      <w:bookmarkStart w:id="30" w:name="OLE_LINK16"/>
      <w:r>
        <w:rPr>
          <w:rFonts w:hint="eastAsia" w:ascii="仿宋" w:hAnsi="仿宋" w:cs="宋体"/>
          <w:szCs w:val="28"/>
        </w:rPr>
        <w:t xml:space="preserve">3.20 </w:t>
      </w:r>
      <w:r>
        <w:rPr>
          <w:rFonts w:ascii="仿宋" w:hAnsi="仿宋" w:cs="宋体"/>
          <w:szCs w:val="28"/>
        </w:rPr>
        <w:t>乙方</w:t>
      </w:r>
      <w:r>
        <w:rPr>
          <w:rFonts w:hint="eastAsia" w:ascii="仿宋" w:hAnsi="仿宋" w:cs="宋体"/>
          <w:szCs w:val="28"/>
        </w:rPr>
        <w:t>应</w:t>
      </w:r>
      <w:r>
        <w:rPr>
          <w:rFonts w:ascii="仿宋" w:hAnsi="仿宋" w:cs="宋体"/>
          <w:szCs w:val="28"/>
        </w:rPr>
        <w:t>保证其应用到本项目的专利、技术</w:t>
      </w:r>
      <w:r>
        <w:rPr>
          <w:rFonts w:hint="eastAsia" w:ascii="仿宋" w:hAnsi="仿宋" w:cs="宋体"/>
          <w:szCs w:val="28"/>
        </w:rPr>
        <w:t>未侵犯第三方的合法权益</w:t>
      </w:r>
      <w:r>
        <w:rPr>
          <w:rFonts w:ascii="仿宋" w:hAnsi="仿宋" w:cs="宋体"/>
          <w:szCs w:val="28"/>
        </w:rPr>
        <w:t>。如因实施该专利技术引发侵权纠纷时，甲方有权向乙方追究责任，并向乙方索赔甲方因此受到的全部损失，包括但不限于停业整顿损失、门诊部经营损失等，且甲方有权从甲乙双方约定的利润分成中直接扣除乙方收入的该部分款项。</w:t>
      </w:r>
    </w:p>
    <w:p>
      <w:pPr>
        <w:widowControl/>
        <w:ind w:firstLine="420" w:firstLineChars="200"/>
        <w:jc w:val="left"/>
        <w:rPr>
          <w:rFonts w:ascii="仿宋" w:hAnsi="仿宋" w:cs="宋体"/>
          <w:szCs w:val="28"/>
        </w:rPr>
      </w:pPr>
      <w:r>
        <w:rPr>
          <w:rFonts w:hint="eastAsia" w:ascii="仿宋" w:hAnsi="仿宋" w:cs="宋体"/>
          <w:szCs w:val="28"/>
        </w:rPr>
        <w:t xml:space="preserve">3.21 </w:t>
      </w:r>
      <w:r>
        <w:rPr>
          <w:rFonts w:hint="eastAsia" w:ascii="仿宋" w:hAnsi="仿宋"/>
          <w:szCs w:val="30"/>
        </w:rPr>
        <w:t>乙方有义务要保证检验过程中的质量控制。</w:t>
      </w:r>
    </w:p>
    <w:p>
      <w:pPr>
        <w:widowControl/>
        <w:ind w:firstLine="420" w:firstLineChars="200"/>
        <w:jc w:val="left"/>
        <w:rPr>
          <w:rFonts w:ascii="仿宋" w:hAnsi="仿宋"/>
          <w:szCs w:val="30"/>
        </w:rPr>
      </w:pPr>
      <w:r>
        <w:rPr>
          <w:rFonts w:hint="eastAsia" w:ascii="仿宋" w:hAnsi="仿宋"/>
          <w:szCs w:val="30"/>
        </w:rPr>
        <w:t>若甲方患者对乙方出具的检测结果存有异议，因患者有充足的证据证明乙方所提供的检测结果有误导致甲方赔偿的，经法定的医疗争议解决途径确认甲方损失后，乙方对甲方予以赔偿；或者乙方无法协助甲方证明所出具结果准确性如无法提供留存的标本委托法定的第三方检验、检测机构再次检验等，导致通过法定的医疗争议解决途径，甲方需要向检测患者或近亲属承担赔付责任的，乙方需要全数承担甲方的经济损失。</w:t>
      </w:r>
    </w:p>
    <w:p>
      <w:pPr>
        <w:widowControl/>
        <w:ind w:firstLine="420" w:firstLineChars="200"/>
        <w:jc w:val="left"/>
        <w:rPr>
          <w:rFonts w:ascii="仿宋" w:hAnsi="仿宋" w:cs="宋体"/>
          <w:szCs w:val="28"/>
        </w:rPr>
      </w:pPr>
    </w:p>
    <w:bookmarkEnd w:id="29"/>
    <w:bookmarkEnd w:id="30"/>
    <w:p>
      <w:pPr>
        <w:rPr>
          <w:rFonts w:ascii="仿宋" w:hAnsi="仿宋" w:cs="宋体"/>
          <w:b/>
          <w:snapToGrid w:val="0"/>
          <w:spacing w:val="4"/>
          <w:kern w:val="0"/>
          <w:szCs w:val="28"/>
        </w:rPr>
      </w:pPr>
      <w:r>
        <w:rPr>
          <w:rFonts w:hint="eastAsia" w:ascii="仿宋" w:hAnsi="仿宋" w:cs="宋体"/>
          <w:b/>
          <w:snapToGrid w:val="0"/>
          <w:spacing w:val="4"/>
          <w:kern w:val="0"/>
          <w:szCs w:val="28"/>
        </w:rPr>
        <w:t>4、结算价格</w:t>
      </w:r>
    </w:p>
    <w:p>
      <w:pPr>
        <w:pStyle w:val="12"/>
        <w:ind w:firstLine="560" w:firstLineChars="200"/>
        <w:rPr>
          <w:rFonts w:hint="eastAsia" w:ascii="仿宋" w:hAnsi="仿宋" w:eastAsia="仿宋" w:cs="宋体"/>
          <w:sz w:val="28"/>
          <w:szCs w:val="28"/>
        </w:rPr>
      </w:pPr>
      <w:r>
        <w:rPr>
          <w:rFonts w:hint="eastAsia" w:ascii="仿宋" w:hAnsi="仿宋" w:eastAsia="仿宋" w:cs="宋体"/>
          <w:sz w:val="28"/>
          <w:szCs w:val="28"/>
        </w:rPr>
        <w:t>收费执行省物价局《中央、军队、武警省属驻穗非营利性医疗机构医疗服务价格》，由甲方收取检验检查费。双方有义务根据政府有关部门物价调整的通知对甲方收取检验检查费做出相应的调整，调整价格另行协商并以补充协议的形式约定。</w:t>
      </w:r>
    </w:p>
    <w:p>
      <w:pPr>
        <w:pStyle w:val="12"/>
        <w:ind w:firstLine="560" w:firstLineChars="200"/>
        <w:rPr>
          <w:rFonts w:hint="eastAsia" w:ascii="仿宋" w:hAnsi="仿宋" w:eastAsia="仿宋" w:cs="宋体"/>
          <w:sz w:val="28"/>
          <w:szCs w:val="28"/>
        </w:rPr>
      </w:pPr>
    </w:p>
    <w:p>
      <w:pPr>
        <w:pStyle w:val="12"/>
        <w:ind w:firstLine="562" w:firstLineChars="0"/>
        <w:rPr>
          <w:rFonts w:hint="eastAsia" w:ascii="仿宋" w:hAnsi="仿宋" w:eastAsia="仿宋" w:cs="宋体"/>
          <w:b/>
          <w:sz w:val="28"/>
          <w:szCs w:val="28"/>
        </w:rPr>
      </w:pPr>
      <w:r>
        <w:rPr>
          <w:rFonts w:hint="eastAsia" w:ascii="仿宋" w:hAnsi="仿宋" w:eastAsia="仿宋" w:cs="宋体"/>
          <w:b/>
          <w:sz w:val="28"/>
          <w:szCs w:val="28"/>
        </w:rPr>
        <w:t>5、保密条款</w:t>
      </w:r>
    </w:p>
    <w:p>
      <w:pPr>
        <w:pStyle w:val="12"/>
        <w:ind w:firstLine="560" w:firstLineChars="200"/>
        <w:rPr>
          <w:rFonts w:hint="eastAsia" w:ascii="仿宋" w:hAnsi="仿宋" w:eastAsia="仿宋" w:cs="宋体"/>
          <w:sz w:val="28"/>
          <w:szCs w:val="28"/>
        </w:rPr>
      </w:pPr>
      <w:r>
        <w:rPr>
          <w:rFonts w:hint="eastAsia" w:ascii="仿宋" w:hAnsi="仿宋" w:eastAsia="仿宋" w:cs="宋体"/>
          <w:sz w:val="28"/>
          <w:szCs w:val="28"/>
        </w:rPr>
        <w:t>5.1 在合作期内及以后，协议内容及双方相关资料（包括但不限于各类数据、检测报告、价格、商业信息）皆为保密资料，除非保密资料已通过正当途径为公众所知，或除非由拥有资料一方事先书面授权透露，双方均应各自对保密资料保密，不得向除两方以外的任何其他方透露，也不得将保密资料用于与本协议条款和条件不相符合的任何目的，但依照适用法律规定或司法机关要求而必须公开的除外。</w:t>
      </w:r>
    </w:p>
    <w:p>
      <w:pPr>
        <w:pStyle w:val="12"/>
        <w:ind w:firstLine="560" w:firstLineChars="200"/>
        <w:rPr>
          <w:rFonts w:hint="eastAsia" w:ascii="仿宋" w:hAnsi="仿宋" w:eastAsia="仿宋" w:cs="宋体"/>
          <w:sz w:val="28"/>
          <w:szCs w:val="28"/>
        </w:rPr>
      </w:pPr>
      <w:r>
        <w:rPr>
          <w:rFonts w:hint="eastAsia" w:ascii="仿宋" w:hAnsi="仿宋" w:eastAsia="仿宋" w:cs="宋体"/>
          <w:sz w:val="28"/>
          <w:szCs w:val="28"/>
        </w:rPr>
        <w:t>5.2 双方保证，对于受检者所有信息保密，除非该信息已经由受检者主动公开，或依照适用法律规定或司法机关要求而必须公开的除外。本协议规定的保密义务应在协议终止后，直至相关资料依法成为公知信息之前一直持续有效。</w:t>
      </w:r>
    </w:p>
    <w:p>
      <w:pPr>
        <w:pStyle w:val="12"/>
        <w:ind w:firstLine="560" w:firstLineChars="200"/>
        <w:rPr>
          <w:rFonts w:ascii="仿宋" w:hAnsi="仿宋" w:eastAsia="仿宋" w:cs="宋体"/>
          <w:sz w:val="28"/>
          <w:szCs w:val="28"/>
        </w:rPr>
      </w:pPr>
    </w:p>
    <w:p>
      <w:pPr>
        <w:pStyle w:val="12"/>
        <w:ind w:firstLine="576" w:firstLineChars="200"/>
        <w:rPr>
          <w:rFonts w:ascii="仿宋" w:hAnsi="仿宋" w:eastAsia="仿宋" w:cs="宋体"/>
          <w:bCs/>
          <w:snapToGrid w:val="0"/>
          <w:spacing w:val="4"/>
          <w:sz w:val="28"/>
          <w:szCs w:val="28"/>
        </w:rPr>
      </w:pPr>
    </w:p>
    <w:p>
      <w:pPr>
        <w:rPr>
          <w:rFonts w:ascii="仿宋" w:hAnsi="仿宋" w:cs="宋体"/>
          <w:b/>
          <w:snapToGrid w:val="0"/>
          <w:spacing w:val="4"/>
          <w:kern w:val="0"/>
          <w:szCs w:val="28"/>
        </w:rPr>
      </w:pPr>
      <w:r>
        <w:rPr>
          <w:rFonts w:hint="eastAsia" w:ascii="仿宋" w:hAnsi="仿宋" w:cs="宋体"/>
          <w:b/>
          <w:snapToGrid w:val="0"/>
          <w:spacing w:val="4"/>
          <w:kern w:val="0"/>
          <w:szCs w:val="28"/>
        </w:rPr>
        <w:t>6、结算方式：</w:t>
      </w:r>
    </w:p>
    <w:p>
      <w:pPr>
        <w:ind w:firstLine="525" w:firstLineChars="250"/>
        <w:rPr>
          <w:rFonts w:ascii="仿宋" w:hAnsi="仿宋" w:cs="宋体"/>
          <w:szCs w:val="28"/>
        </w:rPr>
      </w:pPr>
      <w:r>
        <w:rPr>
          <w:rFonts w:hint="eastAsia" w:ascii="仿宋" w:hAnsi="仿宋" w:cs="宋体"/>
          <w:szCs w:val="28"/>
        </w:rPr>
        <w:t>乙方对标本进行检查后，一次性凭检查的统计表并开具相应的发票到甲方核对送检数量，经甲方相关科室核实后再到财务科结算，甲方财务与资产管理部按总金额的</w:t>
      </w:r>
      <w:r>
        <w:rPr>
          <w:rFonts w:hint="eastAsia" w:ascii="仿宋" w:hAnsi="仿宋" w:cs="宋体"/>
          <w:szCs w:val="28"/>
          <w:u w:val="single"/>
        </w:rPr>
        <w:t xml:space="preserve"> </w:t>
      </w:r>
      <w:r>
        <w:rPr>
          <w:rFonts w:ascii="仿宋" w:hAnsi="仿宋" w:cs="宋体"/>
          <w:szCs w:val="28"/>
          <w:u w:val="single"/>
        </w:rPr>
        <w:t xml:space="preserve">    </w:t>
      </w:r>
      <w:r>
        <w:rPr>
          <w:rFonts w:ascii="仿宋" w:hAnsi="仿宋" w:cs="宋体"/>
          <w:szCs w:val="28"/>
        </w:rPr>
        <w:t>%</w:t>
      </w:r>
      <w:r>
        <w:rPr>
          <w:rFonts w:hint="eastAsia" w:ascii="仿宋" w:hAnsi="仿宋" w:cs="宋体"/>
          <w:szCs w:val="28"/>
        </w:rPr>
        <w:t>的结算比例支付给乙方，可以银行转账或支票方式实现，以账款到达乙方账户时间为准。双方银行账户如下：</w:t>
      </w:r>
    </w:p>
    <w:p>
      <w:pPr>
        <w:ind w:firstLine="620" w:firstLineChars="250"/>
        <w:rPr>
          <w:rFonts w:hint="eastAsia" w:ascii="仿宋" w:hAnsi="仿宋" w:cs="宋体"/>
          <w:bCs/>
          <w:snapToGrid w:val="0"/>
          <w:spacing w:val="4"/>
          <w:kern w:val="0"/>
          <w:sz w:val="24"/>
          <w:szCs w:val="28"/>
        </w:rPr>
      </w:pPr>
    </w:p>
    <w:p>
      <w:pPr>
        <w:rPr>
          <w:rFonts w:ascii="仿宋" w:hAnsi="仿宋" w:cs="宋体"/>
          <w:bCs/>
          <w:snapToGrid w:val="0"/>
          <w:spacing w:val="4"/>
          <w:kern w:val="0"/>
          <w:sz w:val="24"/>
        </w:rPr>
      </w:pPr>
      <w:r>
        <w:rPr>
          <w:rFonts w:hint="eastAsia" w:ascii="仿宋" w:hAnsi="仿宋" w:cs="宋体"/>
          <w:bCs/>
          <w:snapToGrid w:val="0"/>
          <w:spacing w:val="4"/>
          <w:kern w:val="0"/>
          <w:sz w:val="24"/>
        </w:rPr>
        <w:t xml:space="preserve">甲方：中山大学孙逸仙纪念医院  </w:t>
      </w:r>
      <w:r>
        <w:rPr>
          <w:rFonts w:ascii="仿宋" w:hAnsi="仿宋" w:cs="宋体"/>
          <w:bCs/>
          <w:snapToGrid w:val="0"/>
          <w:spacing w:val="4"/>
          <w:kern w:val="0"/>
          <w:sz w:val="24"/>
        </w:rPr>
        <w:t xml:space="preserve"> </w:t>
      </w:r>
      <w:r>
        <w:rPr>
          <w:rFonts w:hint="eastAsia" w:ascii="仿宋" w:hAnsi="仿宋" w:cs="宋体"/>
          <w:bCs/>
          <w:snapToGrid w:val="0"/>
          <w:spacing w:val="4"/>
          <w:kern w:val="0"/>
          <w:sz w:val="24"/>
        </w:rPr>
        <w:t>乙方：</w:t>
      </w:r>
    </w:p>
    <w:p>
      <w:pPr>
        <w:rPr>
          <w:rFonts w:ascii="仿宋" w:hAnsi="仿宋" w:cs="宋体"/>
          <w:bCs/>
          <w:snapToGrid w:val="0"/>
          <w:spacing w:val="4"/>
          <w:kern w:val="0"/>
          <w:sz w:val="24"/>
        </w:rPr>
      </w:pPr>
    </w:p>
    <w:p>
      <w:pPr>
        <w:rPr>
          <w:rFonts w:ascii="仿宋" w:hAnsi="仿宋" w:cs="宋体"/>
          <w:bCs/>
          <w:snapToGrid w:val="0"/>
          <w:spacing w:val="4"/>
          <w:kern w:val="0"/>
          <w:sz w:val="24"/>
        </w:rPr>
      </w:pPr>
      <w:r>
        <w:rPr>
          <w:rFonts w:hint="eastAsia" w:ascii="仿宋" w:hAnsi="仿宋" w:cs="宋体"/>
          <w:bCs/>
          <w:snapToGrid w:val="0"/>
          <w:spacing w:val="4"/>
          <w:kern w:val="0"/>
          <w:sz w:val="24"/>
        </w:rPr>
        <w:t xml:space="preserve">户名： </w:t>
      </w:r>
      <w:r>
        <w:rPr>
          <w:rFonts w:ascii="仿宋" w:hAnsi="仿宋" w:cs="宋体"/>
          <w:bCs/>
          <w:snapToGrid w:val="0"/>
          <w:spacing w:val="4"/>
          <w:kern w:val="0"/>
          <w:sz w:val="24"/>
        </w:rPr>
        <w:t xml:space="preserve">                    </w:t>
      </w:r>
      <w:r>
        <w:rPr>
          <w:rFonts w:hint="eastAsia" w:ascii="仿宋" w:hAnsi="仿宋" w:cs="宋体"/>
          <w:bCs/>
          <w:snapToGrid w:val="0"/>
          <w:spacing w:val="4"/>
          <w:kern w:val="0"/>
          <w:sz w:val="24"/>
        </w:rPr>
        <w:t xml:space="preserve">   户名：</w:t>
      </w:r>
    </w:p>
    <w:p>
      <w:pPr>
        <w:rPr>
          <w:rFonts w:hint="eastAsia" w:ascii="仿宋" w:hAnsi="仿宋" w:cs="宋体"/>
          <w:bCs/>
          <w:snapToGrid w:val="0"/>
          <w:spacing w:val="4"/>
          <w:kern w:val="0"/>
          <w:sz w:val="24"/>
        </w:rPr>
      </w:pPr>
    </w:p>
    <w:p>
      <w:pPr>
        <w:ind w:left="4960" w:hanging="4960" w:hangingChars="2000"/>
        <w:rPr>
          <w:rFonts w:ascii="仿宋" w:hAnsi="仿宋" w:cs="宋体"/>
          <w:sz w:val="24"/>
        </w:rPr>
      </w:pPr>
      <w:r>
        <w:rPr>
          <w:rFonts w:hint="eastAsia" w:ascii="仿宋" w:hAnsi="仿宋" w:cs="宋体"/>
          <w:bCs/>
          <w:snapToGrid w:val="0"/>
          <w:spacing w:val="4"/>
          <w:kern w:val="0"/>
          <w:sz w:val="24"/>
        </w:rPr>
        <w:t xml:space="preserve">开户行： </w:t>
      </w:r>
      <w:r>
        <w:rPr>
          <w:rFonts w:ascii="仿宋" w:hAnsi="仿宋" w:cs="宋体"/>
          <w:bCs/>
          <w:snapToGrid w:val="0"/>
          <w:spacing w:val="4"/>
          <w:kern w:val="0"/>
          <w:sz w:val="24"/>
        </w:rPr>
        <w:t xml:space="preserve">                     开户行：</w:t>
      </w:r>
    </w:p>
    <w:p>
      <w:pPr>
        <w:rPr>
          <w:rFonts w:ascii="仿宋" w:hAnsi="仿宋" w:cs="宋体"/>
          <w:sz w:val="24"/>
        </w:rPr>
      </w:pPr>
    </w:p>
    <w:p>
      <w:pPr>
        <w:rPr>
          <w:rFonts w:hint="eastAsia" w:ascii="仿宋" w:hAnsi="仿宋" w:cs="宋体"/>
          <w:bCs/>
          <w:snapToGrid w:val="0"/>
          <w:spacing w:val="4"/>
          <w:kern w:val="0"/>
          <w:sz w:val="24"/>
        </w:rPr>
      </w:pPr>
      <w:r>
        <w:rPr>
          <w:rFonts w:hint="eastAsia" w:ascii="仿宋" w:hAnsi="仿宋" w:cs="宋体"/>
          <w:bCs/>
          <w:snapToGrid w:val="0"/>
          <w:spacing w:val="4"/>
          <w:kern w:val="0"/>
          <w:sz w:val="24"/>
        </w:rPr>
        <w:t>账号：</w:t>
      </w:r>
      <w:r>
        <w:rPr>
          <w:rFonts w:ascii="仿宋" w:hAnsi="仿宋" w:cs="宋体"/>
          <w:bCs/>
          <w:snapToGrid w:val="0"/>
          <w:spacing w:val="4"/>
          <w:kern w:val="0"/>
          <w:sz w:val="24"/>
        </w:rPr>
        <w:t xml:space="preserve">                        </w:t>
      </w:r>
      <w:r>
        <w:rPr>
          <w:rFonts w:hint="eastAsia" w:ascii="仿宋" w:hAnsi="仿宋" w:cs="宋体"/>
          <w:bCs/>
          <w:snapToGrid w:val="0"/>
          <w:spacing w:val="4"/>
          <w:kern w:val="0"/>
          <w:sz w:val="24"/>
        </w:rPr>
        <w:t>账号：</w:t>
      </w:r>
    </w:p>
    <w:p>
      <w:pPr>
        <w:ind w:left="27" w:leftChars="13" w:firstLine="436" w:firstLineChars="200"/>
        <w:rPr>
          <w:rFonts w:ascii="仿宋" w:hAnsi="仿宋" w:cs="宋体"/>
          <w:bCs/>
          <w:snapToGrid w:val="0"/>
          <w:spacing w:val="4"/>
          <w:kern w:val="0"/>
          <w:szCs w:val="28"/>
        </w:rPr>
      </w:pPr>
    </w:p>
    <w:p>
      <w:pPr>
        <w:ind w:left="27" w:leftChars="13"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双方业务往来以对公账号为准，如有变更或委托第三方支付的，需向另一方出具《授权委托书》或《情况说明书》。</w:t>
      </w:r>
    </w:p>
    <w:p>
      <w:pPr>
        <w:rPr>
          <w:rFonts w:ascii="仿宋" w:hAnsi="仿宋" w:cs="宋体"/>
          <w:b/>
          <w:snapToGrid w:val="0"/>
          <w:spacing w:val="4"/>
          <w:kern w:val="0"/>
          <w:szCs w:val="28"/>
        </w:rPr>
      </w:pPr>
    </w:p>
    <w:p>
      <w:pPr>
        <w:rPr>
          <w:rFonts w:ascii="仿宋" w:hAnsi="仿宋" w:cs="宋体"/>
          <w:b/>
          <w:snapToGrid w:val="0"/>
          <w:spacing w:val="4"/>
          <w:kern w:val="0"/>
          <w:szCs w:val="28"/>
        </w:rPr>
      </w:pPr>
      <w:r>
        <w:rPr>
          <w:rFonts w:hint="eastAsia" w:ascii="仿宋" w:hAnsi="仿宋" w:cs="宋体"/>
          <w:b/>
          <w:snapToGrid w:val="0"/>
          <w:spacing w:val="4"/>
          <w:kern w:val="0"/>
          <w:szCs w:val="28"/>
        </w:rPr>
        <w:t>7、违约责任</w:t>
      </w:r>
    </w:p>
    <w:p>
      <w:pPr>
        <w:ind w:right="210" w:rightChars="100"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如果甲、乙双方任何一方因违反上述协议而引起医疗纠纷的，另一方有权要求违约方赔偿由此造成的损失及承担相应责任。</w:t>
      </w:r>
    </w:p>
    <w:p>
      <w:pPr>
        <w:ind w:right="210" w:rightChars="100"/>
        <w:rPr>
          <w:rFonts w:ascii="仿宋" w:hAnsi="仿宋" w:cs="宋体"/>
          <w:bCs/>
          <w:snapToGrid w:val="0"/>
          <w:spacing w:val="4"/>
          <w:kern w:val="0"/>
          <w:szCs w:val="28"/>
        </w:rPr>
      </w:pPr>
    </w:p>
    <w:p>
      <w:pPr>
        <w:rPr>
          <w:rFonts w:ascii="仿宋" w:hAnsi="仿宋" w:cs="宋体"/>
          <w:b/>
          <w:snapToGrid w:val="0"/>
          <w:spacing w:val="4"/>
          <w:kern w:val="0"/>
          <w:szCs w:val="28"/>
        </w:rPr>
      </w:pPr>
      <w:r>
        <w:rPr>
          <w:rFonts w:hint="eastAsia" w:ascii="仿宋" w:hAnsi="仿宋" w:cs="宋体"/>
          <w:b/>
          <w:snapToGrid w:val="0"/>
          <w:spacing w:val="4"/>
          <w:kern w:val="0"/>
          <w:szCs w:val="28"/>
        </w:rPr>
        <w:t>8、争议解决方式</w:t>
      </w:r>
    </w:p>
    <w:p>
      <w:pPr>
        <w:ind w:firstLine="420" w:firstLineChars="200"/>
        <w:jc w:val="left"/>
        <w:rPr>
          <w:rFonts w:ascii="仿宋" w:hAnsi="仿宋" w:cs="宋体"/>
          <w:szCs w:val="28"/>
        </w:rPr>
      </w:pPr>
      <w:r>
        <w:rPr>
          <w:rFonts w:hint="eastAsia" w:ascii="仿宋" w:hAnsi="仿宋" w:cs="宋体"/>
          <w:szCs w:val="28"/>
        </w:rPr>
        <w:t>未尽事宜及在本协议履行过程中出现的争议，由双方友好协商解决。协商不能解决的，在甲方所在地通过诉讼途径解决。</w:t>
      </w:r>
    </w:p>
    <w:p>
      <w:pPr>
        <w:jc w:val="left"/>
        <w:rPr>
          <w:rFonts w:ascii="仿宋" w:hAnsi="仿宋" w:cs="宋体"/>
          <w:b/>
          <w:bCs/>
          <w:szCs w:val="28"/>
        </w:rPr>
      </w:pPr>
    </w:p>
    <w:p>
      <w:pPr>
        <w:jc w:val="left"/>
        <w:rPr>
          <w:rFonts w:ascii="仿宋" w:hAnsi="仿宋" w:cs="宋体"/>
          <w:szCs w:val="28"/>
        </w:rPr>
      </w:pPr>
      <w:r>
        <w:rPr>
          <w:rFonts w:hint="eastAsia" w:ascii="仿宋" w:hAnsi="仿宋" w:cs="宋体"/>
          <w:b/>
          <w:bCs/>
          <w:szCs w:val="28"/>
        </w:rPr>
        <w:t>9、其他</w:t>
      </w:r>
    </w:p>
    <w:p>
      <w:pPr>
        <w:ind w:firstLine="420" w:firstLineChars="200"/>
        <w:jc w:val="left"/>
        <w:rPr>
          <w:rFonts w:ascii="仿宋" w:hAnsi="仿宋" w:cs="宋体"/>
          <w:szCs w:val="28"/>
        </w:rPr>
      </w:pPr>
      <w:r>
        <w:rPr>
          <w:rFonts w:hint="eastAsia" w:ascii="仿宋" w:hAnsi="仿宋" w:cs="宋体"/>
          <w:szCs w:val="28"/>
        </w:rPr>
        <w:t>（1）本协议有效期内，任一方的地址变更，应及时书面通知对方。</w:t>
      </w:r>
    </w:p>
    <w:p>
      <w:pPr>
        <w:ind w:firstLine="420" w:firstLineChars="200"/>
        <w:jc w:val="left"/>
        <w:rPr>
          <w:rFonts w:ascii="仿宋" w:hAnsi="仿宋" w:cs="宋体"/>
          <w:szCs w:val="28"/>
        </w:rPr>
      </w:pPr>
      <w:r>
        <w:rPr>
          <w:rFonts w:hint="eastAsia" w:ascii="仿宋" w:hAnsi="仿宋" w:cs="宋体"/>
          <w:szCs w:val="28"/>
        </w:rPr>
        <w:t>（2）未经另一方书面同意，任何一方不得变更或修改本协议；双方协商达成一致的，应签订书面变更协议或补充协议，本协议附件与本协议具有同等法律效力。</w:t>
      </w:r>
    </w:p>
    <w:p>
      <w:pPr>
        <w:ind w:firstLine="422" w:firstLineChars="200"/>
        <w:rPr>
          <w:rFonts w:ascii="仿宋" w:hAnsi="仿宋" w:cs="宋体"/>
          <w:bCs/>
          <w:snapToGrid w:val="0"/>
          <w:spacing w:val="4"/>
          <w:kern w:val="0"/>
          <w:szCs w:val="28"/>
        </w:rPr>
      </w:pPr>
      <w:r>
        <w:rPr>
          <w:rFonts w:hint="eastAsia" w:ascii="仿宋" w:hAnsi="仿宋" w:cs="宋体"/>
          <w:b/>
          <w:szCs w:val="28"/>
        </w:rPr>
        <w:t>（3）</w:t>
      </w:r>
      <w:r>
        <w:rPr>
          <w:rFonts w:hint="eastAsia" w:ascii="仿宋" w:hAnsi="仿宋" w:cs="宋体"/>
          <w:b/>
          <w:snapToGrid w:val="0"/>
          <w:spacing w:val="4"/>
          <w:kern w:val="0"/>
          <w:szCs w:val="28"/>
        </w:rPr>
        <w:t>本合同一式陆份，甲方执肆份,乙方执贰份，经双方法定代表人（或委托代理人）签字并加盖单位合同印章生效。</w:t>
      </w:r>
    </w:p>
    <w:p>
      <w:pPr>
        <w:spacing w:line="500" w:lineRule="exact"/>
        <w:ind w:left="141" w:leftChars="67"/>
        <w:rPr>
          <w:rFonts w:ascii="仿宋" w:hAnsi="仿宋"/>
          <w:bCs/>
          <w:snapToGrid w:val="0"/>
          <w:spacing w:val="4"/>
          <w:kern w:val="0"/>
          <w:sz w:val="24"/>
        </w:rPr>
      </w:pPr>
      <w:r>
        <w:rPr>
          <w:rFonts w:hint="eastAsia" w:ascii="仿宋" w:hAnsi="仿宋"/>
          <w:bCs/>
          <w:snapToGrid w:val="0"/>
          <w:spacing w:val="4"/>
          <w:kern w:val="0"/>
          <w:sz w:val="24"/>
        </w:rPr>
        <w:t xml:space="preserve">甲方：中山大学孙逸仙纪念医院 </w:t>
      </w:r>
      <w:r>
        <w:rPr>
          <w:rFonts w:ascii="仿宋" w:hAnsi="仿宋"/>
          <w:bCs/>
          <w:snapToGrid w:val="0"/>
          <w:spacing w:val="4"/>
          <w:kern w:val="0"/>
          <w:sz w:val="24"/>
        </w:rPr>
        <w:t xml:space="preserve"> </w:t>
      </w:r>
      <w:r>
        <w:rPr>
          <w:rFonts w:hint="eastAsia" w:ascii="仿宋" w:hAnsi="仿宋"/>
          <w:bCs/>
          <w:snapToGrid w:val="0"/>
          <w:spacing w:val="4"/>
          <w:kern w:val="0"/>
          <w:sz w:val="24"/>
        </w:rPr>
        <w:t>乙方：</w:t>
      </w:r>
    </w:p>
    <w:p>
      <w:pPr>
        <w:spacing w:line="500" w:lineRule="exact"/>
        <w:ind w:left="141" w:leftChars="67"/>
        <w:rPr>
          <w:rFonts w:ascii="仿宋" w:hAnsi="仿宋"/>
          <w:bCs/>
          <w:snapToGrid w:val="0"/>
          <w:spacing w:val="4"/>
          <w:kern w:val="0"/>
          <w:sz w:val="24"/>
        </w:rPr>
      </w:pPr>
    </w:p>
    <w:p>
      <w:pPr>
        <w:spacing w:line="500" w:lineRule="exact"/>
        <w:ind w:left="141" w:leftChars="67"/>
        <w:rPr>
          <w:rFonts w:ascii="仿宋" w:hAnsi="仿宋"/>
          <w:bCs/>
          <w:snapToGrid w:val="0"/>
          <w:spacing w:val="4"/>
          <w:kern w:val="0"/>
          <w:sz w:val="24"/>
        </w:rPr>
      </w:pPr>
      <w:r>
        <w:rPr>
          <w:rFonts w:hint="eastAsia" w:ascii="仿宋" w:hAnsi="仿宋"/>
          <w:bCs/>
          <w:snapToGrid w:val="0"/>
          <w:spacing w:val="4"/>
          <w:kern w:val="0"/>
          <w:sz w:val="24"/>
        </w:rPr>
        <w:t>代表：                       代表：</w:t>
      </w:r>
    </w:p>
    <w:p>
      <w:pPr>
        <w:spacing w:line="500" w:lineRule="exact"/>
        <w:ind w:left="141" w:leftChars="67"/>
        <w:rPr>
          <w:rFonts w:ascii="仿宋" w:hAnsi="仿宋"/>
          <w:bCs/>
          <w:snapToGrid w:val="0"/>
          <w:spacing w:val="4"/>
          <w:kern w:val="0"/>
          <w:sz w:val="24"/>
        </w:rPr>
      </w:pPr>
    </w:p>
    <w:p>
      <w:pPr>
        <w:spacing w:line="500" w:lineRule="exact"/>
        <w:ind w:left="141" w:leftChars="67" w:firstLine="1240" w:firstLineChars="500"/>
        <w:rPr>
          <w:rFonts w:hint="eastAsia" w:ascii="仿宋" w:hAnsi="仿宋"/>
          <w:b/>
          <w:bCs/>
          <w:snapToGrid w:val="0"/>
          <w:spacing w:val="4"/>
          <w:kern w:val="0"/>
          <w:szCs w:val="28"/>
        </w:rPr>
      </w:pPr>
      <w:r>
        <w:rPr>
          <w:rFonts w:hint="eastAsia" w:ascii="仿宋" w:hAnsi="仿宋"/>
          <w:bCs/>
          <w:snapToGrid w:val="0"/>
          <w:spacing w:val="4"/>
          <w:kern w:val="0"/>
          <w:sz w:val="24"/>
        </w:rPr>
        <w:t>年    月   日                      年    月   日</w:t>
      </w:r>
    </w:p>
    <w:p>
      <w:pPr>
        <w:spacing w:line="500" w:lineRule="exact"/>
        <w:rPr>
          <w:rFonts w:ascii="仿宋" w:hAnsi="仿宋"/>
          <w:b/>
          <w:bCs/>
          <w:snapToGrid w:val="0"/>
          <w:spacing w:val="4"/>
          <w:kern w:val="0"/>
          <w:szCs w:val="28"/>
        </w:rPr>
      </w:pPr>
    </w:p>
    <w:p>
      <w:pPr>
        <w:spacing w:line="500" w:lineRule="exact"/>
        <w:rPr>
          <w:rFonts w:ascii="仿宋" w:hAnsi="仿宋"/>
          <w:b/>
          <w:bCs/>
          <w:snapToGrid w:val="0"/>
          <w:spacing w:val="4"/>
          <w:kern w:val="0"/>
          <w:szCs w:val="28"/>
        </w:rPr>
      </w:pPr>
      <w:r>
        <w:rPr>
          <w:rFonts w:ascii="仿宋" w:hAnsi="仿宋"/>
          <w:b/>
          <w:bCs/>
          <w:snapToGrid w:val="0"/>
          <w:spacing w:val="4"/>
          <w:kern w:val="0"/>
          <w:szCs w:val="28"/>
        </w:rPr>
        <w:br w:type="page"/>
      </w:r>
      <w:r>
        <w:rPr>
          <w:rFonts w:hint="eastAsia" w:ascii="仿宋" w:hAnsi="仿宋"/>
          <w:b/>
          <w:bCs/>
          <w:snapToGrid w:val="0"/>
          <w:spacing w:val="4"/>
          <w:kern w:val="0"/>
          <w:szCs w:val="28"/>
        </w:rPr>
        <w:t>附件</w:t>
      </w:r>
      <w:r>
        <w:rPr>
          <w:rFonts w:ascii="仿宋" w:hAnsi="仿宋"/>
          <w:b/>
          <w:bCs/>
          <w:snapToGrid w:val="0"/>
          <w:spacing w:val="4"/>
          <w:kern w:val="0"/>
          <w:szCs w:val="28"/>
        </w:rPr>
        <w:t>1</w:t>
      </w:r>
      <w:r>
        <w:rPr>
          <w:rFonts w:hint="eastAsia" w:ascii="仿宋" w:hAnsi="仿宋"/>
          <w:b/>
          <w:bCs/>
          <w:snapToGrid w:val="0"/>
          <w:spacing w:val="4"/>
          <w:kern w:val="0"/>
          <w:szCs w:val="28"/>
        </w:rPr>
        <w:t>：外送项目</w:t>
      </w:r>
    </w:p>
    <w:tbl>
      <w:tblPr>
        <w:tblStyle w:val="23"/>
        <w:tblW w:w="5000" w:type="pct"/>
        <w:tblInd w:w="0" w:type="dxa"/>
        <w:tblLayout w:type="fixed"/>
        <w:tblCellMar>
          <w:top w:w="0" w:type="dxa"/>
          <w:left w:w="108" w:type="dxa"/>
          <w:bottom w:w="0" w:type="dxa"/>
          <w:right w:w="108" w:type="dxa"/>
        </w:tblCellMar>
      </w:tblPr>
      <w:tblGrid>
        <w:gridCol w:w="789"/>
        <w:gridCol w:w="2982"/>
        <w:gridCol w:w="1824"/>
        <w:gridCol w:w="2498"/>
        <w:gridCol w:w="1869"/>
      </w:tblGrid>
      <w:tr>
        <w:tblPrEx>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编号</w:t>
            </w:r>
          </w:p>
        </w:tc>
        <w:tc>
          <w:tcPr>
            <w:tcW w:w="1497"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 w:hAnsi="仿宋" w:cs="宋体"/>
                <w:b/>
                <w:bCs/>
                <w:color w:val="000000"/>
                <w:kern w:val="0"/>
                <w:sz w:val="21"/>
                <w:szCs w:val="21"/>
              </w:rPr>
            </w:pPr>
            <w:r>
              <w:rPr>
                <w:rFonts w:hint="eastAsia" w:ascii="仿宋" w:hAnsi="仿宋" w:cs="宋体"/>
                <w:b/>
                <w:bCs/>
                <w:color w:val="000000"/>
                <w:kern w:val="0"/>
                <w:sz w:val="21"/>
                <w:szCs w:val="21"/>
              </w:rPr>
              <w:t>项目名称</w:t>
            </w:r>
          </w:p>
        </w:tc>
        <w:tc>
          <w:tcPr>
            <w:tcW w:w="91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检测方法</w:t>
            </w:r>
          </w:p>
        </w:tc>
        <w:tc>
          <w:tcPr>
            <w:tcW w:w="1254"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报告时间</w:t>
            </w:r>
          </w:p>
        </w:tc>
        <w:tc>
          <w:tcPr>
            <w:tcW w:w="938"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收费标准（元）</w:t>
            </w:r>
          </w:p>
        </w:tc>
      </w:tr>
      <w:tr>
        <w:tblPrEx>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cs="宋体"/>
                <w:b/>
                <w:bCs/>
                <w:color w:val="000000"/>
                <w:kern w:val="0"/>
                <w:sz w:val="21"/>
                <w:szCs w:val="21"/>
              </w:rPr>
            </w:pPr>
          </w:p>
        </w:tc>
        <w:tc>
          <w:tcPr>
            <w:tcW w:w="1497"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cs="宋体"/>
                <w:b/>
                <w:bCs/>
                <w:color w:val="000000"/>
                <w:kern w:val="0"/>
                <w:sz w:val="21"/>
                <w:szCs w:val="21"/>
              </w:rPr>
            </w:pPr>
          </w:p>
        </w:tc>
        <w:tc>
          <w:tcPr>
            <w:tcW w:w="91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cs="宋体"/>
                <w:b/>
                <w:bCs/>
                <w:color w:val="000000"/>
                <w:kern w:val="0"/>
                <w:sz w:val="21"/>
                <w:szCs w:val="21"/>
              </w:rPr>
            </w:pPr>
          </w:p>
        </w:tc>
        <w:tc>
          <w:tcPr>
            <w:tcW w:w="1254"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cs="宋体"/>
                <w:b/>
                <w:bCs/>
                <w:color w:val="000000"/>
                <w:kern w:val="0"/>
                <w:sz w:val="21"/>
                <w:szCs w:val="21"/>
              </w:rPr>
            </w:pPr>
          </w:p>
        </w:tc>
        <w:tc>
          <w:tcPr>
            <w:tcW w:w="938"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cs="宋体"/>
                <w:b/>
                <w:bCs/>
                <w:color w:val="000000"/>
                <w:kern w:val="0"/>
                <w:sz w:val="21"/>
                <w:szCs w:val="21"/>
              </w:rPr>
            </w:pPr>
          </w:p>
        </w:tc>
      </w:tr>
    </w:tbl>
    <w:p>
      <w:pPr>
        <w:ind w:firstLine="436" w:firstLineChars="200"/>
        <w:rPr>
          <w:rFonts w:ascii="仿宋" w:hAnsi="仿宋"/>
          <w:szCs w:val="28"/>
        </w:rPr>
      </w:pPr>
      <w:r>
        <w:rPr>
          <w:rFonts w:hint="eastAsia" w:ascii="仿宋" w:hAnsi="仿宋"/>
          <w:bCs/>
          <w:snapToGrid w:val="0"/>
          <w:spacing w:val="4"/>
          <w:kern w:val="0"/>
          <w:szCs w:val="28"/>
        </w:rPr>
        <w:t>备注：合同签订后，乙方应向甲方提供包括但不限于以下资料复印件一份：</w:t>
      </w:r>
    </w:p>
    <w:p>
      <w:pPr>
        <w:ind w:left="1146" w:leftChars="300" w:hanging="516" w:hangingChars="246"/>
        <w:rPr>
          <w:rFonts w:ascii="仿宋" w:hAnsi="仿宋"/>
          <w:szCs w:val="28"/>
        </w:rPr>
      </w:pPr>
      <w:r>
        <w:rPr>
          <w:rFonts w:hint="eastAsia" w:ascii="仿宋" w:hAnsi="仿宋"/>
          <w:szCs w:val="28"/>
        </w:rPr>
        <w:t>□营业执照；</w:t>
      </w:r>
    </w:p>
    <w:p>
      <w:pPr>
        <w:ind w:left="630" w:leftChars="300"/>
        <w:rPr>
          <w:rFonts w:ascii="仿宋" w:hAnsi="仿宋"/>
          <w:szCs w:val="28"/>
        </w:rPr>
      </w:pPr>
      <w:r>
        <w:rPr>
          <w:rFonts w:hint="eastAsia" w:ascii="仿宋" w:hAnsi="仿宋"/>
          <w:szCs w:val="28"/>
        </w:rPr>
        <w:t>□医疗机构执业许可证；</w:t>
      </w:r>
    </w:p>
    <w:p>
      <w:pPr>
        <w:ind w:left="630" w:leftChars="300"/>
        <w:rPr>
          <w:rFonts w:ascii="仿宋" w:hAnsi="仿宋"/>
          <w:szCs w:val="28"/>
        </w:rPr>
      </w:pPr>
      <w:r>
        <w:rPr>
          <w:rFonts w:hint="eastAsia" w:ascii="仿宋" w:hAnsi="仿宋"/>
          <w:szCs w:val="28"/>
        </w:rPr>
        <w:t>□企业法定代表人或医疗机构负责人身份证明/身份证；</w:t>
      </w:r>
    </w:p>
    <w:p>
      <w:pPr>
        <w:ind w:left="1146" w:leftChars="300" w:hanging="516" w:hangingChars="246"/>
        <w:rPr>
          <w:rFonts w:ascii="仿宋" w:hAnsi="仿宋"/>
          <w:szCs w:val="28"/>
        </w:rPr>
      </w:pPr>
      <w:r>
        <w:rPr>
          <w:rFonts w:hint="eastAsia" w:ascii="仿宋" w:hAnsi="仿宋"/>
          <w:szCs w:val="28"/>
        </w:rPr>
        <w:t>□组织机构代码证；</w:t>
      </w:r>
    </w:p>
    <w:p>
      <w:pPr>
        <w:ind w:left="630" w:leftChars="300"/>
        <w:rPr>
          <w:rFonts w:ascii="仿宋" w:hAnsi="仿宋"/>
          <w:szCs w:val="28"/>
        </w:rPr>
      </w:pPr>
      <w:r>
        <w:rPr>
          <w:rFonts w:hint="eastAsia" w:ascii="仿宋" w:hAnsi="仿宋"/>
          <w:szCs w:val="28"/>
        </w:rPr>
        <w:t>□国税登记证；</w:t>
      </w:r>
    </w:p>
    <w:p>
      <w:pPr>
        <w:ind w:left="630" w:leftChars="300"/>
        <w:rPr>
          <w:rFonts w:ascii="仿宋" w:hAnsi="仿宋"/>
          <w:szCs w:val="28"/>
        </w:rPr>
      </w:pPr>
      <w:r>
        <w:rPr>
          <w:rFonts w:hint="eastAsia" w:ascii="仿宋" w:hAnsi="仿宋"/>
          <w:szCs w:val="28"/>
        </w:rPr>
        <w:t>□地税登记证；</w:t>
      </w:r>
    </w:p>
    <w:p>
      <w:pPr>
        <w:ind w:left="630" w:leftChars="300"/>
        <w:rPr>
          <w:rFonts w:ascii="仿宋" w:hAnsi="仿宋"/>
          <w:szCs w:val="28"/>
        </w:rPr>
      </w:pPr>
      <w:r>
        <w:rPr>
          <w:rFonts w:hint="eastAsia" w:ascii="仿宋" w:hAnsi="仿宋"/>
          <w:szCs w:val="28"/>
        </w:rPr>
        <w:t>□银行开户许可证；</w:t>
      </w:r>
    </w:p>
    <w:p>
      <w:pPr>
        <w:ind w:left="630" w:leftChars="300"/>
        <w:rPr>
          <w:rFonts w:ascii="仿宋" w:hAnsi="仿宋"/>
          <w:szCs w:val="28"/>
        </w:rPr>
      </w:pPr>
      <w:r>
        <w:rPr>
          <w:rFonts w:hint="eastAsia" w:ascii="仿宋" w:hAnsi="仿宋"/>
          <w:szCs w:val="28"/>
        </w:rPr>
        <w:t>□机构信用代码证；</w:t>
      </w:r>
    </w:p>
    <w:p>
      <w:pPr>
        <w:jc w:val="left"/>
        <w:rPr>
          <w:rFonts w:hint="eastAsia" w:ascii="仿宋" w:hAnsi="仿宋"/>
          <w:szCs w:val="28"/>
        </w:rPr>
      </w:pPr>
      <w:r>
        <w:rPr>
          <w:rFonts w:hint="eastAsia" w:ascii="仿宋" w:hAnsi="仿宋"/>
          <w:szCs w:val="28"/>
        </w:rPr>
        <w:t>(备注：其中营业执照、医疗机构执业许可证、银行开户许可证是强制性要求提供的资料。)</w:t>
      </w:r>
    </w:p>
    <w:p>
      <w:pPr>
        <w:spacing w:before="163" w:after="163" w:line="360" w:lineRule="auto"/>
        <w:rPr>
          <w:rFonts w:hint="eastAsia" w:ascii="仿宋" w:hAnsi="仿宋" w:cs="仿宋"/>
          <w:sz w:val="32"/>
          <w:szCs w:val="32"/>
        </w:rPr>
      </w:pPr>
      <w:r>
        <w:rPr>
          <w:rFonts w:hint="eastAsia" w:ascii="仿宋" w:hAnsi="仿宋" w:cs="仿宋"/>
          <w:sz w:val="32"/>
          <w:szCs w:val="32"/>
        </w:rPr>
        <w:t>附件2: 质量与服务考核细则</w:t>
      </w:r>
    </w:p>
    <w:p>
      <w:pPr>
        <w:spacing w:line="360" w:lineRule="auto"/>
        <w:ind w:firstLine="420" w:firstLineChars="200"/>
        <w:rPr>
          <w:rFonts w:hint="eastAsia" w:ascii="仿宋" w:hAnsi="仿宋" w:cs="仿宋"/>
          <w:szCs w:val="28"/>
        </w:rPr>
      </w:pPr>
      <w:r>
        <w:rPr>
          <w:rFonts w:hint="eastAsia" w:ascii="仿宋" w:hAnsi="仿宋" w:cs="仿宋"/>
          <w:szCs w:val="28"/>
        </w:rPr>
        <w:t>（一）质量要求：（50分）</w:t>
      </w:r>
    </w:p>
    <w:p>
      <w:pPr>
        <w:spacing w:line="360" w:lineRule="auto"/>
        <w:ind w:firstLine="420" w:firstLineChars="200"/>
        <w:rPr>
          <w:rFonts w:hint="eastAsia" w:ascii="仿宋" w:hAnsi="仿宋" w:cs="仿宋"/>
          <w:szCs w:val="28"/>
        </w:rPr>
      </w:pPr>
      <w:r>
        <w:rPr>
          <w:rFonts w:hint="eastAsia" w:ascii="仿宋" w:hAnsi="仿宋" w:cs="仿宋"/>
          <w:szCs w:val="28"/>
        </w:rPr>
        <w:t>1、批内检测CV≤1/3 TEa(国家卫计委临检中心室间质评允许误差)，天间检测CV≤1/2 TEa。有不符合的，每项扣2分。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2、同一检测项目在不同检测系统上检测，结果的相对偏差≤1/2 TEa。有不符合的，每项扣2分。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3、达到参加国家卫计委室间质量评价95%以上项目PT成绩100分。有不符合的，每项扣2分。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4、委托项目按日或检测批次进行室内质控，按季度提供室内质量控制报表。有不符合的，每项扣2分。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5、每半年提供委托项目的能力验证活动报告，没有能力验证的检验项目提供与委托方认可的实验室结果一致性的证据。有不符合的，每项扣2分。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6、按采购人要求，随时提供质量和技术资料，如更换试剂批号、仪器维修后、检验系统更换后的质控记录和性能验证报告。有不符合的，每项扣2分。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7、每年至少2次对采购人就业务、质量、技术进行培训。有不符合的，每次扣2分。</w:t>
      </w:r>
    </w:p>
    <w:p>
      <w:pPr>
        <w:spacing w:line="360" w:lineRule="auto"/>
        <w:ind w:firstLine="420" w:firstLineChars="200"/>
        <w:rPr>
          <w:rFonts w:hint="eastAsia" w:ascii="仿宋" w:hAnsi="仿宋" w:cs="仿宋"/>
          <w:szCs w:val="28"/>
        </w:rPr>
      </w:pPr>
      <w:r>
        <w:rPr>
          <w:rFonts w:hint="eastAsia" w:ascii="仿宋" w:hAnsi="仿宋" w:cs="仿宋"/>
          <w:szCs w:val="28"/>
        </w:rPr>
        <w:t>8、随时接受并妥善安排采购人现场查阅项目检测、质量控制等。有不符合的，每项扣2分。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9、每季度提供委托项目的样本周转时间（TAT）分析，对于采购人提出的要求及时反馈并更正。有不符合的，每项扣2分。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（二）服务评分：（50）</w:t>
      </w:r>
    </w:p>
    <w:p>
      <w:pPr>
        <w:spacing w:line="360" w:lineRule="auto"/>
        <w:ind w:firstLine="420" w:firstLineChars="200"/>
        <w:rPr>
          <w:rFonts w:hint="eastAsia" w:ascii="仿宋" w:hAnsi="仿宋" w:cs="仿宋"/>
          <w:szCs w:val="28"/>
        </w:rPr>
      </w:pPr>
      <w:r>
        <w:rPr>
          <w:rFonts w:hint="eastAsia" w:ascii="仿宋" w:hAnsi="仿宋" w:cs="仿宋"/>
          <w:szCs w:val="28"/>
        </w:rPr>
        <w:t>1、检验结果的报告时限（TAT）符合率＜90%，扣5分；＞98%，加2分。</w:t>
      </w:r>
    </w:p>
    <w:p>
      <w:pPr>
        <w:spacing w:line="360" w:lineRule="auto"/>
        <w:ind w:firstLine="420" w:firstLineChars="200"/>
        <w:rPr>
          <w:rFonts w:hint="eastAsia" w:ascii="仿宋" w:hAnsi="仿宋" w:cs="仿宋"/>
          <w:szCs w:val="28"/>
        </w:rPr>
      </w:pPr>
      <w:r>
        <w:rPr>
          <w:rFonts w:hint="eastAsia" w:ascii="仿宋" w:hAnsi="仿宋" w:cs="仿宋"/>
          <w:szCs w:val="28"/>
        </w:rPr>
        <w:t>2、检验报告合格率＜100%，扣2分；＜98%，扣5分；＜95%，扣10分。</w:t>
      </w:r>
    </w:p>
    <w:p>
      <w:pPr>
        <w:spacing w:line="360" w:lineRule="auto"/>
        <w:ind w:firstLine="420" w:firstLineChars="200"/>
        <w:rPr>
          <w:rFonts w:hint="eastAsia" w:ascii="仿宋" w:hAnsi="仿宋" w:cs="仿宋"/>
          <w:szCs w:val="28"/>
        </w:rPr>
      </w:pPr>
      <w:r>
        <w:rPr>
          <w:rFonts w:hint="eastAsia" w:ascii="仿宋" w:hAnsi="仿宋" w:cs="仿宋"/>
          <w:szCs w:val="28"/>
        </w:rPr>
        <w:t>3、服务对象满意率＜90%，扣3分；＞95%加2分。</w:t>
      </w:r>
    </w:p>
    <w:p>
      <w:pPr>
        <w:spacing w:line="360" w:lineRule="auto"/>
        <w:ind w:firstLine="420" w:firstLineChars="200"/>
        <w:rPr>
          <w:rFonts w:hint="eastAsia" w:ascii="仿宋" w:hAnsi="仿宋" w:cs="仿宋"/>
          <w:szCs w:val="28"/>
        </w:rPr>
      </w:pPr>
      <w:r>
        <w:rPr>
          <w:rFonts w:hint="eastAsia" w:ascii="仿宋" w:hAnsi="仿宋" w:cs="仿宋"/>
          <w:szCs w:val="28"/>
        </w:rPr>
        <w:t>4、检验样本接收及时，物流运输保证。发现有样本运输时间≤4小时，加2分；＞8小时，扣3分；＞12小时，扣5分。</w:t>
      </w:r>
    </w:p>
    <w:p>
      <w:pPr>
        <w:spacing w:line="360" w:lineRule="auto"/>
        <w:ind w:firstLine="420" w:firstLineChars="200"/>
        <w:rPr>
          <w:rFonts w:hint="eastAsia" w:ascii="仿宋" w:hAnsi="仿宋" w:cs="仿宋"/>
          <w:szCs w:val="28"/>
        </w:rPr>
      </w:pPr>
      <w:r>
        <w:rPr>
          <w:rFonts w:hint="eastAsia" w:ascii="仿宋" w:hAnsi="仿宋" w:cs="仿宋"/>
          <w:szCs w:val="28"/>
        </w:rPr>
        <w:t>5、样本运输做到直立、冷藏、封闭，保证样本运输安全，抽查有不符合的，每次扣3分。</w:t>
      </w:r>
    </w:p>
    <w:p>
      <w:pPr>
        <w:spacing w:line="360" w:lineRule="auto"/>
        <w:ind w:firstLine="420" w:firstLineChars="200"/>
        <w:rPr>
          <w:rFonts w:hint="eastAsia" w:ascii="仿宋" w:hAnsi="仿宋" w:cs="仿宋"/>
          <w:szCs w:val="28"/>
        </w:rPr>
      </w:pPr>
      <w:r>
        <w:rPr>
          <w:rFonts w:hint="eastAsia" w:ascii="仿宋" w:hAnsi="仿宋" w:cs="仿宋"/>
          <w:szCs w:val="28"/>
        </w:rPr>
        <w:t>6、不合格样本率＞1/1000，扣2分；＞3/1000，扣5分。</w:t>
      </w:r>
    </w:p>
    <w:p>
      <w:pPr>
        <w:spacing w:line="360" w:lineRule="auto"/>
        <w:ind w:firstLine="420" w:firstLineChars="200"/>
        <w:rPr>
          <w:rFonts w:hint="eastAsia" w:ascii="仿宋" w:hAnsi="仿宋" w:cs="仿宋"/>
          <w:szCs w:val="28"/>
        </w:rPr>
      </w:pPr>
      <w:r>
        <w:rPr>
          <w:rFonts w:hint="eastAsia" w:ascii="仿宋" w:hAnsi="仿宋" w:cs="仿宋"/>
          <w:szCs w:val="28"/>
        </w:rPr>
        <w:t>7、检验报告延误率大于1/1000，扣2分；＞3/1000，扣5分。</w:t>
      </w:r>
    </w:p>
    <w:p>
      <w:pPr>
        <w:spacing w:line="360" w:lineRule="auto"/>
        <w:ind w:firstLine="420" w:firstLineChars="200"/>
        <w:rPr>
          <w:rFonts w:hint="eastAsia" w:ascii="仿宋" w:hAnsi="仿宋" w:cs="仿宋"/>
          <w:szCs w:val="28"/>
        </w:rPr>
      </w:pPr>
      <w:r>
        <w:rPr>
          <w:rFonts w:hint="eastAsia" w:ascii="仿宋" w:hAnsi="仿宋" w:cs="仿宋"/>
          <w:szCs w:val="28"/>
        </w:rPr>
        <w:t>（三）说明：</w:t>
      </w:r>
    </w:p>
    <w:p>
      <w:pPr>
        <w:spacing w:line="360" w:lineRule="auto"/>
        <w:ind w:firstLine="420" w:firstLineChars="200"/>
        <w:rPr>
          <w:rFonts w:hint="eastAsia" w:ascii="仿宋" w:hAnsi="仿宋" w:cs="仿宋"/>
          <w:szCs w:val="28"/>
        </w:rPr>
      </w:pPr>
      <w:r>
        <w:rPr>
          <w:rFonts w:hint="eastAsia" w:ascii="仿宋" w:hAnsi="仿宋" w:cs="仿宋"/>
          <w:szCs w:val="28"/>
        </w:rPr>
        <w:t>1、总分100分，85分以上为优秀，70分以上为良好。由医务科负责组织相关部门对检测机构进行评价。</w:t>
      </w:r>
    </w:p>
    <w:p>
      <w:pPr>
        <w:spacing w:line="360" w:lineRule="auto"/>
        <w:ind w:firstLine="420" w:firstLineChars="200"/>
        <w:rPr>
          <w:rFonts w:hint="eastAsia" w:ascii="仿宋" w:hAnsi="仿宋" w:cs="仿宋"/>
          <w:szCs w:val="28"/>
        </w:rPr>
      </w:pPr>
      <w:r>
        <w:rPr>
          <w:rFonts w:hint="eastAsia" w:ascii="仿宋" w:hAnsi="仿宋" w:cs="仿宋"/>
          <w:szCs w:val="28"/>
        </w:rPr>
        <w:t>2、评分60-70分：第一次出现时采购人对成交人提出书面警告；第二次出现要求成交人提交整改报告。</w:t>
      </w:r>
    </w:p>
    <w:p>
      <w:pPr>
        <w:spacing w:line="360" w:lineRule="auto"/>
        <w:ind w:firstLine="420" w:firstLineChars="200"/>
        <w:rPr>
          <w:rFonts w:hint="eastAsia" w:ascii="仿宋" w:hAnsi="仿宋" w:cs="仿宋"/>
          <w:szCs w:val="28"/>
        </w:rPr>
      </w:pPr>
      <w:r>
        <w:rPr>
          <w:rFonts w:hint="eastAsia" w:ascii="仿宋" w:hAnsi="仿宋" w:cs="仿宋"/>
          <w:szCs w:val="28"/>
        </w:rPr>
        <w:t>3、协议期内两次评分﹤70分，采购人对成交人采取经济处罚措施，包括但不限于扣除委托服务费等形式，具体处罚措施视情况而定。</w:t>
      </w: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8"/>
        <w:rPr>
          <w:rFonts w:hint="eastAsia"/>
          <w:color w:val="FF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8"/>
        <w:numPr>
          <w:ilvl w:val="0"/>
          <w:numId w:val="13"/>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3"/>
        <w:pageBreakBefore/>
        <w:jc w:val="center"/>
        <w:rPr>
          <w:rFonts w:hint="eastAsia" w:ascii="仿宋" w:hAnsi="仿宋" w:eastAsia="仿宋" w:cs="仿宋"/>
          <w:color w:val="000000"/>
          <w:sz w:val="24"/>
          <w:highlight w:val="none"/>
        </w:rPr>
      </w:pPr>
      <w:bookmarkStart w:id="31" w:name="_Toc97049462"/>
      <w:bookmarkStart w:id="32"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31"/>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 xml:space="preserve">一、  </w:t>
      </w:r>
      <w:r>
        <w:rPr>
          <w:rFonts w:hint="eastAsia" w:ascii="仿宋" w:hAnsi="仿宋" w:eastAsia="仿宋" w:cs="仿宋"/>
          <w:color w:val="000000"/>
          <w:sz w:val="24"/>
          <w:szCs w:val="24"/>
          <w:highlight w:val="none"/>
          <w:lang w:val="en-US" w:eastAsia="zh-CN"/>
        </w:rPr>
        <w:t>报价………………………………………………………………………第（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 xml:space="preserve">二、  </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  符合性</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  商务</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  技术</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8"/>
        <w:rPr>
          <w:rFonts w:hint="eastAsia" w:ascii="仿宋" w:hAnsi="仿宋" w:eastAsia="仿宋" w:cs="仿宋"/>
          <w:color w:val="000000"/>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firstLine="40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8"/>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8"/>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32"/>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中山大学孙逸仙纪念医院血液疾病521项基因检测</w:t>
            </w:r>
          </w:p>
        </w:tc>
      </w:tr>
      <w:tr>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pStyle w:val="7"/>
        <w:spacing w:line="360" w:lineRule="auto"/>
        <w:jc w:val="left"/>
        <w:outlineLvl w:val="1"/>
        <w:rPr>
          <w:rFonts w:ascii="宋体" w:hAnsi="宋体" w:cs="宋体"/>
          <w:bCs/>
          <w:color w:val="000000"/>
          <w:sz w:val="10"/>
          <w:szCs w:val="21"/>
          <w:highlight w:val="none"/>
        </w:rPr>
      </w:pPr>
    </w:p>
    <w:tbl>
      <w:tblPr>
        <w:tblStyle w:val="23"/>
        <w:tblW w:w="7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b/>
                <w:bCs/>
                <w:sz w:val="22"/>
                <w:szCs w:val="22"/>
                <w:highlight w:val="none"/>
              </w:rPr>
            </w:pPr>
            <w:r>
              <w:rPr>
                <w:rFonts w:hint="eastAsia" w:ascii="宋体" w:eastAsia="宋体" w:cs="宋体"/>
                <w:b/>
                <w:bCs/>
                <w:kern w:val="0"/>
                <w:sz w:val="22"/>
                <w:szCs w:val="22"/>
                <w:highlight w:val="none"/>
              </w:rPr>
              <w:t>项目名称</w:t>
            </w:r>
          </w:p>
        </w:tc>
        <w:tc>
          <w:tcPr>
            <w:tcW w:w="3402"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
                <w:bCs/>
                <w:kern w:val="0"/>
                <w:sz w:val="22"/>
                <w:szCs w:val="22"/>
                <w:highlight w:val="none"/>
              </w:rPr>
            </w:pPr>
            <w:r>
              <w:rPr>
                <w:rFonts w:hint="eastAsia" w:ascii="宋体" w:eastAsia="宋体" w:cs="宋体"/>
                <w:b/>
                <w:bCs/>
                <w:kern w:val="0"/>
                <w:sz w:val="22"/>
                <w:szCs w:val="22"/>
                <w:highlight w:val="none"/>
              </w:rPr>
              <w:t>下浮率</w:t>
            </w:r>
          </w:p>
        </w:tc>
        <w:tc>
          <w:tcPr>
            <w:tcW w:w="1045"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
                <w:bCs/>
                <w:kern w:val="0"/>
                <w:sz w:val="22"/>
                <w:szCs w:val="22"/>
                <w:highlight w:val="none"/>
              </w:rPr>
            </w:pPr>
            <w:r>
              <w:rPr>
                <w:rFonts w:hint="eastAsia" w:ascii="宋体" w:eastAsia="宋体" w:cs="宋体"/>
                <w:b/>
                <w:bCs/>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Cs/>
                <w:kern w:val="0"/>
                <w:sz w:val="22"/>
                <w:szCs w:val="22"/>
                <w:highlight w:val="none"/>
              </w:rPr>
            </w:pPr>
            <w:r>
              <w:rPr>
                <w:rFonts w:hint="eastAsia" w:ascii="宋体" w:eastAsia="宋体"/>
                <w:sz w:val="22"/>
                <w:szCs w:val="22"/>
                <w:highlight w:val="none"/>
              </w:rPr>
              <w:t>血液疾病521项基因检测</w:t>
            </w:r>
          </w:p>
        </w:tc>
        <w:tc>
          <w:tcPr>
            <w:tcW w:w="3402" w:type="dxa"/>
            <w:shd w:val="clear" w:color="auto" w:fill="FFFFFF"/>
            <w:vAlign w:val="center"/>
          </w:tcPr>
          <w:p>
            <w:pPr>
              <w:keepNext w:val="0"/>
              <w:keepLines w:val="0"/>
              <w:suppressLineNumbers w:val="0"/>
              <w:overflowPunct w:val="0"/>
              <w:spacing w:before="0" w:beforeAutospacing="0" w:after="0" w:afterAutospacing="0" w:line="460" w:lineRule="exact"/>
              <w:ind w:left="0" w:right="0"/>
              <w:rPr>
                <w:rFonts w:hint="default" w:ascii="宋体" w:hAnsi="宋体"/>
                <w:sz w:val="22"/>
                <w:highlight w:val="none"/>
              </w:rPr>
            </w:pPr>
            <w:r>
              <w:rPr>
                <w:rFonts w:hint="eastAsia" w:ascii="宋体" w:hAnsi="宋体"/>
                <w:sz w:val="22"/>
                <w:highlight w:val="none"/>
              </w:rPr>
              <w:t>大写：</w:t>
            </w:r>
            <w:r>
              <w:rPr>
                <w:rFonts w:hint="eastAsia" w:ascii="宋体" w:hAnsi="宋体"/>
                <w:sz w:val="22"/>
                <w:highlight w:val="none"/>
                <w:u w:val="single"/>
              </w:rPr>
              <w:t xml:space="preserve">                          </w:t>
            </w:r>
          </w:p>
          <w:p>
            <w:pPr>
              <w:keepNext w:val="0"/>
              <w:keepLines w:val="0"/>
              <w:suppressLineNumbers w:val="0"/>
              <w:overflowPunct w:val="0"/>
              <w:spacing w:before="0" w:beforeAutospacing="0" w:after="0" w:afterAutospacing="0" w:line="460" w:lineRule="exact"/>
              <w:ind w:left="0" w:right="0"/>
              <w:rPr>
                <w:rFonts w:hint="default" w:ascii="宋体" w:hAnsi="宋体"/>
                <w:highlight w:val="none"/>
                <w:u w:val="single"/>
              </w:rPr>
            </w:pPr>
            <w:r>
              <w:rPr>
                <w:rFonts w:hint="eastAsia" w:ascii="宋体" w:hAnsi="宋体"/>
                <w:sz w:val="22"/>
                <w:highlight w:val="none"/>
              </w:rPr>
              <w:t>小写：</w:t>
            </w:r>
            <w:r>
              <w:rPr>
                <w:rFonts w:hint="eastAsia" w:ascii="宋体" w:hAnsi="宋体"/>
                <w:highlight w:val="none"/>
                <w:u w:val="single"/>
              </w:rPr>
              <w:t xml:space="preserve">                          </w:t>
            </w:r>
          </w:p>
        </w:tc>
        <w:tc>
          <w:tcPr>
            <w:tcW w:w="1045" w:type="dxa"/>
            <w:shd w:val="clear" w:color="auto" w:fill="FFFFFF"/>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sz w:val="22"/>
                <w:szCs w:val="22"/>
                <w:highlight w:val="none"/>
              </w:rPr>
            </w:pPr>
          </w:p>
        </w:tc>
      </w:tr>
    </w:tbl>
    <w:p>
      <w:pPr>
        <w:rPr>
          <w:highlight w:val="none"/>
        </w:rPr>
      </w:pPr>
    </w:p>
    <w:p>
      <w:pPr>
        <w:rPr>
          <w:highlight w:val="none"/>
        </w:rPr>
      </w:pP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1、响应人须按要求填写所有信息，不得随意更改本表格式。</w:t>
      </w: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2、此表总报价是所有需采购人支付的金额的下浮率，包括《用户需求书》要求的全部内容。</w:t>
      </w: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3、总报价须用文字和数字两种方式表示，总报价大小写不一致，以大写为准。</w:t>
      </w: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4、此表是响应文件的必要组成文件，还应另附一份单独封装作为公开宣读报价之用。</w:t>
      </w:r>
    </w:p>
    <w:p>
      <w:pPr>
        <w:pStyle w:val="28"/>
        <w:rPr>
          <w:rFonts w:hint="eastAsia" w:ascii="仿宋" w:hAnsi="仿宋" w:eastAsia="仿宋" w:cs="仿宋"/>
          <w:color w:val="000000"/>
          <w:highlight w:val="none"/>
        </w:rPr>
      </w:pPr>
      <w:r>
        <w:rPr>
          <w:rFonts w:hint="eastAsia" w:ascii="仿宋" w:hAnsi="仿宋" w:eastAsia="仿宋" w:cs="仿宋"/>
          <w:color w:val="000000"/>
          <w:sz w:val="21"/>
          <w:szCs w:val="21"/>
          <w:highlight w:val="none"/>
        </w:rPr>
        <w:t>5、响应人应按照广东省物价局《中央、军队、武警省属驻穗非营利性医疗机构医疗服务价格》，对本项目所有检验内容提供</w:t>
      </w:r>
      <w:r>
        <w:rPr>
          <w:rFonts w:hint="eastAsia" w:ascii="仿宋" w:hAnsi="仿宋" w:eastAsia="仿宋" w:cs="仿宋"/>
          <w:color w:val="000000"/>
          <w:sz w:val="21"/>
          <w:szCs w:val="21"/>
          <w:highlight w:val="none"/>
          <w:lang w:eastAsia="zh-CN"/>
        </w:rPr>
        <w:t>唯一</w:t>
      </w:r>
      <w:r>
        <w:rPr>
          <w:rFonts w:hint="eastAsia" w:ascii="仿宋" w:hAnsi="仿宋" w:eastAsia="仿宋" w:cs="仿宋"/>
          <w:color w:val="000000"/>
          <w:sz w:val="21"/>
          <w:szCs w:val="21"/>
          <w:highlight w:val="none"/>
        </w:rPr>
        <w:t>的比率报价，其报价比率须控制在规定价格的</w:t>
      </w: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0%或以下，含盖边界值（即下浮率须达到</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0%或以上），否则将导致投标无效，如果评审委员会发现响应人的报价明显低于其他通过符合性审查投标人的报价，有可能影响产品质量或者不能诚信履约的，响应人必须要出具详细的成本清单、包含投标人的利润分析、成本分析等，且经所有评委一致认可有效，否则按无效投标处理。</w:t>
      </w:r>
    </w:p>
    <w:p>
      <w:pPr>
        <w:pStyle w:val="28"/>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本项目不接受联合体报名，成交供应商不得分包、转包。</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提供《医疗机构执业许可证》复印件并加盖公章，原件备查；</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提供《临床基因扩增检验实验室验收合格证书》复印件并加盖公章，原件备查。</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eastAsia="zh-CN"/>
              </w:rPr>
              <w:t>提供标的中项目自报名截止之日起半年内的检验报告1份，并加盖响应人公章。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8"/>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8"/>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8"/>
        <w:ind w:left="0" w:leftChars="0" w:firstLine="0" w:firstLineChars="0"/>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项目名称：中山大学孙逸仙纪念医院血液疾病521项基因检测</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比选文件</w:t>
      </w:r>
      <w:r>
        <w:rPr>
          <w:rFonts w:hint="eastAsia" w:ascii="仿宋_GB2312" w:hAnsi="Calibri Light" w:eastAsia="仿宋_GB2312" w:cs="仿宋_GB2312"/>
          <w:sz w:val="24"/>
          <w:szCs w:val="24"/>
          <w:highlight w:val="none"/>
        </w:rPr>
        <w:t>和中标人的</w:t>
      </w:r>
      <w:r>
        <w:rPr>
          <w:rFonts w:hint="eastAsia" w:ascii="仿宋_GB2312" w:hAnsi="Calibri Light" w:eastAsia="仿宋_GB2312" w:cs="仿宋_GB2312"/>
          <w:sz w:val="24"/>
          <w:szCs w:val="24"/>
          <w:highlight w:val="none"/>
          <w:lang w:eastAsia="zh-CN"/>
        </w:rPr>
        <w:t>响应文件</w:t>
      </w:r>
      <w:r>
        <w:rPr>
          <w:rFonts w:hint="eastAsia" w:ascii="仿宋_GB2312" w:hAnsi="Calibri Light" w:eastAsia="仿宋_GB2312" w:cs="仿宋_GB2312"/>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r>
        <w:rPr>
          <w:rFonts w:hint="eastAsia" w:ascii="仿宋_GB2312" w:hAnsi="Calibri Light" w:eastAsia="仿宋_GB2312" w:cs="仿宋_GB2312"/>
          <w:sz w:val="24"/>
          <w:szCs w:val="24"/>
          <w:highlight w:val="none"/>
          <w:lang w:val="en-US" w:eastAsia="zh-CN"/>
        </w:rPr>
        <w:t>供货商</w:t>
      </w:r>
      <w:r>
        <w:rPr>
          <w:rFonts w:hint="eastAsia" w:ascii="仿宋_GB2312" w:hAnsi="Calibri Light" w:eastAsia="仿宋_GB2312" w:cs="仿宋_GB2312"/>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4、《医疗机构执业许可证》</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（提供有效期内的证件复印件加盖公章）</w:t>
      </w:r>
    </w:p>
    <w:p>
      <w:pPr>
        <w:pStyle w:val="28"/>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5、《临床基因扩增检验实验室验收合格证书》</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（提供有效期内的证件复印件加盖公章）</w:t>
      </w: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ind w:left="0" w:leftChars="0" w:firstLine="0" w:firstLineChars="0"/>
        <w:jc w:val="center"/>
        <w:rPr>
          <w:rFonts w:hint="eastAsia" w:ascii="仿宋" w:hAnsi="仿宋" w:cs="仿宋"/>
          <w:b/>
          <w:bCs/>
          <w:sz w:val="32"/>
          <w:szCs w:val="40"/>
          <w:highlight w:val="none"/>
          <w:lang w:val="en-US" w:eastAsia="zh-CN"/>
        </w:rPr>
      </w:pPr>
      <w:r>
        <w:rPr>
          <w:rFonts w:hint="eastAsia" w:ascii="仿宋" w:hAnsi="仿宋" w:cs="仿宋"/>
          <w:b/>
          <w:bCs/>
          <w:sz w:val="32"/>
          <w:szCs w:val="40"/>
          <w:highlight w:val="none"/>
          <w:lang w:val="en-US" w:eastAsia="zh-CN"/>
        </w:rPr>
        <w:t>6、《检验报告》</w:t>
      </w:r>
    </w:p>
    <w:p>
      <w:pPr>
        <w:pStyle w:val="22"/>
        <w:ind w:left="0" w:leftChars="0" w:firstLine="0" w:firstLineChars="0"/>
        <w:jc w:val="center"/>
        <w:rPr>
          <w:rFonts w:hint="eastAsia" w:ascii="仿宋" w:hAnsi="仿宋" w:eastAsia="仿宋" w:cs="仿宋"/>
          <w:b/>
          <w:bCs/>
          <w:sz w:val="32"/>
          <w:szCs w:val="40"/>
          <w:highlight w:val="none"/>
          <w:lang w:val="en-US" w:eastAsia="zh-CN"/>
        </w:rPr>
      </w:pPr>
      <w:r>
        <w:rPr>
          <w:rFonts w:hint="eastAsia" w:ascii="仿宋" w:hAnsi="仿宋" w:cs="仿宋"/>
          <w:b/>
          <w:bCs/>
          <w:sz w:val="32"/>
          <w:szCs w:val="40"/>
          <w:highlight w:val="none"/>
          <w:lang w:val="en-US" w:eastAsia="zh-CN"/>
        </w:rPr>
        <w:t>（</w:t>
      </w:r>
      <w:r>
        <w:rPr>
          <w:rFonts w:hint="eastAsia" w:ascii="仿宋" w:hAnsi="仿宋" w:eastAsia="仿宋" w:cs="仿宋"/>
          <w:b/>
          <w:bCs/>
          <w:sz w:val="32"/>
          <w:szCs w:val="40"/>
          <w:highlight w:val="none"/>
          <w:lang w:val="en-US" w:eastAsia="zh-CN"/>
        </w:rPr>
        <w:t>提供标的中项目自报名截止之日起半年内的检验报告1份，并加盖响应人公章。</w:t>
      </w:r>
      <w:r>
        <w:rPr>
          <w:rFonts w:hint="eastAsia" w:ascii="仿宋" w:hAnsi="仿宋" w:cs="仿宋"/>
          <w:b/>
          <w:bCs/>
          <w:sz w:val="32"/>
          <w:szCs w:val="40"/>
          <w:highlight w:val="none"/>
          <w:lang w:val="en-US" w:eastAsia="zh-CN"/>
        </w:rPr>
        <w:t>）</w:t>
      </w: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响应下浮率：</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①响应下浮率</w:t>
            </w:r>
            <w:r>
              <w:rPr>
                <w:rFonts w:hint="eastAsia" w:ascii="仿宋" w:hAnsi="仿宋" w:eastAsia="仿宋" w:cs="仿宋"/>
                <w:sz w:val="20"/>
                <w:szCs w:val="20"/>
                <w:highlight w:val="none"/>
                <w:lang w:val="en-US" w:eastAsia="zh-CN"/>
              </w:rPr>
              <w:t>大于或等于</w:t>
            </w:r>
            <w:r>
              <w:rPr>
                <w:rFonts w:hint="eastAsia" w:ascii="仿宋" w:hAnsi="仿宋" w:eastAsia="仿宋" w:cs="仿宋"/>
                <w:sz w:val="20"/>
                <w:szCs w:val="20"/>
                <w:highlight w:val="none"/>
              </w:rPr>
              <w:t>本项目限定下浮率最低值</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③响应人实际收取的费用【检验费×（1-</w:t>
            </w:r>
            <w:r>
              <w:rPr>
                <w:rFonts w:hint="eastAsia" w:ascii="仿宋" w:hAnsi="仿宋" w:eastAsia="仿宋" w:cs="仿宋"/>
                <w:sz w:val="20"/>
                <w:szCs w:val="20"/>
                <w:highlight w:val="none"/>
                <w:lang w:eastAsia="zh-CN"/>
              </w:rPr>
              <w:t>成交</w:t>
            </w:r>
            <w:r>
              <w:rPr>
                <w:rFonts w:hint="eastAsia" w:ascii="仿宋" w:hAnsi="仿宋" w:eastAsia="仿宋" w:cs="仿宋"/>
                <w:sz w:val="20"/>
                <w:szCs w:val="20"/>
                <w:highlight w:val="none"/>
              </w:rPr>
              <w:t>下浮率）】不低于成本价,且是唯一确定的。响应下浮率不存在明显低于其他通过符合性审查响应人下浮率的，或下浮率虽明显低于其他通过符合性审查响应人下浮率，但响应人能够提供证明其诚信履约且不影响产品质量的书面说明等相关证明材料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8"/>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2"/>
        <w:tabs>
          <w:tab w:val="left" w:pos="900"/>
        </w:tabs>
        <w:spacing w:line="400" w:lineRule="exact"/>
        <w:ind w:firstLine="0"/>
        <w:rPr>
          <w:rFonts w:hint="eastAsia" w:ascii="仿宋" w:hAnsi="仿宋" w:eastAsia="仿宋" w:cs="仿宋"/>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仿宋" w:hAnsi="仿宋" w:eastAsia="仿宋" w:cs="仿宋"/>
          <w:bCs/>
          <w:color w:val="000000"/>
          <w:sz w:val="30"/>
          <w:szCs w:val="30"/>
          <w:highlight w:val="none"/>
          <w:lang w:val="en-US"/>
        </w:rPr>
      </w:pP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8"/>
        <w:ind w:left="0" w:leftChars="0" w:firstLine="0" w:firstLineChars="0"/>
        <w:rPr>
          <w:rFonts w:hint="eastAsia" w:ascii="仿宋" w:hAnsi="仿宋" w:eastAsia="仿宋" w:cs="仿宋"/>
          <w:highlight w:val="none"/>
          <w:lang w:eastAsia="zh-CN"/>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 xml:space="preserve">姓名）  </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 xml:space="preserve">全称）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28"/>
        <w:ind w:left="0" w:leftChars="0" w:firstLine="0" w:firstLineChars="0"/>
        <w:rPr>
          <w:rFonts w:hint="eastAsia" w:ascii="宋体" w:hAnsi="宋体" w:eastAsia="宋体" w:cs="宋体"/>
          <w:b/>
          <w:bCs/>
          <w:sz w:val="28"/>
          <w:szCs w:val="36"/>
          <w:highlight w:val="none"/>
          <w:lang w:eastAsia="zh-CN"/>
        </w:rPr>
      </w:pPr>
    </w:p>
    <w:p>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，成交人响应有效期延至合同验收之日。</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color w:val="auto"/>
          <w:sz w:val="22"/>
          <w:szCs w:val="22"/>
          <w:highlight w:val="none"/>
          <w:lang w:val="en-US" w:eastAsia="zh-CN"/>
        </w:rPr>
        <w:t>成交人参加国家卫生健康委室间质评，每半年提供委托项目的能力验证活动报告，没有能力验证的检验项目应提供与委托方认可的实验室结果一致性的证据。</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（2）★报价要求：响应人应按照广东省物价局《中央、军队、武警省属驻穗非营利性医疗机构医疗服务价格》，对本项目所有检验内容提供统一的比率报价，其报价比率须控制在规定价格的70% 或以下（即下浮率须达到30%或以上），否则将导致响应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响应处理。</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付款方式：成交人对标本进行检测后，每季度凭检测的统计表并开具相应的发票到采购人核对送检数量，经采购人相关科室（包括医务科、主管医技科室、财务科）核实后再到财务科结算，采购人财务科按实际收取的【检验费×（1-成交下浮率）】支付给成交人，可以银行转账或支票方式实现，以账款到达成交人账户时间为准。</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3372"/>
        <w:gridCol w:w="1653"/>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自2020年1月1日（以合同签订时间为准）以来，具有同类检验项目委托服务项目业绩进行评分，每提供一个得5分，最高得10分，不提供得0分。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注：提供合同关键页（含签订合同双方的单位名称、合同项目名称和数量、签订合同双方的落款盖章的关键页）复印件，并加盖公章，不提供不得分。同一客户单位不重复计分。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5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自2020年以来前述同类项目检验委托服务的客户满意情况进行综合评议：</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各响应人提供 2 份及以上满意度调查结果且调查结果均为“满意”或同等级别者得5分；</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各响应人仅提供 1 份满意度调查结果或同等级别者得3分；</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各响应人无法提供满意度调查结果或存在“不满意”或同等级别者得0分。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注：提供上述业绩的客户出具的满意度情况表加盖公章。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对响应人提供的诊断技术人员资历说明进行评分：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相关技术人员职称最高，工作经验最丰富的得5分；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相关技术人员职称及工作经验对比存在差距的得3分；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相关技术人员职称及工作经验对比存在较大差距，难以承担本项目检测服务的得1分；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没有提供相关证明材料的得0分。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注：响应人需提供以下资料作为得分依据：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1、提供相关技术人员的名单；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2、提供相关技术人员的职称证书扫描件并加盖公章；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3、响应人自2022年10月至今内任意一个月为其缴纳社会保险的凭据并加盖公章；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4、工作经验的证明材料并加盖公章。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若出现无证明资料或专家无法凭所提供资料判断是否得分的情况，一律作不得分处理。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响应人通过中国合格评定国家认可委员会(CNAS)的ISO15189认证，或中国计量认证（CMA）。每提供一份提供相关行业协会认可证明材料得 2 分，最高得4分。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注:响应人需提供有效的证书复印件、认可项目清单复印件加盖公章。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响应人的高通量测序质量管理体系通过第三方评估认证。提供相关证书，得5分；不提供不得分。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default" w:ascii="仿宋" w:hAnsi="仿宋" w:eastAsia="仿宋" w:cs="仿宋"/>
                <w:color w:val="auto"/>
                <w:sz w:val="20"/>
                <w:szCs w:val="20"/>
                <w:highlight w:val="none"/>
                <w:lang w:val="en-US" w:eastAsia="zh-CN"/>
              </w:rPr>
            </w:pPr>
            <w:r>
              <w:rPr>
                <w:rFonts w:hint="default" w:ascii="仿宋" w:hAnsi="仿宋" w:eastAsia="仿宋" w:cs="仿宋"/>
                <w:color w:val="auto"/>
                <w:sz w:val="20"/>
                <w:szCs w:val="20"/>
                <w:highlight w:val="none"/>
                <w:lang w:val="en-US" w:eastAsia="zh-CN"/>
              </w:rPr>
              <w:t>注:响应人需提供有效的证书复印件加盖公章。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8"/>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7"/>
        <w:rPr>
          <w:rFonts w:hint="eastAsia" w:ascii="宋体" w:hAnsi="宋体" w:cs="华文仿宋"/>
          <w:b/>
          <w:bCs/>
          <w:sz w:val="36"/>
          <w:szCs w:val="36"/>
          <w:highlight w:val="none"/>
          <w:lang w:eastAsia="zh-CN"/>
        </w:rPr>
      </w:pPr>
    </w:p>
    <w:p>
      <w:pPr>
        <w:pStyle w:val="8"/>
        <w:rPr>
          <w:rFonts w:hint="eastAsia" w:ascii="宋体" w:hAnsi="宋体" w:cs="华文仿宋"/>
          <w:b/>
          <w:bCs/>
          <w:sz w:val="36"/>
          <w:szCs w:val="36"/>
          <w:highlight w:val="none"/>
          <w:lang w:eastAsia="zh-CN"/>
        </w:rPr>
      </w:pPr>
    </w:p>
    <w:p>
      <w:pPr>
        <w:rPr>
          <w:rFonts w:hint="eastAsia" w:ascii="宋体" w:hAnsi="宋体" w:cs="华文仿宋"/>
          <w:b/>
          <w:bCs/>
          <w:sz w:val="36"/>
          <w:szCs w:val="36"/>
          <w:highlight w:val="none"/>
          <w:lang w:eastAsia="zh-CN"/>
        </w:rPr>
      </w:pPr>
    </w:p>
    <w:p>
      <w:pPr>
        <w:pStyle w:val="30"/>
        <w:rPr>
          <w:rFonts w:hint="eastAsia"/>
          <w:highlight w:val="none"/>
          <w:lang w:eastAsia="zh-CN"/>
        </w:rPr>
      </w:pPr>
    </w:p>
    <w:p>
      <w:pPr>
        <w:pStyle w:val="30"/>
        <w:rPr>
          <w:rFonts w:hint="eastAsia"/>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8"/>
        <w:rPr>
          <w:rFonts w:hint="eastAsia" w:ascii="仿宋" w:hAnsi="仿宋" w:eastAsia="仿宋" w:cs="仿宋"/>
          <w:highlight w:val="none"/>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ageBreakBefore w:val="0"/>
        <w:kinsoku/>
        <w:wordWrap/>
        <w:overflowPunct/>
        <w:topLinePunct w:val="0"/>
        <w:bidi w:val="0"/>
        <w:spacing w:line="360" w:lineRule="auto"/>
        <w:ind w:right="0" w:right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2.提供自2020年1月1日（以合同签订时间为准）以来，具有同类检验项目委托服务项目业绩进行评分</w:t>
      </w:r>
      <w:r>
        <w:rPr>
          <w:rFonts w:hint="eastAsia" w:ascii="仿宋" w:hAnsi="仿宋" w:eastAsia="仿宋" w:cs="仿宋"/>
          <w:sz w:val="21"/>
          <w:szCs w:val="21"/>
          <w:highlight w:val="none"/>
          <w:lang w:eastAsia="zh-CN"/>
        </w:rPr>
        <w:t>。</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每份业绩须提供合同关键页（含签订合同双方的单位名称、合同项目名称和数量、签订合同双方的落款盖章的关键页）复印件，并加盖公章，不提供不得分。同一客户单位不重复计分。证明文件不符合要求或未提供不得分。公章或合同章上的供应商名称与响应人名称不一致的视为无效，如响应人变更过名称，需提供有关部门证明。</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w:t>
      </w:r>
      <w:r>
        <w:rPr>
          <w:rFonts w:hint="eastAsia" w:ascii="仿宋" w:hAnsi="仿宋" w:eastAsia="仿宋" w:cs="仿宋"/>
          <w:b/>
          <w:bCs w:val="0"/>
          <w:sz w:val="22"/>
          <w:szCs w:val="22"/>
          <w:highlight w:val="none"/>
          <w:lang w:val="en-US" w:eastAsia="zh-CN"/>
        </w:rPr>
        <w:t>（如有）</w:t>
      </w:r>
    </w:p>
    <w:p>
      <w:pPr>
        <w:jc w:val="both"/>
        <w:rPr>
          <w:rFonts w:hint="eastAsia" w:ascii="仿宋" w:hAnsi="仿宋" w:eastAsia="仿宋" w:cs="仿宋"/>
          <w:sz w:val="20"/>
          <w:szCs w:val="20"/>
          <w:highlight w:val="none"/>
        </w:rPr>
      </w:pPr>
    </w:p>
    <w:tbl>
      <w:tblPr>
        <w:tblStyle w:val="23"/>
        <w:tblpPr w:leftFromText="180" w:rightFromText="180" w:vertAnchor="text" w:horzAnchor="page" w:tblpX="730" w:tblpY="19"/>
        <w:tblOverlap w:val="never"/>
        <w:tblW w:w="1029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40"/>
        <w:gridCol w:w="1287"/>
        <w:gridCol w:w="862"/>
        <w:gridCol w:w="1439"/>
        <w:gridCol w:w="1183"/>
        <w:gridCol w:w="1284"/>
        <w:gridCol w:w="1850"/>
        <w:gridCol w:w="17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满意度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7"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w:t>
      </w:r>
      <w:r>
        <w:rPr>
          <w:rFonts w:hint="eastAsia" w:ascii="仿宋" w:hAnsi="仿宋" w:eastAsia="仿宋" w:cs="仿宋"/>
          <w:sz w:val="21"/>
          <w:szCs w:val="21"/>
          <w:highlight w:val="none"/>
          <w:lang w:val="en-US" w:eastAsia="zh-CN"/>
        </w:rPr>
        <w:t>履约评价</w:t>
      </w:r>
      <w:r>
        <w:rPr>
          <w:rFonts w:hint="eastAsia" w:ascii="仿宋" w:hAnsi="仿宋" w:eastAsia="仿宋" w:cs="仿宋"/>
          <w:sz w:val="21"/>
          <w:szCs w:val="21"/>
          <w:highlight w:val="none"/>
        </w:rPr>
        <w:t>，不得弄虚作假；</w:t>
      </w:r>
    </w:p>
    <w:p>
      <w:pPr>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2.提供自2020年以来上述同类项目检验委托服务的客户满意情况进行综合评议。</w:t>
      </w:r>
    </w:p>
    <w:p>
      <w:pPr>
        <w:pStyle w:val="28"/>
        <w:numPr>
          <w:ilvl w:val="0"/>
          <w:numId w:val="8"/>
        </w:numPr>
        <w:ind w:left="0" w:leftChars="0" w:firstLine="400" w:firstLineChars="0"/>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提供上述业绩的客户出具的满意度情况表加盖公章。</w:t>
      </w:r>
    </w:p>
    <w:p>
      <w:pPr>
        <w:pStyle w:val="28"/>
        <w:numPr>
          <w:ilvl w:val="0"/>
          <w:numId w:val="0"/>
        </w:numPr>
        <w:ind w:left="400" w:leftChars="0"/>
        <w:rPr>
          <w:rFonts w:hint="default" w:ascii="仿宋" w:hAnsi="仿宋" w:eastAsia="仿宋" w:cs="仿宋"/>
          <w:kern w:val="2"/>
          <w:sz w:val="21"/>
          <w:szCs w:val="21"/>
          <w:highlight w:val="none"/>
          <w:lang w:val="en-US" w:eastAsia="zh-CN" w:bidi="ar-SA"/>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numPr>
          <w:ilvl w:val="0"/>
          <w:numId w:val="0"/>
        </w:numPr>
        <w:ind w:left="400" w:leftChars="0"/>
        <w:rPr>
          <w:rFonts w:hint="default" w:ascii="仿宋" w:hAnsi="仿宋" w:eastAsia="仿宋" w:cs="仿宋"/>
          <w:kern w:val="2"/>
          <w:sz w:val="21"/>
          <w:szCs w:val="21"/>
          <w:highlight w:val="none"/>
          <w:lang w:val="en-US" w:eastAsia="zh-CN" w:bidi="ar-SA"/>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5、人员配置（如有）</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需提供1、提供相关技术人员的名单并加盖公章；2、提供相关技术人员的职称证书扫描件并加盖公章；3、响应人自2022年10月至今内任意一个月为其缴纳社会保险的凭据并加盖公章；4、工作经验的证明材料并加盖公章。）</w:t>
      </w:r>
    </w:p>
    <w:tbl>
      <w:tblPr>
        <w:tblStyle w:val="23"/>
        <w:tblpPr w:leftFromText="180" w:rightFromText="180" w:vertAnchor="text" w:horzAnchor="page" w:tblpXSpec="center" w:tblpY="27"/>
        <w:tblOverlap w:val="never"/>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034"/>
        <w:gridCol w:w="2028"/>
        <w:gridCol w:w="2714"/>
        <w:gridCol w:w="1796"/>
        <w:gridCol w:w="21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jc w:val="center"/>
        </w:trPr>
        <w:tc>
          <w:tcPr>
            <w:tcW w:w="529" w:type="pct"/>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default"/>
                <w:b/>
                <w:highlight w:val="none"/>
              </w:rPr>
            </w:pPr>
            <w:r>
              <w:rPr>
                <w:rFonts w:hint="default"/>
                <w:b/>
                <w:highlight w:val="none"/>
              </w:rPr>
              <w:t>序号</w:t>
            </w:r>
          </w:p>
        </w:tc>
        <w:tc>
          <w:tcPr>
            <w:tcW w:w="1038"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lang w:val="en-US"/>
              </w:rPr>
            </w:pPr>
            <w:r>
              <w:rPr>
                <w:rFonts w:hint="eastAsia"/>
                <w:b/>
                <w:highlight w:val="none"/>
                <w:lang w:val="en-US"/>
              </w:rPr>
              <w:t>姓名</w:t>
            </w:r>
          </w:p>
        </w:tc>
        <w:tc>
          <w:tcPr>
            <w:tcW w:w="1389"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职称</w:t>
            </w:r>
          </w:p>
        </w:tc>
        <w:tc>
          <w:tcPr>
            <w:tcW w:w="919"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工作年限</w:t>
            </w:r>
          </w:p>
        </w:tc>
        <w:tc>
          <w:tcPr>
            <w:tcW w:w="1122"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证明文件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1</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2</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3</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4</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5</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w:t>
            </w:r>
          </w:p>
        </w:tc>
        <w:tc>
          <w:tcPr>
            <w:tcW w:w="1038"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w:t>
            </w:r>
          </w:p>
        </w:tc>
      </w:tr>
    </w:tbl>
    <w:p>
      <w:pPr>
        <w:pStyle w:val="28"/>
        <w:rPr>
          <w:rFonts w:hint="eastAsia"/>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ind w:firstLine="40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6、行业认证（如有）</w:t>
      </w:r>
    </w:p>
    <w:p>
      <w:pPr>
        <w:pStyle w:val="28"/>
        <w:ind w:firstLine="40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【提供有效的行业认证（响应人通过中国合格评定国家认可委员会(CNAS)的ISO15189认证，或中国计量认证（CMA））证书复印件，并加盖公章】</w:t>
      </w:r>
    </w:p>
    <w:p>
      <w:pPr>
        <w:pStyle w:val="28"/>
        <w:ind w:left="0" w:leftChars="0" w:firstLine="0" w:firstLineChars="0"/>
        <w:rPr>
          <w:rFonts w:hint="eastAsia" w:ascii="仿宋" w:hAnsi="仿宋" w:eastAsia="仿宋" w:cs="仿宋"/>
          <w:highlight w:val="none"/>
        </w:rPr>
      </w:pPr>
    </w:p>
    <w:p>
      <w:pPr>
        <w:pStyle w:val="28"/>
        <w:ind w:left="0" w:leftChars="0" w:firstLine="0" w:firstLineChars="0"/>
        <w:rPr>
          <w:rFonts w:hint="eastAsia" w:ascii="仿宋" w:hAnsi="仿宋" w:eastAsia="仿宋" w:cs="仿宋"/>
          <w:highlight w:val="none"/>
        </w:rPr>
      </w:pPr>
    </w:p>
    <w:p>
      <w:pPr>
        <w:pStyle w:val="28"/>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ind w:firstLine="400"/>
        <w:jc w:val="center"/>
        <w:rPr>
          <w:rFonts w:hint="default"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7、管理认证（如有）</w:t>
      </w:r>
    </w:p>
    <w:p>
      <w:pPr>
        <w:pStyle w:val="28"/>
        <w:ind w:left="0" w:leftChars="0" w:firstLine="0" w:firstLineChars="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（提供有效的证书复印件，并加盖公章）</w:t>
      </w:r>
    </w:p>
    <w:p>
      <w:pPr>
        <w:pStyle w:val="28"/>
        <w:ind w:left="0" w:leftChars="0" w:firstLine="0" w:firstLineChars="0"/>
        <w:rPr>
          <w:rFonts w:hint="eastAsia" w:ascii="仿宋" w:hAnsi="仿宋" w:eastAsia="仿宋" w:cs="仿宋"/>
          <w:highlight w:val="none"/>
        </w:rPr>
      </w:pPr>
    </w:p>
    <w:p>
      <w:pPr>
        <w:pStyle w:val="28"/>
        <w:ind w:left="0" w:leftChars="0" w:firstLine="0" w:firstLineChars="0"/>
        <w:rPr>
          <w:rFonts w:hint="eastAsia" w:ascii="仿宋" w:hAnsi="仿宋" w:eastAsia="仿宋" w:cs="仿宋"/>
          <w:highlight w:val="none"/>
        </w:rPr>
      </w:pPr>
    </w:p>
    <w:p>
      <w:pPr>
        <w:pStyle w:val="28"/>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3"/>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906"/>
        <w:gridCol w:w="2268"/>
        <w:gridCol w:w="2184"/>
        <w:gridCol w:w="1379"/>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90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4452"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906"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color w:val="000000" w:themeColor="text1"/>
                <w:kern w:val="0"/>
                <w:sz w:val="20"/>
                <w:szCs w:val="20"/>
                <w:highlight w:val="none"/>
                <w14:textFill>
                  <w14:solidFill>
                    <w14:schemeClr w14:val="tx1"/>
                  </w14:solidFill>
                </w14:textFill>
              </w:rPr>
              <w:t>服务方案</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kern w:val="0"/>
                <w:sz w:val="21"/>
                <w:szCs w:val="21"/>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①总体策划</w:t>
            </w:r>
          </w:p>
        </w:tc>
        <w:tc>
          <w:tcPr>
            <w:tcW w:w="218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注：每提供1项内容且表述完整、科学、可行的得3分，若提供的内容不合理或有瑕疵的每项得1.5分。不提供方案的不得分。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②专业化管理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③相关设备配备</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④专业人员配备</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⑤数据传输方案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⑥质量控制方案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⑦关于样本生物信息安全保护</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⑧隐私保密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906"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保障措施及服务质量承诺</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①实施保障措施和服务质量承诺有针对性</w:t>
            </w:r>
          </w:p>
        </w:tc>
        <w:tc>
          <w:tcPr>
            <w:tcW w:w="218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注：每提供1项内容且表述完整、科学、可行的得</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分，若提供的内容不合理或有瑕疵的每项得1</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分。不提供方案的不得分。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②切实考虑项目实施实际情况</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③提出解决方案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④措施完善可行、具体合理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90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物流运输方案</w:t>
            </w:r>
          </w:p>
        </w:tc>
        <w:tc>
          <w:tcPr>
            <w:tcW w:w="4452" w:type="dxa"/>
            <w:gridSpan w:val="2"/>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对各响应人物流运输方案，能否保证样本运输安全，样本运输是否完整，是否做到全程直立、冷藏、封闭进行横向评议及打分：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（1）能满足以上要求，且响应人自带物流运输团队者5分，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（2）基本满足以上要求，与第三方物流运输团队签订合作协议者得3分，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（3）无自带物流运输团队且未与第三方物流运输团队签订合作协议者得0分。</w:t>
            </w:r>
          </w:p>
          <w:p>
            <w:pPr>
              <w:keepNext w:val="0"/>
              <w:keepLines w:val="0"/>
              <w:suppressLineNumbers w:val="0"/>
              <w:spacing w:before="0" w:beforeAutospacing="0" w:after="0" w:afterAutospacing="0"/>
              <w:ind w:left="0" w:right="0"/>
              <w:jc w:val="left"/>
              <w:rPr>
                <w:rFonts w:hint="default"/>
                <w:highlight w:val="none"/>
              </w:rPr>
            </w:pPr>
            <w:r>
              <w:rPr>
                <w:rFonts w:hint="default" w:ascii="仿宋" w:hAnsi="仿宋" w:eastAsia="仿宋" w:cs="仿宋"/>
                <w:color w:val="000000" w:themeColor="text1"/>
                <w:kern w:val="0"/>
                <w:sz w:val="20"/>
                <w:szCs w:val="20"/>
                <w:highlight w:val="none"/>
                <w14:textFill>
                  <w14:solidFill>
                    <w14:schemeClr w14:val="tx1"/>
                  </w14:solidFill>
                </w14:textFill>
              </w:rPr>
              <w:t>注：提供相关方案的介绍说明，提供运输专用容器实物图片、提供全程电子监控系统的系统截图及介绍，无提供或资料不全者不得分。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9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对本次项目所投入的设施、设备的使用和管理方案</w:t>
            </w:r>
          </w:p>
        </w:tc>
        <w:tc>
          <w:tcPr>
            <w:tcW w:w="4452" w:type="dxa"/>
            <w:gridSpan w:val="2"/>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对各响应人对本次项目所投入的设施、设备的使用是否完善可行、具体合理，进行评议及打分：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（1）响应人针对本次项目所投入的设施、设备高端，能满足本项目实施需要，配置合理的得4分，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（2）所投入的设施、设备存在差距者得2分，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（3）所投入的设施、设备基本不满足用户需求者得1分，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（4）没有提供任何说明或证明材料的得0分。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注：须提供设备实物图片及对应的有效的设备购买合同及发票加盖公章），无提供或资料不全者不得分。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8"/>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8"/>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二）技术评审证明资料</w:t>
      </w:r>
      <w:r>
        <w:rPr>
          <w:rFonts w:hint="eastAsia" w:ascii="仿宋" w:hAnsi="仿宋" w:eastAsia="仿宋" w:cs="仿宋"/>
          <w:b/>
          <w:bCs w:val="0"/>
          <w:sz w:val="22"/>
          <w:szCs w:val="22"/>
          <w:highlight w:val="none"/>
          <w:lang w:val="en-US" w:eastAsia="zh-CN"/>
        </w:rPr>
        <w:t>（如有）</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1、服务方案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①总体策划：</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②专业化管理：</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③相关设备配备：</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④专业人员配备：</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⑤数据传输方案：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⑥质量控制方案：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⑦关于样本生物信息安全保护：</w:t>
      </w:r>
    </w:p>
    <w:p>
      <w:pPr>
        <w:spacing w:before="213"/>
        <w:ind w:right="86" w:rightChars="0"/>
        <w:jc w:val="left"/>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⑧隐私保密</w:t>
      </w:r>
    </w:p>
    <w:p>
      <w:pPr>
        <w:pStyle w:val="31"/>
        <w:jc w:val="center"/>
        <w:rPr>
          <w:rFonts w:hint="eastAsia" w:ascii="仿宋" w:hAnsi="仿宋" w:eastAsia="仿宋" w:cs="仿宋"/>
          <w:b/>
          <w:bCs w:val="0"/>
          <w:sz w:val="28"/>
          <w:szCs w:val="28"/>
          <w:highlight w:val="none"/>
          <w:lang w:eastAsia="zh-CN"/>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2、保障措施及服务质量承诺</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①实施保障措施和服务质量承诺有针对性：</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②切实考虑项目实施实际情况：</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③提出解决方案：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④措施完善可行、具体合理：</w:t>
      </w:r>
    </w:p>
    <w:p>
      <w:pPr>
        <w:pStyle w:val="31"/>
        <w:jc w:val="center"/>
        <w:rPr>
          <w:rFonts w:hint="eastAsia" w:ascii="仿宋" w:hAnsi="仿宋" w:eastAsia="仿宋" w:cs="仿宋"/>
          <w:b/>
          <w:bCs w:val="0"/>
          <w:sz w:val="28"/>
          <w:szCs w:val="28"/>
          <w:highlight w:val="none"/>
          <w:lang w:eastAsia="zh-CN"/>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3、物流运输方案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4、对本次项目所投入的设施、设备的使用和管理方案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提供设备实物图片及对应的有效的设备购买合同及发票加盖公章），无提供或资料不全者不得分。</w:t>
      </w:r>
      <w:r>
        <w:rPr>
          <w:rFonts w:hint="eastAsia" w:ascii="仿宋" w:hAnsi="仿宋" w:eastAsia="仿宋" w:cs="仿宋"/>
          <w:color w:val="auto"/>
          <w:szCs w:val="21"/>
          <w:highlight w:val="none"/>
          <w:lang w:val="en-GB" w:eastAsia="zh-CN"/>
        </w:rPr>
        <w:t>）</w:t>
      </w: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ind w:left="0" w:leftChars="0" w:firstLine="0" w:firstLineChars="0"/>
        <w:rPr>
          <w:rFonts w:hint="default" w:ascii="仿宋" w:hAnsi="仿宋" w:eastAsia="仿宋" w:cs="仿宋"/>
          <w:color w:val="auto"/>
          <w:sz w:val="24"/>
          <w:highlight w:val="none"/>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A1F25B-EFDA-4C7C-8F10-78F9D6AC20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A6E33E84-F25F-4154-ABBF-975D50BAAB31}"/>
  </w:font>
  <w:font w:name="仿宋_GB2312">
    <w:panose1 w:val="02010609030101010101"/>
    <w:charset w:val="86"/>
    <w:family w:val="modern"/>
    <w:pitch w:val="default"/>
    <w:sig w:usb0="00000001" w:usb1="080E0000" w:usb2="00000000" w:usb3="00000000" w:csb0="00040000" w:csb1="00000000"/>
    <w:embedRegular r:id="rId3" w:fontKey="{467D06D5-AF57-404E-9F31-BC2BE9E1F1FC}"/>
  </w:font>
  <w:font w:name="微软雅黑">
    <w:panose1 w:val="020B0503020204020204"/>
    <w:charset w:val="86"/>
    <w:family w:val="auto"/>
    <w:pitch w:val="default"/>
    <w:sig w:usb0="80000287" w:usb1="280F3C52" w:usb2="00000016" w:usb3="00000000" w:csb0="0004001F" w:csb1="00000000"/>
    <w:embedRegular r:id="rId4" w:fontKey="{3FB1F611-10FE-4E73-AE36-E4F0DA540DC7}"/>
  </w:font>
  <w:font w:name="方正仿宋简体">
    <w:panose1 w:val="02000000000000000000"/>
    <w:charset w:val="86"/>
    <w:family w:val="auto"/>
    <w:pitch w:val="default"/>
    <w:sig w:usb0="A00002BF" w:usb1="184F6CFA" w:usb2="00000012" w:usb3="00000000" w:csb0="00040001" w:csb1="00000000"/>
    <w:embedRegular r:id="rId5" w:fontKey="{6FEC2AC8-1634-4341-97B8-469D9EC9A771}"/>
  </w:font>
  <w:font w:name="华文中宋">
    <w:panose1 w:val="02010600040101010101"/>
    <w:charset w:val="86"/>
    <w:family w:val="auto"/>
    <w:pitch w:val="default"/>
    <w:sig w:usb0="00000287" w:usb1="080F0000" w:usb2="00000000" w:usb3="00000000" w:csb0="0004009F" w:csb1="DFD70000"/>
    <w:embedRegular r:id="rId6" w:fontKey="{EB86F97E-959F-4447-AB80-6425AF549376}"/>
  </w:font>
  <w:font w:name="华文仿宋">
    <w:panose1 w:val="02010600040101010101"/>
    <w:charset w:val="86"/>
    <w:family w:val="auto"/>
    <w:pitch w:val="default"/>
    <w:sig w:usb0="00000287" w:usb1="080F0000" w:usb2="00000000" w:usb3="00000000" w:csb0="0004009F" w:csb1="DFD70000"/>
    <w:embedRegular r:id="rId7" w:fontKey="{EEEC3428-65B8-4E0A-8F69-2AB78B1E08EA}"/>
  </w:font>
  <w:font w:name="等线">
    <w:panose1 w:val="02010600030101010101"/>
    <w:charset w:val="86"/>
    <w:family w:val="auto"/>
    <w:pitch w:val="default"/>
    <w:sig w:usb0="A00002BF" w:usb1="38CF7CFA" w:usb2="00000016" w:usb3="00000000" w:csb0="0004000F" w:csb1="00000000"/>
    <w:embedRegular r:id="rId8" w:fontKey="{85A75CB6-323C-43CA-8DD9-56B1E290F986}"/>
  </w:font>
  <w:font w:name="Calibri Light">
    <w:panose1 w:val="020F0302020204030204"/>
    <w:charset w:val="00"/>
    <w:family w:val="swiss"/>
    <w:pitch w:val="default"/>
    <w:sig w:usb0="A00002EF" w:usb1="4000207B" w:usb2="00000000" w:usb3="00000000" w:csb0="2000019F" w:csb1="00000000"/>
    <w:embedRegular r:id="rId9" w:fontKey="{B2832E84-B356-428A-A896-1CFF1BB55217}"/>
  </w:font>
  <w:font w:name="方正小标宋简体">
    <w:altName w:val="方正舒体"/>
    <w:panose1 w:val="03000509000000000000"/>
    <w:charset w:val="86"/>
    <w:family w:val="script"/>
    <w:pitch w:val="default"/>
    <w:sig w:usb0="00000000" w:usb1="00000000" w:usb2="00000010" w:usb3="00000000" w:csb0="00040000" w:csb1="00000000"/>
    <w:embedRegular r:id="rId10" w:fontKey="{50E225CB-787B-4003-8C57-471ED36A40CF}"/>
  </w:font>
  <w:font w:name="Wingdings 2">
    <w:panose1 w:val="05020102010507070707"/>
    <w:charset w:val="00"/>
    <w:family w:val="auto"/>
    <w:pitch w:val="default"/>
    <w:sig w:usb0="00000000" w:usb1="00000000" w:usb2="00000000" w:usb3="00000000" w:csb0="80000000" w:csb1="00000000"/>
    <w:embedRegular r:id="rId11" w:fontKey="{6115AAF3-D142-442F-BDB6-85C27F89C809}"/>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sz w:val="18"/>
        <w:szCs w:val="24"/>
      </w:rPr>
    </w:pPr>
  </w:p>
  <w:p>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5"/>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5D38C"/>
    <w:multiLevelType w:val="singleLevel"/>
    <w:tmpl w:val="84A5D38C"/>
    <w:lvl w:ilvl="0" w:tentative="0">
      <w:start w:val="5"/>
      <w:numFmt w:val="decimal"/>
      <w:suff w:val="nothing"/>
      <w:lvlText w:val="%1、"/>
      <w:lvlJc w:val="left"/>
    </w:lvl>
  </w:abstractNum>
  <w:abstractNum w:abstractNumId="1">
    <w:nsid w:val="87D06C2A"/>
    <w:multiLevelType w:val="singleLevel"/>
    <w:tmpl w:val="87D06C2A"/>
    <w:lvl w:ilvl="0" w:tentative="0">
      <w:start w:val="1"/>
      <w:numFmt w:val="chineseCounting"/>
      <w:suff w:val="nothing"/>
      <w:lvlText w:val="%1、"/>
      <w:lvlJc w:val="left"/>
      <w:rPr>
        <w:rFonts w:hint="eastAsia"/>
      </w:rPr>
    </w:lvl>
  </w:abstractNum>
  <w:abstractNum w:abstractNumId="2">
    <w:nsid w:val="9A726A7D"/>
    <w:multiLevelType w:val="singleLevel"/>
    <w:tmpl w:val="9A726A7D"/>
    <w:lvl w:ilvl="0" w:tentative="0">
      <w:start w:val="2"/>
      <w:numFmt w:val="decimal"/>
      <w:lvlText w:val="%1."/>
      <w:lvlJc w:val="left"/>
      <w:pPr>
        <w:tabs>
          <w:tab w:val="left" w:pos="312"/>
        </w:tabs>
      </w:pPr>
    </w:lvl>
  </w:abstractNum>
  <w:abstractNum w:abstractNumId="3">
    <w:nsid w:val="BCB1E175"/>
    <w:multiLevelType w:val="singleLevel"/>
    <w:tmpl w:val="BCB1E175"/>
    <w:lvl w:ilvl="0" w:tentative="0">
      <w:start w:val="1"/>
      <w:numFmt w:val="decimal"/>
      <w:suff w:val="nothing"/>
      <w:lvlText w:val="（%1）"/>
      <w:lvlJc w:val="left"/>
    </w:lvl>
  </w:abstractNum>
  <w:abstractNum w:abstractNumId="4">
    <w:nsid w:val="BF082202"/>
    <w:multiLevelType w:val="singleLevel"/>
    <w:tmpl w:val="BF082202"/>
    <w:lvl w:ilvl="0" w:tentative="0">
      <w:start w:val="1"/>
      <w:numFmt w:val="decimal"/>
      <w:suff w:val="nothing"/>
      <w:lvlText w:val="（%1）"/>
      <w:lvlJc w:val="left"/>
    </w:lvl>
  </w:abstractNum>
  <w:abstractNum w:abstractNumId="5">
    <w:nsid w:val="F01566FE"/>
    <w:multiLevelType w:val="singleLevel"/>
    <w:tmpl w:val="F01566FE"/>
    <w:lvl w:ilvl="0" w:tentative="0">
      <w:start w:val="1"/>
      <w:numFmt w:val="decimal"/>
      <w:suff w:val="nothing"/>
      <w:lvlText w:val="（%1）"/>
      <w:lvlJc w:val="left"/>
    </w:lvl>
  </w:abstractNum>
  <w:abstractNum w:abstractNumId="6">
    <w:nsid w:val="FD79DDF3"/>
    <w:multiLevelType w:val="singleLevel"/>
    <w:tmpl w:val="FD79DDF3"/>
    <w:lvl w:ilvl="0" w:tentative="0">
      <w:start w:val="1"/>
      <w:numFmt w:val="chineseCounting"/>
      <w:suff w:val="nothing"/>
      <w:lvlText w:val="（%1）"/>
      <w:lvlJc w:val="left"/>
      <w:rPr>
        <w:rFonts w:hint="eastAsia"/>
      </w:rPr>
    </w:lvl>
  </w:abstractNum>
  <w:abstractNum w:abstractNumId="7">
    <w:nsid w:val="00000001"/>
    <w:multiLevelType w:val="singleLevel"/>
    <w:tmpl w:val="00000001"/>
    <w:lvl w:ilvl="0" w:tentative="0">
      <w:start w:val="4"/>
      <w:numFmt w:val="decimal"/>
      <w:suff w:val="nothing"/>
      <w:lvlText w:val="（%1）"/>
      <w:lvlJc w:val="left"/>
    </w:lvl>
  </w:abstractNum>
  <w:abstractNum w:abstractNumId="8">
    <w:nsid w:val="00000002"/>
    <w:multiLevelType w:val="singleLevel"/>
    <w:tmpl w:val="00000002"/>
    <w:lvl w:ilvl="0" w:tentative="0">
      <w:start w:val="1"/>
      <w:numFmt w:val="decimal"/>
      <w:suff w:val="nothing"/>
      <w:lvlText w:val="%1、"/>
      <w:lvlJc w:val="left"/>
    </w:lvl>
  </w:abstractNum>
  <w:abstractNum w:abstractNumId="9">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10">
    <w:nsid w:val="00000004"/>
    <w:multiLevelType w:val="singleLevel"/>
    <w:tmpl w:val="00000004"/>
    <w:lvl w:ilvl="0" w:tentative="0">
      <w:start w:val="5"/>
      <w:numFmt w:val="chineseCounting"/>
      <w:suff w:val="nothing"/>
      <w:lvlText w:val="（%1）"/>
      <w:lvlJc w:val="left"/>
      <w:rPr>
        <w:rFonts w:hint="eastAsia"/>
      </w:rPr>
    </w:lvl>
  </w:abstractNum>
  <w:abstractNum w:abstractNumId="11">
    <w:nsid w:val="00000005"/>
    <w:multiLevelType w:val="singleLevel"/>
    <w:tmpl w:val="00000005"/>
    <w:lvl w:ilvl="0" w:tentative="0">
      <w:start w:val="1"/>
      <w:numFmt w:val="decimal"/>
      <w:lvlText w:val="(%1)"/>
      <w:lvlJc w:val="left"/>
      <w:pPr>
        <w:ind w:left="425" w:hanging="425"/>
      </w:pPr>
      <w:rPr>
        <w:rFonts w:hint="default"/>
      </w:rPr>
    </w:lvl>
  </w:abstractNum>
  <w:abstractNum w:abstractNumId="12">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00000008"/>
    <w:multiLevelType w:val="singleLevel"/>
    <w:tmpl w:val="00000008"/>
    <w:lvl w:ilvl="0" w:tentative="0">
      <w:start w:val="1"/>
      <w:numFmt w:val="decimal"/>
      <w:suff w:val="nothing"/>
      <w:lvlText w:val="%1、"/>
      <w:lvlJc w:val="left"/>
    </w:lvl>
  </w:abstractNum>
  <w:abstractNum w:abstractNumId="14">
    <w:nsid w:val="00000009"/>
    <w:multiLevelType w:val="singleLevel"/>
    <w:tmpl w:val="00000009"/>
    <w:lvl w:ilvl="0" w:tentative="0">
      <w:start w:val="1"/>
      <w:numFmt w:val="chineseCounting"/>
      <w:suff w:val="nothing"/>
      <w:lvlText w:val="%1、"/>
      <w:lvlJc w:val="left"/>
      <w:rPr>
        <w:rFonts w:hint="eastAsia"/>
      </w:rPr>
    </w:lvl>
  </w:abstractNum>
  <w:num w:numId="1">
    <w:abstractNumId w:val="14"/>
  </w:num>
  <w:num w:numId="2">
    <w:abstractNumId w:val="13"/>
  </w:num>
  <w:num w:numId="3">
    <w:abstractNumId w:val="1"/>
  </w:num>
  <w:num w:numId="4">
    <w:abstractNumId w:val="6"/>
  </w:num>
  <w:num w:numId="5">
    <w:abstractNumId w:val="0"/>
  </w:num>
  <w:num w:numId="6">
    <w:abstractNumId w:val="2"/>
  </w:num>
  <w:num w:numId="7">
    <w:abstractNumId w:val="9"/>
  </w:num>
  <w:num w:numId="8">
    <w:abstractNumId w:val="12"/>
  </w:num>
  <w:num w:numId="9">
    <w:abstractNumId w:val="10"/>
  </w:num>
  <w:num w:numId="10">
    <w:abstractNumId w:val="3"/>
  </w:num>
  <w:num w:numId="11">
    <w:abstractNumId w:val="7"/>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63E4AA0"/>
    <w:rsid w:val="067526A6"/>
    <w:rsid w:val="06FA58F7"/>
    <w:rsid w:val="075065BC"/>
    <w:rsid w:val="09D40490"/>
    <w:rsid w:val="0A60541B"/>
    <w:rsid w:val="0A8E2B46"/>
    <w:rsid w:val="0A941E7B"/>
    <w:rsid w:val="0AAE43D8"/>
    <w:rsid w:val="0B514187"/>
    <w:rsid w:val="0BBC7E87"/>
    <w:rsid w:val="0C8427D5"/>
    <w:rsid w:val="0CFE636F"/>
    <w:rsid w:val="0D0D18D2"/>
    <w:rsid w:val="0D501777"/>
    <w:rsid w:val="0D6C40D7"/>
    <w:rsid w:val="0EDE2DB2"/>
    <w:rsid w:val="0F427A7F"/>
    <w:rsid w:val="0FBF2A5C"/>
    <w:rsid w:val="110F33C7"/>
    <w:rsid w:val="11847C41"/>
    <w:rsid w:val="11856A79"/>
    <w:rsid w:val="11BF17D1"/>
    <w:rsid w:val="12802419"/>
    <w:rsid w:val="13301717"/>
    <w:rsid w:val="139744C7"/>
    <w:rsid w:val="14BA1BCC"/>
    <w:rsid w:val="14EA4F37"/>
    <w:rsid w:val="154F0566"/>
    <w:rsid w:val="159A53A0"/>
    <w:rsid w:val="16833141"/>
    <w:rsid w:val="179D48DD"/>
    <w:rsid w:val="187664E8"/>
    <w:rsid w:val="187C765F"/>
    <w:rsid w:val="18C4696A"/>
    <w:rsid w:val="1968057B"/>
    <w:rsid w:val="1A0B4997"/>
    <w:rsid w:val="1A22449B"/>
    <w:rsid w:val="1AD67034"/>
    <w:rsid w:val="1BA57E2E"/>
    <w:rsid w:val="1BEA2D97"/>
    <w:rsid w:val="1C3F7586"/>
    <w:rsid w:val="1DB573D4"/>
    <w:rsid w:val="1DF0665E"/>
    <w:rsid w:val="1E2125FB"/>
    <w:rsid w:val="210A0486"/>
    <w:rsid w:val="21483265"/>
    <w:rsid w:val="218252CD"/>
    <w:rsid w:val="22687088"/>
    <w:rsid w:val="2340171D"/>
    <w:rsid w:val="245F3AFB"/>
    <w:rsid w:val="24A106C5"/>
    <w:rsid w:val="26CC5EBA"/>
    <w:rsid w:val="27003DB6"/>
    <w:rsid w:val="273B1A56"/>
    <w:rsid w:val="28081174"/>
    <w:rsid w:val="28A32C4B"/>
    <w:rsid w:val="28BE5916"/>
    <w:rsid w:val="2987256D"/>
    <w:rsid w:val="29BB3FC4"/>
    <w:rsid w:val="2B7A1DA6"/>
    <w:rsid w:val="2C453C76"/>
    <w:rsid w:val="2D4B38B1"/>
    <w:rsid w:val="2DB17BB8"/>
    <w:rsid w:val="2ED753FC"/>
    <w:rsid w:val="2F75117C"/>
    <w:rsid w:val="31387621"/>
    <w:rsid w:val="31E542D4"/>
    <w:rsid w:val="32586854"/>
    <w:rsid w:val="32BD3818"/>
    <w:rsid w:val="33B271F9"/>
    <w:rsid w:val="33CB2BCE"/>
    <w:rsid w:val="34237D70"/>
    <w:rsid w:val="34BC28FE"/>
    <w:rsid w:val="34D83C7C"/>
    <w:rsid w:val="357A5104"/>
    <w:rsid w:val="3660007A"/>
    <w:rsid w:val="368A2CA5"/>
    <w:rsid w:val="372E5DD5"/>
    <w:rsid w:val="3A2A4F7A"/>
    <w:rsid w:val="3A54457F"/>
    <w:rsid w:val="3B491430"/>
    <w:rsid w:val="3B661EE9"/>
    <w:rsid w:val="3BDE40A0"/>
    <w:rsid w:val="3CBB45AF"/>
    <w:rsid w:val="3D3B749E"/>
    <w:rsid w:val="3D534E22"/>
    <w:rsid w:val="3D632551"/>
    <w:rsid w:val="3E0E1FAB"/>
    <w:rsid w:val="3E1F291C"/>
    <w:rsid w:val="41115F4D"/>
    <w:rsid w:val="41A53138"/>
    <w:rsid w:val="42562684"/>
    <w:rsid w:val="42654E02"/>
    <w:rsid w:val="433D4D5F"/>
    <w:rsid w:val="43784FA8"/>
    <w:rsid w:val="43A713E9"/>
    <w:rsid w:val="43DD571B"/>
    <w:rsid w:val="43F809F6"/>
    <w:rsid w:val="443706EB"/>
    <w:rsid w:val="44D92399"/>
    <w:rsid w:val="46615970"/>
    <w:rsid w:val="46AE2A8F"/>
    <w:rsid w:val="47413903"/>
    <w:rsid w:val="47864B3D"/>
    <w:rsid w:val="47A6238E"/>
    <w:rsid w:val="48FF5824"/>
    <w:rsid w:val="4936006A"/>
    <w:rsid w:val="49A81A17"/>
    <w:rsid w:val="4B702B99"/>
    <w:rsid w:val="4BAF3063"/>
    <w:rsid w:val="4BEB7011"/>
    <w:rsid w:val="4CDF5C2C"/>
    <w:rsid w:val="4E927B57"/>
    <w:rsid w:val="4ECA2736"/>
    <w:rsid w:val="4F263818"/>
    <w:rsid w:val="4F2A5CF9"/>
    <w:rsid w:val="4F836A0B"/>
    <w:rsid w:val="4F867008"/>
    <w:rsid w:val="4FA113E3"/>
    <w:rsid w:val="4FF5172F"/>
    <w:rsid w:val="51981FF4"/>
    <w:rsid w:val="521248BB"/>
    <w:rsid w:val="535179C8"/>
    <w:rsid w:val="56BE0ACC"/>
    <w:rsid w:val="58410BD1"/>
    <w:rsid w:val="597332A9"/>
    <w:rsid w:val="59822F36"/>
    <w:rsid w:val="59C83A10"/>
    <w:rsid w:val="59E83A74"/>
    <w:rsid w:val="5AC97A40"/>
    <w:rsid w:val="5AE77A88"/>
    <w:rsid w:val="5AED3308"/>
    <w:rsid w:val="5C91106B"/>
    <w:rsid w:val="5CAF688C"/>
    <w:rsid w:val="5CCE5BB9"/>
    <w:rsid w:val="5D927A4C"/>
    <w:rsid w:val="5FF7215C"/>
    <w:rsid w:val="61747643"/>
    <w:rsid w:val="621F7940"/>
    <w:rsid w:val="62E53885"/>
    <w:rsid w:val="647A512C"/>
    <w:rsid w:val="65040E2E"/>
    <w:rsid w:val="658C03A5"/>
    <w:rsid w:val="66121185"/>
    <w:rsid w:val="663A7A43"/>
    <w:rsid w:val="66E45EF7"/>
    <w:rsid w:val="671D498D"/>
    <w:rsid w:val="67BF28F6"/>
    <w:rsid w:val="68D61835"/>
    <w:rsid w:val="69C019BC"/>
    <w:rsid w:val="6A011020"/>
    <w:rsid w:val="6A467F43"/>
    <w:rsid w:val="6AB37DC4"/>
    <w:rsid w:val="6AFB2C72"/>
    <w:rsid w:val="6BE41190"/>
    <w:rsid w:val="6CE4000B"/>
    <w:rsid w:val="6CF748E0"/>
    <w:rsid w:val="6D6D06FE"/>
    <w:rsid w:val="6DB274EF"/>
    <w:rsid w:val="6DFC1B3A"/>
    <w:rsid w:val="6E6C6E9D"/>
    <w:rsid w:val="6FBD3D0E"/>
    <w:rsid w:val="70E138DD"/>
    <w:rsid w:val="72255479"/>
    <w:rsid w:val="735C549D"/>
    <w:rsid w:val="73A62BBC"/>
    <w:rsid w:val="753041DB"/>
    <w:rsid w:val="75710819"/>
    <w:rsid w:val="7641097A"/>
    <w:rsid w:val="76A809F9"/>
    <w:rsid w:val="76AD5163"/>
    <w:rsid w:val="76D01188"/>
    <w:rsid w:val="76E47C83"/>
    <w:rsid w:val="77703DAA"/>
    <w:rsid w:val="780D5B39"/>
    <w:rsid w:val="78882890"/>
    <w:rsid w:val="7A0254AD"/>
    <w:rsid w:val="7A4A42A1"/>
    <w:rsid w:val="7C697D62"/>
    <w:rsid w:val="7C701AE6"/>
    <w:rsid w:val="7F3379FA"/>
    <w:rsid w:val="7FB6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styleId="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Body Text First Indent"/>
    <w:basedOn w:val="7"/>
    <w:qFormat/>
    <w:uiPriority w:val="99"/>
    <w:pPr>
      <w:spacing w:after="120"/>
      <w:ind w:firstLine="420" w:firstLineChars="100"/>
    </w:pPr>
    <w:rPr>
      <w:sz w:val="21"/>
    </w:rPr>
  </w:style>
  <w:style w:type="paragraph" w:styleId="22">
    <w:name w:val="Body Text First Indent 2"/>
    <w:basedOn w:val="12"/>
    <w:qFormat/>
    <w:uiPriority w:val="0"/>
    <w:pPr>
      <w:spacing w:after="120"/>
      <w:ind w:left="420" w:leftChars="200" w:firstLine="420" w:firstLineChars="200"/>
    </w:pPr>
    <w:rPr>
      <w:rFonts w:eastAsia="仿宋"/>
      <w:sz w:val="28"/>
      <w:szCs w:val="24"/>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_Style 3"/>
    <w:basedOn w:val="1"/>
    <w:qFormat/>
    <w:uiPriority w:val="0"/>
    <w:pPr>
      <w:ind w:firstLine="420" w:firstLineChars="200"/>
    </w:pPr>
    <w:rPr>
      <w:sz w:val="20"/>
    </w:rPr>
  </w:style>
  <w:style w:type="paragraph" w:customStyle="1" w:styleId="29">
    <w:name w:val="表格文字"/>
    <w:basedOn w:val="1"/>
    <w:qFormat/>
    <w:uiPriority w:val="0"/>
    <w:pPr>
      <w:spacing w:before="25" w:after="25"/>
      <w:jc w:val="left"/>
    </w:pPr>
    <w:rPr>
      <w:bCs/>
      <w:spacing w:val="10"/>
      <w:kern w:val="0"/>
      <w:sz w:val="24"/>
      <w:szCs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28935</Words>
  <Characters>30067</Characters>
  <Paragraphs>1869</Paragraphs>
  <TotalTime>5</TotalTime>
  <ScaleCrop>false</ScaleCrop>
  <LinksUpToDate>false</LinksUpToDate>
  <CharactersWithSpaces>32776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gillrenc</cp:lastModifiedBy>
  <dcterms:modified xsi:type="dcterms:W3CDTF">2023-03-30T00:57:35Z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