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2"/>
        <w:rPr>
          <w:rFonts w:hint="eastAsia"/>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w:t>
      </w:r>
      <w:r>
        <w:rPr>
          <w:rFonts w:hint="eastAsia" w:ascii="微软雅黑" w:hAnsi="微软雅黑" w:eastAsia="微软雅黑" w:cs="微软雅黑"/>
          <w:b/>
          <w:bCs/>
          <w:color w:val="000000"/>
          <w:spacing w:val="-30"/>
          <w:sz w:val="72"/>
          <w:szCs w:val="72"/>
          <w:highlight w:val="none"/>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w:t>
      </w:r>
      <w:r>
        <w:rPr>
          <w:rFonts w:hint="default" w:ascii="方正仿宋简体" w:hAnsi="方正仿宋简体" w:eastAsia="方正仿宋简体" w:cs="方正仿宋简体"/>
          <w:b/>
          <w:bCs/>
          <w:i w:val="0"/>
          <w:iCs w:val="0"/>
          <w:color w:val="auto"/>
          <w:kern w:val="2"/>
          <w:sz w:val="28"/>
          <w:szCs w:val="28"/>
          <w:highlight w:val="none"/>
          <w:vertAlign w:val="baseline"/>
          <w:lang w:val="en-US" w:eastAsia="zh-CN" w:bidi="ar-SA"/>
        </w:rPr>
        <w:t>ZCB-202</w:t>
      </w:r>
      <w:r>
        <w:rPr>
          <w:rFonts w:hint="eastAsia" w:ascii="方正仿宋简体" w:hAnsi="方正仿宋简体" w:eastAsia="方正仿宋简体" w:cs="方正仿宋简体"/>
          <w:b/>
          <w:bCs/>
          <w:i w:val="0"/>
          <w:iCs w:val="0"/>
          <w:color w:val="auto"/>
          <w:kern w:val="2"/>
          <w:sz w:val="28"/>
          <w:szCs w:val="28"/>
          <w:highlight w:val="none"/>
          <w:vertAlign w:val="baseline"/>
          <w:lang w:val="en-US" w:eastAsia="zh-CN" w:bidi="ar-SA"/>
        </w:rPr>
        <w:t>3045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南北院区及南海精准免疫转化创新中心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center"/>
        <w:textAlignment w:val="auto"/>
        <w:rPr>
          <w:rFonts w:hint="eastAsia" w:ascii="方正仿宋简体" w:hAnsi="方正仿宋简体" w:eastAsia="方正仿宋简体" w:cs="方正仿宋简体"/>
          <w:b/>
          <w:bCs/>
          <w:color w:val="000000"/>
          <w:sz w:val="28"/>
          <w:szCs w:val="28"/>
          <w:highlight w:val="none"/>
          <w:u w:val="single"/>
          <w:lang w:val="en-US" w:eastAsia="zh-CN"/>
        </w:rPr>
      </w:pPr>
      <w:r>
        <w:rPr>
          <w:rFonts w:hint="eastAsia" w:ascii="方正仿宋简体" w:hAnsi="方正仿宋简体" w:eastAsia="方正仿宋简体" w:cs="方正仿宋简体"/>
          <w:b/>
          <w:bCs/>
          <w:color w:val="000000"/>
          <w:sz w:val="28"/>
          <w:szCs w:val="28"/>
          <w:highlight w:val="none"/>
          <w:u w:val="none"/>
          <w:lang w:val="en-US" w:eastAsia="zh-CN"/>
        </w:rPr>
        <w:t xml:space="preserve">    </w:t>
      </w:r>
      <w:r>
        <w:rPr>
          <w:rFonts w:hint="eastAsia" w:ascii="方正仿宋简体" w:hAnsi="方正仿宋简体" w:eastAsia="方正仿宋简体" w:cs="方正仿宋简体"/>
          <w:b/>
          <w:bCs/>
          <w:color w:val="000000"/>
          <w:sz w:val="28"/>
          <w:szCs w:val="28"/>
          <w:highlight w:val="none"/>
          <w:u w:val="single"/>
          <w:lang w:val="en-US" w:eastAsia="zh-CN"/>
        </w:rPr>
        <w:t>洁净空调滤网采购项目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2"/>
        <w:rPr>
          <w:rFonts w:hint="eastAsia"/>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sz w:val="28"/>
          <w:szCs w:val="28"/>
          <w:highlight w:val="none"/>
          <w:lang w:eastAsia="zh-CN"/>
        </w:rPr>
      </w:pPr>
      <w:r>
        <w:rPr>
          <w:rFonts w:hint="eastAsia" w:ascii="微软雅黑" w:hAnsi="微软雅黑" w:eastAsia="微软雅黑" w:cs="微软雅黑"/>
          <w:b/>
          <w:bCs/>
          <w:color w:val="000000"/>
          <w:sz w:val="28"/>
          <w:szCs w:val="28"/>
          <w:highlight w:val="none"/>
          <w:lang w:eastAsia="zh-CN"/>
        </w:rPr>
        <w:t>中山大学孙逸仙纪念医院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4</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6日</w:t>
      </w: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Style w:val="29"/>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  录</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TOC \o "1-1" \h \z \u </w:instrText>
      </w:r>
      <w:r>
        <w:rPr>
          <w:rFonts w:hint="eastAsia" w:ascii="华文仿宋" w:hAnsi="华文仿宋" w:eastAsia="华文仿宋" w:cs="华文仿宋"/>
          <w:b/>
          <w:color w:val="000000"/>
          <w:sz w:val="32"/>
          <w:szCs w:val="32"/>
          <w:highlight w:val="none"/>
        </w:rPr>
        <w:fldChar w:fldCharType="separate"/>
      </w: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"_Toc417914517"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第一章  </w:t>
      </w:r>
      <w:r>
        <w:rPr>
          <w:rStyle w:val="27"/>
          <w:rFonts w:hint="eastAsia" w:ascii="仿宋" w:hAnsi="仿宋" w:eastAsia="仿宋" w:cs="仿宋"/>
          <w:b/>
          <w:color w:val="000000"/>
          <w:sz w:val="32"/>
          <w:szCs w:val="32"/>
          <w:highlight w:val="none"/>
          <w:lang w:val="en-US" w:eastAsia="zh-CN"/>
        </w:rPr>
        <w:t>比选邀请</w:t>
      </w:r>
      <w:r>
        <w:rPr>
          <w:rStyle w:val="27"/>
          <w:rFonts w:hint="eastAsia" w:ascii="仿宋" w:hAnsi="仿宋" w:eastAsia="仿宋" w:cs="仿宋"/>
          <w:b/>
          <w:color w:val="000000"/>
          <w:sz w:val="32"/>
          <w:szCs w:val="32"/>
          <w:highlight w:val="none"/>
        </w:rPr>
        <w:t>函</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"_Toc417914518"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第二章  </w:t>
      </w:r>
      <w:r>
        <w:rPr>
          <w:rStyle w:val="27"/>
          <w:rFonts w:hint="eastAsia" w:ascii="华文仿宋" w:hAnsi="华文仿宋" w:eastAsia="华文仿宋" w:cs="华文仿宋"/>
          <w:b/>
          <w:color w:val="000000"/>
          <w:sz w:val="32"/>
          <w:szCs w:val="32"/>
          <w:highlight w:val="none"/>
          <w:lang w:eastAsia="zh-CN"/>
        </w:rPr>
        <w:t>用户</w:t>
      </w:r>
      <w:r>
        <w:rPr>
          <w:rStyle w:val="27"/>
          <w:rFonts w:hint="eastAsia" w:ascii="华文仿宋" w:hAnsi="华文仿宋" w:eastAsia="华文仿宋" w:cs="华文仿宋"/>
          <w:b/>
          <w:color w:val="000000"/>
          <w:sz w:val="32"/>
          <w:szCs w:val="32"/>
          <w:highlight w:val="none"/>
        </w:rPr>
        <w:t>需求书</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"_Toc417914519" </w:instrText>
      </w:r>
      <w:r>
        <w:rPr>
          <w:rFonts w:hint="eastAsia" w:ascii="华文仿宋" w:hAnsi="华文仿宋" w:eastAsia="华文仿宋" w:cs="华文仿宋"/>
          <w:b/>
          <w:color w:val="000000"/>
          <w:sz w:val="32"/>
          <w:szCs w:val="32"/>
          <w:highlight w:val="none"/>
        </w:rPr>
        <w:fldChar w:fldCharType="separate"/>
      </w:r>
      <w:r>
        <w:rPr>
          <w:rStyle w:val="27"/>
          <w:rFonts w:hint="eastAsia" w:ascii="华文仿宋" w:hAnsi="华文仿宋" w:eastAsia="华文仿宋" w:cs="华文仿宋"/>
          <w:b/>
          <w:color w:val="000000"/>
          <w:sz w:val="32"/>
          <w:szCs w:val="32"/>
          <w:highlight w:val="none"/>
        </w:rPr>
        <w:t xml:space="preserve">第三章  </w:t>
      </w:r>
      <w:r>
        <w:rPr>
          <w:rStyle w:val="27"/>
          <w:rFonts w:hint="eastAsia" w:ascii="华文仿宋" w:hAnsi="华文仿宋" w:eastAsia="华文仿宋" w:cs="华文仿宋"/>
          <w:b/>
          <w:color w:val="000000"/>
          <w:sz w:val="32"/>
          <w:szCs w:val="32"/>
          <w:highlight w:val="none"/>
          <w:lang w:val="en-US" w:eastAsia="zh-CN"/>
        </w:rPr>
        <w:t>响应</w:t>
      </w:r>
      <w:r>
        <w:rPr>
          <w:rStyle w:val="27"/>
          <w:rFonts w:hint="eastAsia" w:ascii="华文仿宋" w:hAnsi="华文仿宋" w:eastAsia="华文仿宋" w:cs="华文仿宋"/>
          <w:b/>
          <w:color w:val="000000"/>
          <w:sz w:val="32"/>
          <w:szCs w:val="32"/>
          <w:highlight w:val="none"/>
          <w:lang w:eastAsia="zh-CN"/>
        </w:rPr>
        <w:t>须知</w:t>
      </w:r>
      <w:r>
        <w:rPr>
          <w:rFonts w:hint="eastAsia" w:ascii="华文仿宋" w:hAnsi="华文仿宋" w:eastAsia="华文仿宋" w:cs="华文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sz w:val="32"/>
          <w:szCs w:val="32"/>
          <w:highlight w:val="none"/>
          <w:lang w:val="en-US" w:eastAsia="zh-CN"/>
        </w:rPr>
      </w:pPr>
      <w:r>
        <w:rPr>
          <w:rFonts w:hint="eastAsia" w:ascii="华文仿宋" w:hAnsi="华文仿宋" w:eastAsia="华文仿宋" w:cs="华文仿宋"/>
          <w:b/>
          <w:bCs/>
          <w:color w:val="000000"/>
          <w:sz w:val="32"/>
          <w:szCs w:val="32"/>
          <w:highlight w:val="none"/>
          <w:lang w:val="en-US" w:eastAsia="zh-CN"/>
        </w:rPr>
        <w:t>第四章  合同参考文本</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lang w:val="en-US" w:eastAsia="zh-CN"/>
        </w:rPr>
      </w:pPr>
      <w:r>
        <w:rPr>
          <w:rFonts w:hint="eastAsia" w:ascii="华文仿宋" w:hAnsi="华文仿宋" w:eastAsia="华文仿宋" w:cs="华文仿宋"/>
          <w:b/>
          <w:color w:val="000000"/>
          <w:sz w:val="32"/>
          <w:szCs w:val="32"/>
          <w:highlight w:val="none"/>
          <w:lang w:val="en-US" w:eastAsia="zh-CN"/>
        </w:rPr>
        <w:t>第五章  响应文件编制要求</w:t>
      </w:r>
    </w:p>
    <w:p>
      <w:pPr>
        <w:pStyle w:val="29"/>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华文仿宋" w:hAnsi="华文仿宋" w:eastAsia="华文仿宋" w:cs="华文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sectPr>
          <w:footerReference r:id="rId3" w:type="default"/>
          <w:pgSz w:w="11910" w:h="16840"/>
          <w:pgMar w:top="1060" w:right="1280" w:bottom="860" w:left="1300" w:header="720" w:footer="720" w:gutter="0"/>
          <w:pgBorders>
            <w:top w:val="none" w:sz="0" w:space="0"/>
            <w:left w:val="none" w:sz="0" w:space="0"/>
            <w:bottom w:val="none" w:sz="0" w:space="0"/>
            <w:right w:val="none" w:sz="0" w:space="0"/>
          </w:pgBorders>
          <w:cols w:space="720" w:num="1"/>
        </w:sectPr>
      </w:pPr>
    </w:p>
    <w:p>
      <w:pPr>
        <w:pStyle w:val="2"/>
        <w:rPr>
          <w:rFonts w:hint="eastAsia"/>
        </w:rPr>
      </w:pPr>
    </w:p>
    <w:p>
      <w:pPr>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50737285"/>
      <w:bookmarkStart w:id="1" w:name="_Toc385940868"/>
      <w:bookmarkStart w:id="2" w:name="_Toc385939527"/>
      <w:bookmarkStart w:id="3" w:name="_Toc50691018"/>
      <w:bookmarkStart w:id="4" w:name="_Toc50736465"/>
      <w:bookmarkStart w:id="5" w:name="_Toc76354913"/>
      <w:bookmarkStart w:id="6" w:name="_Toc50737317"/>
      <w:bookmarkStart w:id="7" w:name="_Toc417914517"/>
      <w:r>
        <w:rPr>
          <w:rFonts w:hint="eastAsia" w:ascii="微软雅黑" w:hAnsi="微软雅黑" w:eastAsia="微软雅黑" w:cs="微软雅黑"/>
          <w:color w:val="000000"/>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000000"/>
          <w:highlight w:val="none"/>
          <w:lang w:val="en-US" w:eastAsia="zh-CN"/>
        </w:rPr>
        <w:t>比选邀请</w:t>
      </w:r>
      <w:r>
        <w:rPr>
          <w:rFonts w:hint="eastAsia" w:ascii="微软雅黑" w:hAnsi="微软雅黑" w:eastAsia="微软雅黑" w:cs="微软雅黑"/>
          <w:color w:val="000000"/>
          <w:highlight w:val="none"/>
        </w:rPr>
        <w:t>函</w:t>
      </w:r>
      <w:bookmarkEnd w:id="7"/>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rPr>
          <w:rFonts w:hint="eastAsia" w:ascii="宋体" w:hAnsi="宋体" w:cs="宋体"/>
          <w:b/>
          <w:bCs/>
          <w:color w:val="000000"/>
          <w:kern w:val="44"/>
          <w:sz w:val="36"/>
          <w:szCs w:val="36"/>
          <w:highlight w:val="none"/>
          <w:lang w:val="en-US" w:eastAsia="zh-CN"/>
        </w:rPr>
      </w:pPr>
      <w:r>
        <w:rPr>
          <w:rFonts w:hint="eastAsia" w:ascii="宋体" w:hAnsi="宋体" w:cs="宋体"/>
          <w:b/>
          <w:bCs/>
          <w:color w:val="000000"/>
          <w:kern w:val="44"/>
          <w:sz w:val="36"/>
          <w:szCs w:val="36"/>
          <w:highlight w:val="none"/>
          <w:lang w:val="en-US" w:eastAsia="zh-CN"/>
        </w:rPr>
        <w:br w:type="page"/>
      </w: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比选邀请</w:t>
      </w:r>
      <w:r>
        <w:rPr>
          <w:rFonts w:hint="eastAsia" w:ascii="华文中宋" w:hAnsi="华文中宋" w:eastAsia="华文中宋" w:cs="华文中宋"/>
          <w:b/>
          <w:bCs/>
          <w:color w:val="000000"/>
          <w:kern w:val="44"/>
          <w:sz w:val="36"/>
          <w:szCs w:val="36"/>
          <w:highlight w:val="none"/>
        </w:rPr>
        <w:t>函</w:t>
      </w:r>
    </w:p>
    <w:p>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我院南北院区及南海精准免疫转化创新中心洁净空调滤网采购项目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bCs/>
          <w:i w:val="0"/>
          <w:iCs w:val="0"/>
          <w:color w:val="000000"/>
          <w:kern w:val="2"/>
          <w:sz w:val="24"/>
          <w:szCs w:val="24"/>
          <w:highlight w:val="none"/>
          <w:vertAlign w:val="baseline"/>
          <w:lang w:val="en-US" w:eastAsia="zh-CN" w:bidi="ar-SA"/>
        </w:rPr>
        <w:t>ZCB-2023045</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：中山大学孙逸仙纪念医院</w:t>
      </w:r>
      <w:r>
        <w:rPr>
          <w:rFonts w:hint="eastAsia" w:ascii="仿宋" w:hAnsi="仿宋" w:eastAsia="仿宋" w:cs="仿宋"/>
          <w:b/>
          <w:bCs w:val="0"/>
          <w:color w:val="000000"/>
          <w:sz w:val="24"/>
          <w:szCs w:val="24"/>
          <w:highlight w:val="none"/>
          <w:lang w:val="en-US" w:eastAsia="zh-CN"/>
        </w:rPr>
        <w:t>南北院区及南海精准免疫转化创新中心洁净空调滤网采购项目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3"/>
        <w:tblpPr w:leftFromText="180" w:rightFromText="180" w:vertAnchor="text" w:horzAnchor="page" w:tblpXSpec="center" w:tblpY="295"/>
        <w:tblOverlap w:val="never"/>
        <w:tblW w:w="10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5"/>
        <w:gridCol w:w="932"/>
        <w:gridCol w:w="2934"/>
        <w:gridCol w:w="1623"/>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91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采购标的</w:t>
            </w:r>
          </w:p>
        </w:tc>
        <w:tc>
          <w:tcPr>
            <w:tcW w:w="932"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数量</w:t>
            </w:r>
          </w:p>
        </w:tc>
        <w:tc>
          <w:tcPr>
            <w:tcW w:w="2934"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技术规格、参数及要求</w:t>
            </w:r>
          </w:p>
        </w:tc>
        <w:tc>
          <w:tcPr>
            <w:tcW w:w="1623"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（最高限价）</w:t>
            </w:r>
          </w:p>
        </w:tc>
        <w:tc>
          <w:tcPr>
            <w:tcW w:w="2072"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2915" w:type="dxa"/>
            <w:vAlign w:val="center"/>
          </w:tcPr>
          <w:p>
            <w:pPr>
              <w:keepNext w:val="0"/>
              <w:keepLines w:val="0"/>
              <w:suppressLineNumbers w:val="0"/>
              <w:autoSpaceDE w:val="0"/>
              <w:autoSpaceDN w:val="0"/>
              <w:spacing w:before="0" w:beforeAutospacing="0" w:after="0" w:afterAutospacing="0"/>
              <w:ind w:left="0" w:right="0"/>
              <w:jc w:val="cente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南北院区及南海精准免疫转化创新中心洁净空调初、中、高效空气过滤器</w:t>
            </w:r>
          </w:p>
        </w:tc>
        <w:tc>
          <w:tcPr>
            <w:tcW w:w="932" w:type="dxa"/>
            <w:vAlign w:val="center"/>
          </w:tcPr>
          <w:p>
            <w:pPr>
              <w:keepNext w:val="0"/>
              <w:keepLines w:val="0"/>
              <w:suppressLineNumbers w:val="0"/>
              <w:autoSpaceDE w:val="0"/>
              <w:autoSpaceDN w:val="0"/>
              <w:spacing w:before="0" w:beforeAutospacing="0" w:after="0" w:afterAutospacing="0"/>
              <w:ind w:left="0" w:right="0"/>
              <w:jc w:val="center"/>
              <w:rPr>
                <w:rFonts w:hint="default"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1批</w:t>
            </w:r>
          </w:p>
        </w:tc>
        <w:tc>
          <w:tcPr>
            <w:tcW w:w="293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详见附件1比选文件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第二部分用户需求书</w:t>
            </w:r>
          </w:p>
        </w:tc>
        <w:tc>
          <w:tcPr>
            <w:tcW w:w="1623"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人民币</w:t>
            </w:r>
            <w:r>
              <w:rPr>
                <w:rFonts w:hint="eastAsia" w:ascii="仿宋" w:hAnsi="仿宋" w:eastAsia="仿宋" w:cs="仿宋"/>
                <w:color w:val="000000" w:themeColor="text1"/>
                <w:sz w:val="24"/>
                <w:szCs w:val="24"/>
                <w:highlight w:val="none"/>
                <w:lang w:val="en-US" w:eastAsia="zh-CN"/>
                <w14:textFill>
                  <w14:solidFill>
                    <w14:schemeClr w14:val="tx1"/>
                  </w14:solidFill>
                </w14:textFill>
              </w:rPr>
              <w:t>646812.60</w:t>
            </w:r>
          </w:p>
        </w:tc>
        <w:tc>
          <w:tcPr>
            <w:tcW w:w="2072"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自合同生效之日起</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年</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w:t>
      </w:r>
      <w:r>
        <w:rPr>
          <w:rFonts w:hint="eastAsia" w:ascii="仿宋" w:hAnsi="仿宋" w:eastAsia="仿宋" w:cs="仿宋"/>
          <w:bCs/>
          <w:color w:val="000000"/>
          <w:sz w:val="24"/>
          <w:szCs w:val="24"/>
          <w:highlight w:val="none"/>
          <w:lang w:eastAsia="zh-CN"/>
        </w:rPr>
        <w:t>比选文件</w:t>
      </w:r>
      <w:r>
        <w:rPr>
          <w:rFonts w:hint="eastAsia" w:ascii="仿宋" w:hAnsi="仿宋" w:eastAsia="仿宋" w:cs="仿宋"/>
          <w:bCs/>
          <w:color w:val="000000"/>
          <w:sz w:val="24"/>
          <w:szCs w:val="24"/>
          <w:highlight w:val="none"/>
        </w:rPr>
        <w:t>中的“用户需求书”。</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2、项目时间：按采购人需求，分批次供货；</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3、项目地点：采购人指定地点。</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bCs/>
          <w:color w:val="000000"/>
          <w:sz w:val="24"/>
          <w:szCs w:val="24"/>
          <w:highlight w:val="none"/>
          <w:lang w:val="en-US" w:eastAsia="zh-CN"/>
        </w:rPr>
        <w:t>本项目不接受联合体响应，成交供应商不得以任何方式转包或分包本项目。</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000000"/>
          <w:spacing w:val="0"/>
          <w:sz w:val="24"/>
          <w:szCs w:val="24"/>
          <w:u w:val="none"/>
          <w:vertAlign w:val="baseline"/>
          <w:lang w:val="en-US" w:eastAsia="zh-CN"/>
        </w:rPr>
        <w:t>四</w:t>
      </w:r>
      <w:r>
        <w:rPr>
          <w:rStyle w:val="26"/>
          <w:rFonts w:hint="eastAsia" w:ascii="仿宋" w:hAnsi="仿宋" w:eastAsia="仿宋" w:cs="仿宋"/>
          <w:b/>
          <w:bCs/>
          <w:i w:val="0"/>
          <w:iCs w:val="0"/>
          <w:caps w:val="0"/>
          <w:color w:val="000000"/>
          <w:spacing w:val="0"/>
          <w:sz w:val="24"/>
          <w:szCs w:val="24"/>
          <w:u w:val="none"/>
          <w:vertAlign w:val="baseline"/>
        </w:rPr>
        <w:t>、提供资料相关事项</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u w:val="none"/>
          <w:vertAlign w:val="baseline"/>
        </w:rPr>
      </w:pPr>
      <w:r>
        <w:rPr>
          <w:rStyle w:val="26"/>
          <w:rFonts w:hint="eastAsia" w:ascii="仿宋" w:hAnsi="仿宋" w:eastAsia="仿宋" w:cs="仿宋"/>
          <w:b w:val="0"/>
          <w:bCs w:val="0"/>
          <w:i w:val="0"/>
          <w:iCs w:val="0"/>
          <w:caps w:val="0"/>
          <w:color w:val="000000"/>
          <w:spacing w:val="0"/>
          <w:sz w:val="24"/>
          <w:szCs w:val="24"/>
          <w:u w:val="none"/>
          <w:vertAlign w:val="baseline"/>
          <w:lang w:val="en-US" w:eastAsia="zh-CN"/>
        </w:rPr>
        <w:t>1</w:t>
      </w:r>
      <w:r>
        <w:rPr>
          <w:rStyle w:val="26"/>
          <w:rFonts w:hint="eastAsia" w:ascii="仿宋" w:hAnsi="仿宋" w:eastAsia="仿宋" w:cs="仿宋"/>
          <w:b w:val="0"/>
          <w:bCs w:val="0"/>
          <w:i w:val="0"/>
          <w:iCs w:val="0"/>
          <w:caps w:val="0"/>
          <w:color w:val="000000"/>
          <w:spacing w:val="0"/>
          <w:sz w:val="24"/>
          <w:szCs w:val="24"/>
          <w:u w:val="none"/>
          <w:vertAlign w:val="baseline"/>
        </w:rPr>
        <w:t>.报名方式：</w:t>
      </w:r>
      <w:r>
        <w:rPr>
          <w:rFonts w:hint="eastAsia" w:ascii="仿宋" w:hAnsi="仿宋" w:eastAsia="仿宋" w:cs="仿宋"/>
          <w:b w:val="0"/>
          <w:bCs w:val="0"/>
          <w:i w:val="0"/>
          <w:iCs w:val="0"/>
          <w:caps w:val="0"/>
          <w:color w:val="000000"/>
          <w:spacing w:val="0"/>
          <w:sz w:val="24"/>
          <w:szCs w:val="24"/>
          <w:u w:val="none"/>
          <w:vertAlign w:val="baseline"/>
        </w:rPr>
        <w:t>电子邮件报名。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2</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邮件主题：</w:t>
      </w:r>
      <w:r>
        <w:rPr>
          <w:rFonts w:hint="eastAsia" w:ascii="仿宋" w:hAnsi="仿宋" w:eastAsia="仿宋" w:cs="仿宋"/>
          <w:i w:val="0"/>
          <w:iCs w:val="0"/>
          <w:caps w:val="0"/>
          <w:color w:val="000000"/>
          <w:spacing w:val="0"/>
          <w:sz w:val="24"/>
          <w:szCs w:val="24"/>
          <w:u w:val="none"/>
          <w:vertAlign w:val="baseline"/>
          <w:lang w:val="en-US" w:eastAsia="zh-CN"/>
        </w:rPr>
        <w:t>洁净空调滤网采购</w:t>
      </w:r>
      <w:r>
        <w:rPr>
          <w:rFonts w:hint="eastAsia" w:ascii="仿宋" w:hAnsi="仿宋" w:eastAsia="仿宋" w:cs="仿宋"/>
          <w:i w:val="0"/>
          <w:iCs w:val="0"/>
          <w:caps w:val="0"/>
          <w:color w:val="000000"/>
          <w:spacing w:val="0"/>
          <w:sz w:val="24"/>
          <w:szCs w:val="24"/>
          <w:u w:val="none"/>
          <w:vertAlign w:val="baseline"/>
        </w:rPr>
        <w:t>-某某公司</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3</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邮件正文：公司名称全称、项目联系人、联系电话（手机号码）</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yellow"/>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4</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报名截止时间：</w:t>
      </w:r>
      <w:r>
        <w:rPr>
          <w:rFonts w:hint="eastAsia" w:ascii="仿宋" w:hAnsi="仿宋" w:eastAsia="仿宋" w:cs="仿宋"/>
          <w:i w:val="0"/>
          <w:iCs w:val="0"/>
          <w:caps w:val="0"/>
          <w:color w:val="000000"/>
          <w:spacing w:val="0"/>
          <w:sz w:val="24"/>
          <w:szCs w:val="24"/>
          <w:highlight w:val="none"/>
          <w:u w:val="none"/>
          <w:vertAlign w:val="baseline"/>
        </w:rPr>
        <w:t>2023年</w:t>
      </w:r>
      <w:r>
        <w:rPr>
          <w:rFonts w:hint="eastAsia" w:ascii="仿宋" w:hAnsi="仿宋" w:eastAsia="仿宋" w:cs="仿宋"/>
          <w:i w:val="0"/>
          <w:iCs w:val="0"/>
          <w:caps w:val="0"/>
          <w:color w:val="000000"/>
          <w:spacing w:val="0"/>
          <w:sz w:val="24"/>
          <w:szCs w:val="24"/>
          <w:highlight w:val="none"/>
          <w:u w:val="none"/>
          <w:vertAlign w:val="baseline"/>
          <w:lang w:val="en-US" w:eastAsia="zh-CN"/>
        </w:rPr>
        <w:t>4</w:t>
      </w:r>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12</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i w:val="0"/>
          <w:iCs w:val="0"/>
          <w:caps w:val="0"/>
          <w:color w:val="FF0000"/>
          <w:spacing w:val="0"/>
          <w:sz w:val="24"/>
          <w:szCs w:val="24"/>
          <w:u w:val="none"/>
          <w:vertAlign w:val="baseline"/>
          <w:lang w:val="en-US" w:eastAsia="zh-CN"/>
        </w:rPr>
        <w:t>5</w:t>
      </w:r>
      <w:r>
        <w:rPr>
          <w:rStyle w:val="26"/>
          <w:rFonts w:hint="eastAsia" w:ascii="仿宋" w:hAnsi="仿宋" w:eastAsia="仿宋" w:cs="仿宋"/>
          <w:i w:val="0"/>
          <w:iCs w:val="0"/>
          <w:caps w:val="0"/>
          <w:color w:val="FF0000"/>
          <w:spacing w:val="0"/>
          <w:sz w:val="24"/>
          <w:szCs w:val="24"/>
          <w:u w:val="none"/>
          <w:vertAlign w:val="baseline"/>
        </w:rPr>
        <w:t>.报名所需提供资料及要求</w:t>
      </w:r>
      <w:r>
        <w:rPr>
          <w:rFonts w:hint="eastAsia" w:ascii="仿宋" w:hAnsi="仿宋" w:eastAsia="仿宋" w:cs="仿宋"/>
          <w:i w:val="0"/>
          <w:iCs w:val="0"/>
          <w:caps w:val="0"/>
          <w:color w:val="FF0000"/>
          <w:spacing w:val="0"/>
          <w:sz w:val="24"/>
          <w:szCs w:val="24"/>
          <w:u w:val="none"/>
          <w:vertAlign w:val="baseline"/>
        </w:rPr>
        <w:t>：详见附件</w:t>
      </w:r>
      <w:r>
        <w:rPr>
          <w:rFonts w:hint="eastAsia" w:ascii="仿宋" w:hAnsi="仿宋" w:eastAsia="仿宋" w:cs="仿宋"/>
          <w:i w:val="0"/>
          <w:iCs w:val="0"/>
          <w:caps w:val="0"/>
          <w:color w:val="FF0000"/>
          <w:spacing w:val="0"/>
          <w:sz w:val="24"/>
          <w:szCs w:val="24"/>
          <w:u w:val="none"/>
          <w:vertAlign w:val="baseline"/>
          <w:lang w:val="en-US" w:eastAsia="zh-CN"/>
        </w:rPr>
        <w:t>2</w:t>
      </w:r>
      <w:r>
        <w:rPr>
          <w:rFonts w:hint="eastAsia" w:ascii="仿宋" w:hAnsi="仿宋" w:eastAsia="仿宋" w:cs="仿宋"/>
          <w:i w:val="0"/>
          <w:iCs w:val="0"/>
          <w:caps w:val="0"/>
          <w:color w:val="FF0000"/>
          <w:spacing w:val="0"/>
          <w:sz w:val="24"/>
          <w:szCs w:val="24"/>
          <w:u w:val="none"/>
          <w:vertAlign w:val="baseline"/>
        </w:rPr>
        <w:t>报名资料。</w:t>
      </w:r>
    </w:p>
    <w:p>
      <w:pPr>
        <w:pStyle w:val="2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u w:val="none"/>
        </w:rPr>
      </w:pPr>
      <w:r>
        <w:rPr>
          <w:rStyle w:val="26"/>
          <w:rFonts w:hint="eastAsia" w:ascii="仿宋" w:hAnsi="仿宋" w:eastAsia="仿宋" w:cs="仿宋"/>
          <w:b/>
          <w:bCs/>
          <w:i w:val="0"/>
          <w:iCs w:val="0"/>
          <w:caps w:val="0"/>
          <w:color w:val="FF0000"/>
          <w:spacing w:val="0"/>
          <w:sz w:val="24"/>
          <w:szCs w:val="24"/>
          <w:u w:val="none"/>
          <w:vertAlign w:val="baseline"/>
        </w:rPr>
        <w:t>*温馨告知：</w:t>
      </w:r>
      <w:r>
        <w:rPr>
          <w:rFonts w:hint="eastAsia" w:ascii="仿宋" w:hAnsi="仿宋" w:eastAsia="仿宋" w:cs="仿宋"/>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w:t>
      </w:r>
      <w:r>
        <w:rPr>
          <w:rFonts w:hint="eastAsia" w:ascii="仿宋" w:hAnsi="仿宋" w:eastAsia="仿宋" w:cs="仿宋"/>
          <w:i w:val="0"/>
          <w:iCs w:val="0"/>
          <w:caps w:val="0"/>
          <w:color w:val="FF0000"/>
          <w:spacing w:val="0"/>
          <w:sz w:val="24"/>
          <w:szCs w:val="24"/>
          <w:u w:val="none"/>
          <w:vertAlign w:val="baseline"/>
          <w:lang w:eastAsia="zh-CN"/>
        </w:rPr>
        <w:t>比选环节</w:t>
      </w:r>
      <w:r>
        <w:rPr>
          <w:rFonts w:hint="eastAsia" w:ascii="仿宋" w:hAnsi="仿宋" w:eastAsia="仿宋" w:cs="仿宋"/>
          <w:i w:val="0"/>
          <w:iCs w:val="0"/>
          <w:caps w:val="0"/>
          <w:color w:val="FF0000"/>
          <w:spacing w:val="0"/>
          <w:sz w:val="24"/>
          <w:szCs w:val="24"/>
          <w:u w:val="none"/>
          <w:vertAlign w:val="baseline"/>
        </w:rPr>
        <w:t>等严重后果由供应商自行负责。</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被“信用中国”网站列入失信被执行人和重大税收违法失信主体的、被“中国政府采购网”网站列入政府采购严重违法失信行为记录名单（处罚期限尚未届满的）的供应商，不得参与本项目的采购活动。</w:t>
      </w: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4"/>
          <w:szCs w:val="24"/>
          <w:highlight w:val="none"/>
          <w:lang w:val="en-US"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4、为本采购项目提供过整体设计、规范编制或者项目管理、监理、检测等服务的供应商及其附属机构，不得再参加本采购项目的响应。</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u w:val="none"/>
          <w:lang w:val="en-US" w:eastAsia="zh-CN"/>
        </w:rPr>
        <w:t>供应商</w:t>
      </w:r>
      <w:r>
        <w:rPr>
          <w:rFonts w:hint="eastAsia" w:ascii="仿宋" w:hAnsi="仿宋" w:eastAsia="仿宋" w:cs="仿宋"/>
          <w:color w:val="auto"/>
          <w:sz w:val="24"/>
          <w:szCs w:val="24"/>
          <w:highlight w:val="none"/>
          <w:u w:val="none"/>
        </w:rPr>
        <w:t>必须是具有独立承担民事责任能力的在中华人民共和国境内注册的法人或其他组织</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提供有效的营业执照（或事业法人登记证或身份证等相关证明）副本复印件</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如非“三证合一”证照，同时提供税务登记证副本复印件,加盖公章</w:t>
      </w:r>
      <w:r>
        <w:rPr>
          <w:rFonts w:hint="eastAsia" w:ascii="仿宋" w:hAnsi="仿宋" w:eastAsia="仿宋" w:cs="仿宋"/>
          <w:sz w:val="24"/>
          <w:szCs w:val="24"/>
          <w:highlight w:val="none"/>
          <w:u w:val="none"/>
          <w:lang w:eastAsia="zh-CN"/>
        </w:rPr>
        <w:t>；</w:t>
      </w:r>
      <w:r>
        <w:rPr>
          <w:rFonts w:hint="eastAsia" w:ascii="仿宋" w:hAnsi="仿宋" w:eastAsia="仿宋" w:cs="仿宋"/>
          <w:sz w:val="24"/>
          <w:szCs w:val="24"/>
          <w:highlight w:val="none"/>
          <w:u w:val="none"/>
        </w:rPr>
        <w:t>如为分公司</w:t>
      </w:r>
      <w:r>
        <w:rPr>
          <w:rFonts w:hint="eastAsia" w:ascii="仿宋" w:hAnsi="仿宋" w:eastAsia="仿宋" w:cs="仿宋"/>
          <w:sz w:val="24"/>
          <w:szCs w:val="24"/>
          <w:highlight w:val="none"/>
          <w:u w:val="none"/>
          <w:lang w:val="en-US" w:eastAsia="zh-CN"/>
        </w:rPr>
        <w:t>报名</w:t>
      </w:r>
      <w:r>
        <w:rPr>
          <w:rFonts w:hint="eastAsia" w:ascii="仿宋" w:hAnsi="仿宋" w:eastAsia="仿宋" w:cs="仿宋"/>
          <w:sz w:val="24"/>
          <w:szCs w:val="24"/>
          <w:highlight w:val="none"/>
          <w:u w:val="none"/>
        </w:rPr>
        <w:t>，必须</w:t>
      </w:r>
      <w:r>
        <w:rPr>
          <w:rFonts w:hint="eastAsia" w:ascii="仿宋" w:hAnsi="仿宋" w:eastAsia="仿宋" w:cs="仿宋"/>
          <w:sz w:val="24"/>
          <w:szCs w:val="24"/>
          <w:highlight w:val="none"/>
          <w:u w:val="none"/>
          <w:lang w:val="en-US" w:eastAsia="zh-CN"/>
        </w:rPr>
        <w:t>同时</w:t>
      </w:r>
      <w:r>
        <w:rPr>
          <w:rFonts w:hint="eastAsia" w:ascii="仿宋" w:hAnsi="仿宋" w:eastAsia="仿宋" w:cs="仿宋"/>
          <w:sz w:val="24"/>
          <w:szCs w:val="24"/>
          <w:highlight w:val="none"/>
          <w:u w:val="none"/>
        </w:rPr>
        <w:t>提供总公司的营业执照副本复印件及总公司针对本项目</w:t>
      </w:r>
      <w:r>
        <w:rPr>
          <w:rFonts w:hint="eastAsia" w:ascii="仿宋" w:hAnsi="仿宋" w:eastAsia="仿宋" w:cs="仿宋"/>
          <w:sz w:val="24"/>
          <w:szCs w:val="24"/>
          <w:highlight w:val="none"/>
          <w:u w:val="none"/>
          <w:lang w:val="en-US" w:eastAsia="zh-CN"/>
        </w:rPr>
        <w:t>响应</w:t>
      </w:r>
      <w:r>
        <w:rPr>
          <w:rFonts w:hint="eastAsia" w:ascii="仿宋" w:hAnsi="仿宋" w:eastAsia="仿宋" w:cs="仿宋"/>
          <w:sz w:val="24"/>
          <w:szCs w:val="24"/>
          <w:highlight w:val="none"/>
          <w:u w:val="none"/>
        </w:rPr>
        <w:t>的授权书</w:t>
      </w:r>
      <w:r>
        <w:rPr>
          <w:rFonts w:hint="eastAsia" w:ascii="仿宋" w:hAnsi="仿宋" w:eastAsia="仿宋" w:cs="仿宋"/>
          <w:sz w:val="24"/>
          <w:szCs w:val="24"/>
          <w:highlight w:val="none"/>
          <w:u w:val="non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本项目不接受联合体响应</w:t>
      </w:r>
      <w:r>
        <w:rPr>
          <w:rFonts w:hint="eastAsia" w:ascii="仿宋" w:hAnsi="仿宋" w:eastAsia="仿宋" w:cs="仿宋"/>
          <w:sz w:val="24"/>
          <w:szCs w:val="24"/>
          <w:highlight w:val="none"/>
          <w:lang w:val="en-US" w:eastAsia="zh-CN"/>
        </w:rPr>
        <w:t>，成交供应商不得以任何方式转包或分包本项目。</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注：供应商若不能同时满足以上条件则视为响应参与无效。（如发现提供虚假材料者，取消其参加比选资格，并列入采购人黑名单供应商。）</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六、采购人联系方式</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联系人：梁老师</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电话：020-81338019、81338035工作日8:30-12:00、15:00-17:00，其余时间请勿电联。</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电子邮箱：syxzcbgs02@163.com</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联系地址：广州市越秀区长堤大马路171号一方长堤健康产业中心（原威力斯大楼）907室 中山大学孙逸仙纪念医院招投标与采购管理办公室</w:t>
      </w:r>
    </w:p>
    <w:p>
      <w:pPr>
        <w:pStyle w:val="14"/>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邮编：510120</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七、公告期限</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自本公告发布之日起5个工作日。</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color w:val="FF0000"/>
          <w:sz w:val="24"/>
          <w:szCs w:val="24"/>
          <w:highlight w:val="none"/>
          <w:lang w:eastAsia="zh-CN"/>
        </w:rPr>
      </w:pPr>
      <w:r>
        <w:rPr>
          <w:rFonts w:hint="eastAsia" w:ascii="仿宋" w:hAnsi="仿宋" w:eastAsia="仿宋" w:cs="仿宋"/>
          <w:b/>
          <w:bCs/>
          <w:color w:val="FF0000"/>
          <w:sz w:val="24"/>
          <w:szCs w:val="24"/>
          <w:highlight w:val="none"/>
          <w:lang w:val="en-US" w:eastAsia="zh-CN"/>
        </w:rPr>
        <w:t>八</w:t>
      </w:r>
      <w:r>
        <w:rPr>
          <w:rFonts w:hint="eastAsia" w:ascii="仿宋" w:hAnsi="仿宋" w:eastAsia="仿宋" w:cs="仿宋"/>
          <w:b/>
          <w:bCs/>
          <w:color w:val="FF0000"/>
          <w:sz w:val="24"/>
          <w:szCs w:val="24"/>
          <w:highlight w:val="none"/>
          <w:lang w:eastAsia="zh-CN"/>
        </w:rPr>
        <w:t>、响应文件、</w:t>
      </w:r>
      <w:r>
        <w:rPr>
          <w:rFonts w:hint="eastAsia" w:ascii="仿宋" w:hAnsi="仿宋" w:eastAsia="仿宋" w:cs="仿宋"/>
          <w:b/>
          <w:bCs/>
          <w:color w:val="FF0000"/>
          <w:sz w:val="24"/>
          <w:szCs w:val="24"/>
          <w:highlight w:val="none"/>
          <w:lang w:val="en-US" w:eastAsia="zh-CN"/>
        </w:rPr>
        <w:t>样品</w:t>
      </w:r>
      <w:r>
        <w:rPr>
          <w:rFonts w:hint="eastAsia" w:ascii="仿宋" w:hAnsi="仿宋" w:eastAsia="仿宋" w:cs="仿宋"/>
          <w:b/>
          <w:bCs/>
          <w:color w:val="FF0000"/>
          <w:sz w:val="24"/>
          <w:szCs w:val="24"/>
          <w:highlight w:val="none"/>
          <w:lang w:eastAsia="zh-CN"/>
        </w:rPr>
        <w:t>提交的截止时间、地点：</w:t>
      </w:r>
      <w:r>
        <w:rPr>
          <w:rFonts w:hint="eastAsia" w:ascii="仿宋" w:hAnsi="仿宋" w:eastAsia="仿宋" w:cs="仿宋"/>
          <w:b/>
          <w:bCs/>
          <w:color w:val="FF0000"/>
          <w:sz w:val="24"/>
          <w:szCs w:val="24"/>
          <w:highlight w:val="none"/>
          <w:lang w:val="en-US" w:eastAsia="zh-CN"/>
        </w:rPr>
        <w:t>2023年4月14日中午12:00，广州市越秀区长堤大马路171号一方长堤健康产业中心（原威力斯大楼）907室。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1、本项目有提交样品的要求，详见用户需求书。</w:t>
      </w:r>
      <w:bookmarkStart w:id="22" w:name="_GoBack"/>
      <w:bookmarkEnd w:id="22"/>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u w:val="single"/>
          <w:lang w:val="en-US" w:eastAsia="zh-CN"/>
        </w:rPr>
        <w:t>2、响应文件仅受理纸质，</w:t>
      </w:r>
      <w:r>
        <w:rPr>
          <w:rFonts w:hint="eastAsia" w:ascii="仿宋" w:hAnsi="仿宋" w:eastAsia="仿宋" w:cs="仿宋"/>
          <w:sz w:val="24"/>
          <w:szCs w:val="24"/>
          <w:highlight w:val="none"/>
          <w:u w:val="single"/>
        </w:rPr>
        <w:t>纸质材料一式叁份（正本1份/副本2份），具体要求详见格式《</w:t>
      </w:r>
      <w:r>
        <w:rPr>
          <w:rFonts w:hint="eastAsia" w:ascii="仿宋" w:hAnsi="仿宋" w:eastAsia="仿宋" w:cs="仿宋"/>
          <w:sz w:val="24"/>
          <w:szCs w:val="24"/>
          <w:highlight w:val="none"/>
          <w:u w:val="single"/>
          <w:lang w:val="en-US" w:eastAsia="zh-CN"/>
        </w:rPr>
        <w:t>公开比选文件</w:t>
      </w:r>
      <w:r>
        <w:rPr>
          <w:rFonts w:hint="eastAsia" w:ascii="仿宋" w:hAnsi="仿宋" w:eastAsia="仿宋" w:cs="仿宋"/>
          <w:sz w:val="24"/>
          <w:szCs w:val="24"/>
          <w:highlight w:val="none"/>
          <w:u w:val="single"/>
        </w:rPr>
        <w:t>》的第五章</w:t>
      </w:r>
      <w:r>
        <w:rPr>
          <w:rFonts w:hint="eastAsia" w:ascii="仿宋" w:hAnsi="仿宋" w:eastAsia="仿宋" w:cs="仿宋"/>
          <w:sz w:val="24"/>
          <w:szCs w:val="24"/>
          <w:highlight w:val="none"/>
          <w:u w:val="single"/>
          <w:lang w:eastAsia="zh-CN"/>
        </w:rPr>
        <w:t>响应</w:t>
      </w:r>
      <w:r>
        <w:rPr>
          <w:rFonts w:hint="eastAsia" w:ascii="仿宋" w:hAnsi="仿宋" w:eastAsia="仿宋" w:cs="仿宋"/>
          <w:sz w:val="24"/>
          <w:szCs w:val="24"/>
          <w:highlight w:val="none"/>
          <w:u w:val="single"/>
        </w:rPr>
        <w:t>文件</w:t>
      </w:r>
      <w:r>
        <w:rPr>
          <w:rFonts w:hint="eastAsia" w:ascii="仿宋" w:hAnsi="仿宋" w:eastAsia="仿宋" w:cs="仿宋"/>
          <w:sz w:val="24"/>
          <w:szCs w:val="24"/>
          <w:highlight w:val="none"/>
          <w:u w:val="single"/>
          <w:lang w:val="en-US" w:eastAsia="zh-CN"/>
        </w:rPr>
        <w:t>编制要求</w:t>
      </w:r>
      <w:r>
        <w:rPr>
          <w:rFonts w:hint="eastAsia" w:ascii="仿宋" w:hAnsi="仿宋" w:eastAsia="仿宋" w:cs="仿宋"/>
          <w:sz w:val="24"/>
          <w:szCs w:val="24"/>
          <w:highlight w:val="none"/>
          <w:u w:val="single"/>
          <w:lang w:eastAsia="zh-CN"/>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u w:val="single"/>
          <w:lang w:val="en-US" w:eastAsia="zh-CN"/>
        </w:rPr>
        <w:t>3、纸质响应文件、样品原则上接受快递寄送形式递交。</w:t>
      </w:r>
      <w:r>
        <w:rPr>
          <w:rFonts w:hint="eastAsia" w:ascii="仿宋" w:hAnsi="仿宋" w:eastAsia="仿宋" w:cs="仿宋"/>
          <w:b/>
          <w:bCs/>
          <w:color w:val="FF0000"/>
          <w:sz w:val="24"/>
          <w:szCs w:val="24"/>
          <w:highlight w:val="none"/>
          <w:u w:val="single"/>
          <w:lang w:val="en-US" w:eastAsia="zh-CN"/>
        </w:rPr>
        <w:t>如若采取快递寄送，请务必于响应文件</w:t>
      </w:r>
      <w:r>
        <w:rPr>
          <w:rFonts w:hint="eastAsia" w:ascii="仿宋" w:hAnsi="仿宋" w:eastAsia="仿宋" w:cs="仿宋"/>
          <w:b/>
          <w:bCs/>
          <w:color w:val="FF0000"/>
          <w:sz w:val="24"/>
          <w:szCs w:val="24"/>
          <w:highlight w:val="none"/>
          <w:u w:val="single"/>
          <w:lang w:eastAsia="zh-CN"/>
        </w:rPr>
        <w:t>、</w:t>
      </w:r>
      <w:r>
        <w:rPr>
          <w:rFonts w:hint="eastAsia" w:ascii="仿宋" w:hAnsi="仿宋" w:eastAsia="仿宋" w:cs="仿宋"/>
          <w:b/>
          <w:bCs/>
          <w:color w:val="FF0000"/>
          <w:sz w:val="24"/>
          <w:szCs w:val="24"/>
          <w:highlight w:val="none"/>
          <w:u w:val="single"/>
          <w:lang w:val="en-US" w:eastAsia="zh-CN"/>
        </w:rPr>
        <w:t>样品提交截止时间前寄达。</w:t>
      </w:r>
    </w:p>
    <w:p>
      <w:pPr>
        <w:pStyle w:val="2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color w:val="000000"/>
          <w:sz w:val="24"/>
          <w:szCs w:val="24"/>
          <w:highlight w:val="none"/>
          <w:lang w:val="en-US" w:eastAsia="zh-CN"/>
        </w:rPr>
        <w:t>九、比选会议时间、地点：待定</w:t>
      </w:r>
      <w:r>
        <w:rPr>
          <w:rFonts w:hint="eastAsia" w:ascii="仿宋" w:hAnsi="仿宋" w:eastAsia="仿宋" w:cs="仿宋"/>
          <w:b w:val="0"/>
          <w:bCs w:val="0"/>
          <w:color w:val="000000"/>
          <w:sz w:val="24"/>
          <w:szCs w:val="24"/>
          <w:highlight w:val="none"/>
          <w:lang w:val="en-US" w:eastAsia="zh-CN"/>
        </w:rPr>
        <w:t>（根据医院工作安排开展评审，供应商无需出席比选现场）</w:t>
      </w:r>
      <w:r>
        <w:rPr>
          <w:rFonts w:hint="eastAsia" w:ascii="仿宋" w:hAnsi="仿宋" w:eastAsia="仿宋" w:cs="仿宋"/>
          <w:b/>
          <w:bCs/>
          <w:color w:val="000000"/>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4"/>
          <w:szCs w:val="24"/>
          <w:highlight w:val="none"/>
        </w:rPr>
      </w:pPr>
    </w:p>
    <w:p>
      <w:pPr>
        <w:pStyle w:val="2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中山大学</w:t>
      </w:r>
      <w:r>
        <w:rPr>
          <w:rFonts w:hint="eastAsia" w:ascii="仿宋" w:hAnsi="仿宋" w:eastAsia="仿宋" w:cs="仿宋"/>
          <w:color w:val="000000"/>
          <w:sz w:val="24"/>
          <w:szCs w:val="24"/>
          <w:highlight w:val="none"/>
          <w:lang w:eastAsia="zh-CN"/>
        </w:rPr>
        <w:t>孙逸仙纪念医院</w:t>
      </w:r>
      <w:r>
        <w:rPr>
          <w:rFonts w:hint="eastAsia" w:ascii="仿宋" w:hAnsi="仿宋" w:eastAsia="仿宋" w:cs="仿宋"/>
          <w:color w:val="000000"/>
          <w:sz w:val="24"/>
          <w:szCs w:val="24"/>
          <w:highlight w:val="none"/>
        </w:rPr>
        <w:t xml:space="preserve">                                                                202</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年</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月</w:t>
      </w:r>
      <w:r>
        <w:rPr>
          <w:rFonts w:hint="eastAsia" w:ascii="仿宋" w:hAnsi="仿宋" w:eastAsia="仿宋" w:cs="仿宋"/>
          <w:color w:val="000000"/>
          <w:sz w:val="24"/>
          <w:szCs w:val="24"/>
          <w:highlight w:val="none"/>
          <w:lang w:val="en-US" w:eastAsia="zh-CN"/>
        </w:rPr>
        <w:t>6日</w:t>
      </w:r>
    </w:p>
    <w:p>
      <w:pPr>
        <w:pStyle w:val="29"/>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8" w:name="_Toc50737288"/>
      <w:bookmarkStart w:id="9" w:name="_Toc50737320"/>
      <w:bookmarkStart w:id="10" w:name="_Toc76354916"/>
      <w:bookmarkStart w:id="11" w:name="_Toc50736468"/>
      <w:bookmarkStart w:id="12" w:name="_Toc50691021"/>
      <w:bookmarkStart w:id="13" w:name="_Toc385940869"/>
      <w:bookmarkStart w:id="14" w:name="_Toc385939528"/>
      <w:bookmarkStart w:id="15" w:name="_Toc417914518"/>
    </w:p>
    <w:p>
      <w:pPr>
        <w:pStyle w:val="3"/>
        <w:rPr>
          <w:rFonts w:hint="eastAsia" w:ascii="微软雅黑" w:hAnsi="微软雅黑" w:eastAsia="微软雅黑" w:cs="微软雅黑"/>
          <w:color w:val="000000"/>
          <w:highlight w:val="none"/>
        </w:rPr>
      </w:pPr>
    </w:p>
    <w:p>
      <w:pPr>
        <w:rPr>
          <w:rFonts w:hint="eastAsia"/>
        </w:rPr>
      </w:pPr>
    </w:p>
    <w:p>
      <w:pPr>
        <w:rPr>
          <w:rFonts w:hint="eastAsia"/>
        </w:rPr>
      </w:pPr>
    </w:p>
    <w:p>
      <w:pPr>
        <w:rPr>
          <w:rFonts w:hint="eastAsia" w:ascii="微软雅黑" w:hAnsi="微软雅黑" w:eastAsia="微软雅黑" w:cs="微软雅黑"/>
          <w:color w:val="000000"/>
          <w:highlight w:val="none"/>
        </w:rPr>
      </w:pPr>
    </w:p>
    <w:p>
      <w:pPr>
        <w:pStyle w:val="8"/>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第二章  </w:t>
      </w:r>
      <w:bookmarkEnd w:id="8"/>
      <w:bookmarkEnd w:id="9"/>
      <w:bookmarkEnd w:id="10"/>
      <w:bookmarkEnd w:id="11"/>
      <w:bookmarkEnd w:id="12"/>
      <w:r>
        <w:rPr>
          <w:rFonts w:hint="eastAsia" w:ascii="微软雅黑" w:hAnsi="微软雅黑" w:eastAsia="微软雅黑" w:cs="微软雅黑"/>
          <w:color w:val="000000"/>
          <w:highlight w:val="none"/>
        </w:rPr>
        <w:t>用户需求</w:t>
      </w:r>
      <w:bookmarkEnd w:id="13"/>
      <w:bookmarkEnd w:id="14"/>
      <w:r>
        <w:rPr>
          <w:rFonts w:hint="eastAsia" w:ascii="微软雅黑" w:hAnsi="微软雅黑" w:eastAsia="微软雅黑" w:cs="微软雅黑"/>
          <w:color w:val="000000"/>
          <w:highlight w:val="none"/>
        </w:rPr>
        <w:t>书</w:t>
      </w:r>
      <w:bookmarkEnd w:id="15"/>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pStyle w:val="29"/>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29"/>
        <w:rPr>
          <w:rFonts w:hint="eastAsia"/>
          <w:color w:val="000000"/>
          <w:highlight w:val="none"/>
        </w:rPr>
      </w:pPr>
    </w:p>
    <w:p>
      <w:pPr>
        <w:pStyle w:val="29"/>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bookmarkStart w:id="16" w:name="_Toc417914519"/>
      <w:bookmarkStart w:id="17" w:name="_Toc385940875"/>
      <w:bookmarkStart w:id="18" w:name="_Toc385939529"/>
      <w:r>
        <w:rPr>
          <w:rFonts w:hint="eastAsia" w:ascii="仿宋" w:hAnsi="仿宋" w:eastAsia="仿宋" w:cs="仿宋"/>
          <w:b/>
          <w:color w:val="000000"/>
          <w:sz w:val="24"/>
          <w:szCs w:val="24"/>
          <w:highlight w:val="none"/>
          <w:lang w:val="en-US" w:eastAsia="zh-CN"/>
        </w:rPr>
        <w:t>采购项目内容</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本项目为中山大学孙逸仙纪念医院南北院区及南海精准免疫转化创新中心洁净空调初、中、高效空气过滤器采购，包含所有空气过滤器更换、安装、调试和检测。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4"/>
        <w:gridCol w:w="780"/>
        <w:gridCol w:w="2665"/>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4"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t>采购标的</w:t>
            </w:r>
          </w:p>
        </w:tc>
        <w:tc>
          <w:tcPr>
            <w:tcW w:w="780"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t>数量</w:t>
            </w:r>
          </w:p>
        </w:tc>
        <w:tc>
          <w:tcPr>
            <w:tcW w:w="2665"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val="0"/>
                <w:color w:val="000000" w:themeColor="text1"/>
                <w:sz w:val="24"/>
                <w:szCs w:val="24"/>
                <w:highlight w:val="none"/>
                <w:vertAlign w:val="baseline"/>
                <w14:textFill>
                  <w14:solidFill>
                    <w14:schemeClr w14:val="tx1"/>
                  </w14:solidFill>
                </w14:textFill>
              </w:rPr>
            </w:pPr>
            <w:r>
              <w:rPr>
                <w:rFonts w:hint="eastAsia" w:ascii="仿宋" w:hAnsi="仿宋" w:eastAsia="仿宋" w:cs="仿宋"/>
                <w:b/>
                <w:bCs w:val="0"/>
                <w:color w:val="000000" w:themeColor="text1"/>
                <w:sz w:val="24"/>
                <w:szCs w:val="24"/>
                <w:highlight w:val="none"/>
                <w:vertAlign w:val="baseline"/>
                <w:lang w:val="en-US" w:eastAsia="zh-CN"/>
                <w14:textFill>
                  <w14:solidFill>
                    <w14:schemeClr w14:val="tx1"/>
                  </w14:solidFill>
                </w14:textFill>
              </w:rPr>
              <w:t>供货</w:t>
            </w:r>
            <w:r>
              <w:rPr>
                <w:rFonts w:hint="eastAsia" w:ascii="仿宋" w:hAnsi="仿宋" w:eastAsia="仿宋" w:cs="仿宋"/>
                <w:b/>
                <w:bCs w:val="0"/>
                <w:color w:val="000000" w:themeColor="text1"/>
                <w:sz w:val="24"/>
                <w:szCs w:val="24"/>
                <w:highlight w:val="none"/>
                <w:vertAlign w:val="baseline"/>
                <w14:textFill>
                  <w14:solidFill>
                    <w14:schemeClr w14:val="tx1"/>
                  </w14:solidFill>
                </w14:textFill>
              </w:rPr>
              <w:t>期</w:t>
            </w:r>
          </w:p>
        </w:tc>
        <w:tc>
          <w:tcPr>
            <w:tcW w:w="2387"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4"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南北院区及南海精准免疫转化创新中心洁净空调初、中、高效空气过滤器</w:t>
            </w:r>
          </w:p>
        </w:tc>
        <w:tc>
          <w:tcPr>
            <w:tcW w:w="780"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p>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1批</w:t>
            </w:r>
          </w:p>
        </w:tc>
        <w:tc>
          <w:tcPr>
            <w:tcW w:w="2665"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p>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自合同生效之日起</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1</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年</w:t>
            </w:r>
          </w:p>
        </w:tc>
        <w:tc>
          <w:tcPr>
            <w:tcW w:w="2387" w:type="dxa"/>
          </w:tcPr>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14:textFill>
                  <w14:solidFill>
                    <w14:schemeClr w14:val="tx1"/>
                  </w14:solidFill>
                </w14:textFill>
              </w:rPr>
            </w:pPr>
          </w:p>
          <w:p>
            <w:pPr>
              <w:pStyle w:val="2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w:t>
            </w:r>
            <w:r>
              <w:rPr>
                <w:rFonts w:hint="eastAsia" w:ascii="仿宋" w:hAnsi="仿宋" w:eastAsia="仿宋" w:cs="仿宋"/>
                <w:b w:val="0"/>
                <w:bCs/>
                <w:color w:val="000000" w:themeColor="text1"/>
                <w:sz w:val="24"/>
                <w:szCs w:val="24"/>
                <w:highlight w:val="none"/>
                <w:vertAlign w:val="baseline"/>
                <w14:textFill>
                  <w14:solidFill>
                    <w14:schemeClr w14:val="tx1"/>
                  </w14:solidFill>
                </w14:textFill>
              </w:rPr>
              <w:t>646812.6</w:t>
            </w:r>
            <w:r>
              <w:rPr>
                <w:rFonts w:hint="eastAsia" w:ascii="仿宋" w:hAnsi="仿宋" w:eastAsia="仿宋" w:cs="仿宋"/>
                <w:b w:val="0"/>
                <w:bCs/>
                <w:color w:val="000000" w:themeColor="text1"/>
                <w:sz w:val="24"/>
                <w:szCs w:val="24"/>
                <w:highlight w:val="none"/>
                <w:vertAlign w:val="baseline"/>
                <w:lang w:val="en-US" w:eastAsia="zh-CN"/>
                <w14:textFill>
                  <w14:solidFill>
                    <w14:schemeClr w14:val="tx1"/>
                  </w14:solidFill>
                </w14:textFill>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详细技术规范请参阅</w:t>
      </w:r>
      <w:r>
        <w:rPr>
          <w:rFonts w:hint="eastAsia" w:ascii="仿宋" w:hAnsi="仿宋" w:eastAsia="仿宋" w:cs="仿宋"/>
          <w:color w:val="000000" w:themeColor="text1"/>
          <w:sz w:val="24"/>
          <w:szCs w:val="24"/>
          <w:highlight w:val="none"/>
          <w:lang w:eastAsia="zh-CN"/>
          <w14:textFill>
            <w14:solidFill>
              <w14:schemeClr w14:val="tx1"/>
            </w14:solidFill>
          </w14:textFill>
        </w:rPr>
        <w:t>比选文件</w:t>
      </w:r>
      <w:r>
        <w:rPr>
          <w:rFonts w:hint="eastAsia" w:ascii="仿宋" w:hAnsi="仿宋" w:eastAsia="仿宋" w:cs="仿宋"/>
          <w:color w:val="000000" w:themeColor="text1"/>
          <w:sz w:val="24"/>
          <w:szCs w:val="24"/>
          <w:highlight w:val="none"/>
          <w14:textFill>
            <w14:solidFill>
              <w14:schemeClr w14:val="tx1"/>
            </w14:solidFill>
          </w14:textFill>
        </w:rPr>
        <w:t>中的“用户需求书”。</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必须对本项目的全部内容进行响应报价，如有缺漏或超出采购预算（最高限价），将导致响应无效</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pStyle w:val="29"/>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 xml:space="preserve">采购项目基本要求： </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eastAsia="zh-CN"/>
        </w:rPr>
        <w:t>供应商</w:t>
      </w:r>
      <w:r>
        <w:rPr>
          <w:rFonts w:hint="eastAsia" w:ascii="仿宋" w:hAnsi="仿宋" w:eastAsia="仿宋" w:cs="仿宋"/>
          <w:b w:val="0"/>
          <w:bCs/>
          <w:color w:val="000000"/>
          <w:sz w:val="24"/>
          <w:szCs w:val="24"/>
          <w:highlight w:val="none"/>
        </w:rPr>
        <w:t>必须承诺提供厂商原装、全新的、符合用户提出的有关质量标准的货物。</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货物必须符合国家各种标准及规范，以及本项目用户需求的质量要求和技术指标与出厂标准；若无国家标准则必须符合或优于行业标准。</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供应商所提供的货物必须是经检验合格的，并与响应时承诺的质量相一致。同时，供应商须提供所供货物的出厂检测报告。</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对于影响货物正常工作的必要组成部分，无论在技术规范中指出与否，</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14:textFill>
            <w14:solidFill>
              <w14:schemeClr w14:val="tx1"/>
            </w14:solidFill>
          </w14:textFill>
        </w:rPr>
        <w:t>都应提供并在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响应文件</w:t>
      </w:r>
      <w:r>
        <w:rPr>
          <w:rFonts w:hint="eastAsia" w:ascii="仿宋" w:hAnsi="仿宋" w:eastAsia="仿宋" w:cs="仿宋"/>
          <w:b w:val="0"/>
          <w:bCs/>
          <w:color w:val="000000" w:themeColor="text1"/>
          <w:sz w:val="24"/>
          <w:szCs w:val="24"/>
          <w:highlight w:val="none"/>
          <w14:textFill>
            <w14:solidFill>
              <w14:schemeClr w14:val="tx1"/>
            </w14:solidFill>
          </w14:textFill>
        </w:rPr>
        <w:t>中明确列出。</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由</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b w:val="0"/>
          <w:bCs/>
          <w:color w:val="000000" w:themeColor="text1"/>
          <w:sz w:val="24"/>
          <w:szCs w:val="24"/>
          <w:highlight w:val="none"/>
          <w14:textFill>
            <w14:solidFill>
              <w14:schemeClr w14:val="tx1"/>
            </w14:solidFill>
          </w14:textFill>
        </w:rPr>
        <w:t>负责按国家相关标准进行货物包装，设备的包装均应有良好的防湿、防锈、防潮、防雨、防腐及防碰撞的措施。所有货物在开箱检验时必须完好，无破损，配置与装箱单相符。凡由于包装不良造成的损失和由此产生的费用均由</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b w:val="0"/>
          <w:bCs/>
          <w:color w:val="000000" w:themeColor="text1"/>
          <w:sz w:val="24"/>
          <w:szCs w:val="24"/>
          <w:highlight w:val="none"/>
          <w14:textFill>
            <w14:solidFill>
              <w14:schemeClr w14:val="tx1"/>
            </w14:solidFill>
          </w14:textFill>
        </w:rPr>
        <w:t>承担。</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因产品的质量问题发生争议，由广东省或广州市质检部门进行质量鉴定。采购人与</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b w:val="0"/>
          <w:bCs/>
          <w:color w:val="000000" w:themeColor="text1"/>
          <w:sz w:val="24"/>
          <w:szCs w:val="24"/>
          <w:highlight w:val="none"/>
          <w14:textFill>
            <w14:solidFill>
              <w14:schemeClr w14:val="tx1"/>
            </w14:solidFill>
          </w14:textFill>
        </w:rPr>
        <w:t>认为有需要，可以共同提出或分别提出质量鉴定，广东省质检部门与广州市质检部门的鉴定结论不一致的，以广东省质检部门的鉴定结论为准。产品符合质量标准的，鉴定费由采购人承担；产品不符合质量标准的，鉴定费由</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成交供应商</w:t>
      </w:r>
      <w:r>
        <w:rPr>
          <w:rFonts w:hint="eastAsia" w:ascii="仿宋" w:hAnsi="仿宋" w:eastAsia="仿宋" w:cs="仿宋"/>
          <w:b w:val="0"/>
          <w:bCs/>
          <w:color w:val="000000" w:themeColor="text1"/>
          <w:sz w:val="24"/>
          <w:szCs w:val="24"/>
          <w:highlight w:val="none"/>
          <w14:textFill>
            <w14:solidFill>
              <w14:schemeClr w14:val="tx1"/>
            </w14:solidFill>
          </w14:textFill>
        </w:rPr>
        <w:t>承担。</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凡属于《中华人民共和国实施强制性产品认证的产品目录》的产品，</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供应商</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须</w:t>
      </w:r>
      <w:r>
        <w:rPr>
          <w:rFonts w:hint="eastAsia" w:ascii="仿宋" w:hAnsi="仿宋" w:eastAsia="仿宋" w:cs="仿宋"/>
          <w:b w:val="0"/>
          <w:bCs/>
          <w:color w:val="000000" w:themeColor="text1"/>
          <w:sz w:val="24"/>
          <w:szCs w:val="24"/>
          <w:highlight w:val="none"/>
          <w14:textFill>
            <w14:solidFill>
              <w14:schemeClr w14:val="tx1"/>
            </w14:solidFill>
          </w14:textFill>
        </w:rPr>
        <w:t>在交货时提供该产品的《中国强制认证》（CCC认证）。</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本项目核心产品：</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初</w:t>
      </w:r>
      <w:r>
        <w:rPr>
          <w:rFonts w:hint="eastAsia" w:ascii="仿宋" w:hAnsi="仿宋" w:eastAsia="仿宋" w:cs="仿宋"/>
          <w:b w:val="0"/>
          <w:bCs/>
          <w:color w:val="000000" w:themeColor="text1"/>
          <w:sz w:val="24"/>
          <w:szCs w:val="24"/>
          <w:highlight w:val="none"/>
          <w14:textFill>
            <w14:solidFill>
              <w14:schemeClr w14:val="tx1"/>
            </w14:solidFill>
          </w14:textFill>
        </w:rPr>
        <w:t>效过滤器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高效过滤器</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p>
    <w:p>
      <w:pPr>
        <w:pStyle w:val="29"/>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00" w:firstLineChars="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★本项目涉及所有过滤器必须为同一品牌。</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default"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b/>
          <w:color w:val="000000" w:themeColor="text1"/>
          <w:sz w:val="24"/>
          <w:szCs w:val="24"/>
          <w:highlight w:val="none"/>
          <w14:textFill>
            <w14:solidFill>
              <w14:schemeClr w14:val="tx1"/>
            </w14:solidFill>
          </w14:textFill>
        </w:rPr>
        <w:t>、货物清单</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及单价限价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北院区</w:t>
      </w:r>
      <w:r>
        <w:rPr>
          <w:rFonts w:hint="eastAsia" w:ascii="仿宋" w:hAnsi="仿宋" w:eastAsia="仿宋" w:cs="仿宋"/>
          <w:b/>
          <w:color w:val="000000" w:themeColor="text1"/>
          <w:sz w:val="24"/>
          <w:szCs w:val="24"/>
          <w:highlight w:val="none"/>
          <w14:textFill>
            <w14:solidFill>
              <w14:schemeClr w14:val="tx1"/>
            </w14:solidFill>
          </w14:textFill>
        </w:rPr>
        <w:t>空气过滤器</w:t>
      </w:r>
      <w:r>
        <w:rPr>
          <w:rFonts w:hint="eastAsia" w:ascii="仿宋" w:hAnsi="仿宋" w:eastAsia="仿宋" w:cs="仿宋"/>
          <w:b/>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color w:val="000000" w:themeColor="text1"/>
          <w:sz w:val="24"/>
          <w:szCs w:val="24"/>
          <w:highlight w:val="none"/>
          <w14:textFill>
            <w14:solidFill>
              <w14:schemeClr w14:val="tx1"/>
            </w14:solidFill>
          </w14:textFill>
        </w:rPr>
        <w:t>年用量清单：</w:t>
      </w:r>
    </w:p>
    <w:tbl>
      <w:tblPr>
        <w:tblStyle w:val="23"/>
        <w:tblW w:w="82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5"/>
        <w:gridCol w:w="1162"/>
        <w:gridCol w:w="1544"/>
        <w:gridCol w:w="583"/>
        <w:gridCol w:w="701"/>
        <w:gridCol w:w="1040"/>
        <w:gridCol w:w="1065"/>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16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54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58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701"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数量（个）</w:t>
            </w:r>
          </w:p>
        </w:tc>
        <w:tc>
          <w:tcPr>
            <w:tcW w:w="1040"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更换周期</w:t>
            </w:r>
          </w:p>
        </w:tc>
        <w:tc>
          <w:tcPr>
            <w:tcW w:w="106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（个/年）</w:t>
            </w:r>
          </w:p>
        </w:tc>
        <w:tc>
          <w:tcPr>
            <w:tcW w:w="107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单价限价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骨髓移植中心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270*240*6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800*240*6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265*200*6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G3棉过滤器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280*375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生殖中心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610*610*66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305*305*66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285*330*110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340*730*45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245*285*5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290*200*5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生殖中心妇科</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490*592*381*5p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胸科ICU</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295*295*534*4P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295*495*534*4p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ICU</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530*460*46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10楼新生儿科</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医研中心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490*289*96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475*390*10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G2</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根据实用情况</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生物治疗中心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475x475*66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检验科</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525*429*46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440*803*46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590*485-6*380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静配中心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965*484*90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630*630*90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院本部手术室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600*400*46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594*492*46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592*492-5*534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287*592*292*2V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592*592*292*4V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病理科细胞分子中心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产房</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眼科手术室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592*592*534*8P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287*592*534*4P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发热门诊</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594*492*46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590*485-6*380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592*592*381*6P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592*592*381*6P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南院区</w:t>
      </w:r>
      <w:r>
        <w:rPr>
          <w:rFonts w:hint="eastAsia" w:ascii="仿宋" w:hAnsi="仿宋" w:eastAsia="仿宋" w:cs="仿宋"/>
          <w:b/>
          <w:color w:val="000000" w:themeColor="text1"/>
          <w:sz w:val="24"/>
          <w:szCs w:val="24"/>
          <w:highlight w:val="none"/>
          <w14:textFill>
            <w14:solidFill>
              <w14:schemeClr w14:val="tx1"/>
            </w14:solidFill>
          </w14:textFill>
        </w:rPr>
        <w:t>空气过滤器</w:t>
      </w:r>
      <w:r>
        <w:rPr>
          <w:rFonts w:hint="eastAsia" w:ascii="仿宋" w:hAnsi="仿宋" w:eastAsia="仿宋" w:cs="仿宋"/>
          <w:b/>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color w:val="000000" w:themeColor="text1"/>
          <w:sz w:val="24"/>
          <w:szCs w:val="24"/>
          <w:highlight w:val="none"/>
          <w14:textFill>
            <w14:solidFill>
              <w14:schemeClr w14:val="tx1"/>
            </w14:solidFill>
          </w14:textFill>
        </w:rPr>
        <w:t>年用量清单：</w:t>
      </w:r>
    </w:p>
    <w:tbl>
      <w:tblPr>
        <w:tblStyle w:val="23"/>
        <w:tblW w:w="85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55"/>
        <w:gridCol w:w="1377"/>
        <w:gridCol w:w="1544"/>
        <w:gridCol w:w="617"/>
        <w:gridCol w:w="759"/>
        <w:gridCol w:w="1050"/>
        <w:gridCol w:w="997"/>
        <w:gridCol w:w="9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jc w:val="center"/>
        </w:trPr>
        <w:tc>
          <w:tcPr>
            <w:tcW w:w="125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37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54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61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75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数量（个）</w:t>
            </w:r>
          </w:p>
        </w:tc>
        <w:tc>
          <w:tcPr>
            <w:tcW w:w="1050"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更换周期</w:t>
            </w:r>
          </w:p>
        </w:tc>
        <w:tc>
          <w:tcPr>
            <w:tcW w:w="99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合计数量（个/年）</w:t>
            </w:r>
          </w:p>
        </w:tc>
        <w:tc>
          <w:tcPr>
            <w:tcW w:w="96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南院静配中心</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南院供应室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南院区CCU</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南院麻醉科</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南院心血导管</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南院整形科</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690*395*46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305*610*292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510*560*66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510*480*66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150*150*66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475*475*66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305*610*66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南院博爱楼手术室八楼恢复室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南院博爱楼手术室八楼新增风柜</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400*350*96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595*495*534*8</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南院逸仙楼手术室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L-592*490*96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逸仙楼1号手术室新增</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南院儿科层流</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512*250*46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490*490*46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490*290*46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490*490*381*5P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490*287*381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南院博爱楼后座十楼风柜</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610*610*90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55"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25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287*490*381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逸仙楼八楼心外ICU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595*295*534*3P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295*295*534*3P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南院检验科PCR</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500*350*90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401*260*69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前座6楼胃镜室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492*595*534*6p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 w:hRule="atLeast"/>
          <w:jc w:val="center"/>
        </w:trPr>
        <w:tc>
          <w:tcPr>
            <w:tcW w:w="12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restart"/>
            <w:tcBorders>
              <w:top w:val="single" w:color="000000" w:sz="4" w:space="0"/>
              <w:left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逸仙楼10楼ICU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595*492*46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59"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55" w:type="dxa"/>
            <w:vMerge w:val="continue"/>
            <w:tcBorders>
              <w:left w:val="nil"/>
              <w:bottom w:val="single" w:color="auto" w:sz="4" w:space="0"/>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5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南海精准免疫转化创新中心</w:t>
      </w:r>
      <w:r>
        <w:rPr>
          <w:rFonts w:hint="eastAsia" w:ascii="仿宋" w:hAnsi="仿宋" w:eastAsia="仿宋" w:cs="仿宋"/>
          <w:b/>
          <w:color w:val="000000" w:themeColor="text1"/>
          <w:sz w:val="24"/>
          <w:szCs w:val="24"/>
          <w:highlight w:val="none"/>
          <w14:textFill>
            <w14:solidFill>
              <w14:schemeClr w14:val="tx1"/>
            </w14:solidFill>
          </w14:textFill>
        </w:rPr>
        <w:t>空气过滤器</w:t>
      </w:r>
      <w:r>
        <w:rPr>
          <w:rFonts w:hint="eastAsia" w:ascii="仿宋" w:hAnsi="仿宋" w:eastAsia="仿宋" w:cs="仿宋"/>
          <w:b/>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color w:val="000000" w:themeColor="text1"/>
          <w:sz w:val="24"/>
          <w:szCs w:val="24"/>
          <w:highlight w:val="none"/>
          <w14:textFill>
            <w14:solidFill>
              <w14:schemeClr w14:val="tx1"/>
            </w14:solidFill>
          </w14:textFill>
        </w:rPr>
        <w:t>年用量清单：</w:t>
      </w:r>
    </w:p>
    <w:tbl>
      <w:tblPr>
        <w:tblStyle w:val="23"/>
        <w:tblW w:w="8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6"/>
        <w:gridCol w:w="1411"/>
        <w:gridCol w:w="1492"/>
        <w:gridCol w:w="724"/>
        <w:gridCol w:w="742"/>
        <w:gridCol w:w="1050"/>
        <w:gridCol w:w="1086"/>
        <w:gridCol w:w="1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411"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49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72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74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数量（个）</w:t>
            </w:r>
          </w:p>
        </w:tc>
        <w:tc>
          <w:tcPr>
            <w:tcW w:w="1050"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更换周期</w:t>
            </w:r>
          </w:p>
        </w:tc>
        <w:tc>
          <w:tcPr>
            <w:tcW w:w="1086"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（个/年）</w:t>
            </w:r>
          </w:p>
        </w:tc>
        <w:tc>
          <w:tcPr>
            <w:tcW w:w="1138"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单价限价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制剂中心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290*493*46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医研中心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250*500*46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250*500*381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动物中心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618*510*46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617*539*46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665*388*762-8P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656*422*762-6P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化学过滤器（H11）</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287*592*292-N4G1-Y</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287*592*381-4P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592*592*381-8P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板式能量回收换热器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型号QB197-439；尺寸435*195*195</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阻尼网过滤器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442L*197H(197双槽）450*495*10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720*330*30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720*330*30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F6</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980*400*65</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318*188*21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335*260*50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318*188*150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374*182*10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2个月/次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132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450*200*100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H14</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35</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35</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630*620*220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排风网</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350*160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100</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化学过滤器（H11）</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287*592*292-N4G1-Y</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1年/次</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34</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kern w:val="0"/>
                <w:sz w:val="18"/>
                <w:szCs w:val="18"/>
                <w:u w:val="none"/>
                <w:lang w:val="en-US" w:eastAsia="zh-CN" w:bidi="ar"/>
              </w:rPr>
              <w:t>1200</w:t>
            </w:r>
          </w:p>
        </w:tc>
      </w:tr>
    </w:tbl>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 w:hAnsi="仿宋" w:eastAsia="仿宋" w:cs="仿宋"/>
          <w:b w:val="0"/>
          <w:bCs w:val="0"/>
          <w:color w:val="000000" w:themeColor="text1"/>
          <w:sz w:val="21"/>
          <w:szCs w:val="21"/>
          <w:highlight w:val="none"/>
          <w14:textFill>
            <w14:solidFill>
              <w14:schemeClr w14:val="tx1"/>
            </w14:solidFill>
          </w14:textFill>
        </w:rPr>
      </w:pPr>
      <w:r>
        <w:rPr>
          <w:rFonts w:hint="eastAsia" w:ascii="仿宋" w:hAnsi="仿宋" w:eastAsia="仿宋" w:cs="仿宋"/>
          <w:b w:val="0"/>
          <w:bCs w:val="0"/>
          <w:color w:val="000000" w:themeColor="text1"/>
          <w:sz w:val="21"/>
          <w:szCs w:val="21"/>
          <w:highlight w:val="none"/>
          <w14:textFill>
            <w14:solidFill>
              <w14:schemeClr w14:val="tx1"/>
            </w14:solidFill>
          </w14:textFill>
        </w:rPr>
        <w:t>以上空气过滤器说明：</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 w:hAnsi="仿宋" w:eastAsia="仿宋" w:cs="仿宋"/>
          <w:b w:val="0"/>
          <w:bCs w:val="0"/>
          <w:color w:val="000000" w:themeColor="text1"/>
          <w:sz w:val="21"/>
          <w:szCs w:val="21"/>
          <w:highlight w:val="none"/>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①</w:t>
      </w:r>
      <w:r>
        <w:rPr>
          <w:rFonts w:hint="eastAsia" w:ascii="仿宋" w:hAnsi="仿宋" w:eastAsia="仿宋" w:cs="仿宋"/>
          <w:b w:val="0"/>
          <w:bCs w:val="0"/>
          <w:color w:val="000000" w:themeColor="text1"/>
          <w:sz w:val="21"/>
          <w:szCs w:val="21"/>
          <w:highlight w:val="none"/>
          <w14:textFill>
            <w14:solidFill>
              <w14:schemeClr w14:val="tx1"/>
            </w14:solidFill>
          </w14:textFill>
        </w:rPr>
        <w:t>新风洁净空调柜机、循环洁净空调柜机内</w:t>
      </w:r>
      <w:r>
        <w:rPr>
          <w:rFonts w:hint="eastAsia" w:ascii="仿宋" w:hAnsi="仿宋" w:eastAsia="仿宋" w:cs="仿宋"/>
          <w:b w:val="0"/>
          <w:bCs w:val="0"/>
          <w:color w:val="000000" w:themeColor="text1"/>
          <w:sz w:val="21"/>
          <w:szCs w:val="21"/>
          <w:highlight w:val="none"/>
          <w:lang w:eastAsia="zh-CN"/>
          <w14:textFill>
            <w14:solidFill>
              <w14:schemeClr w14:val="tx1"/>
            </w14:solidFill>
          </w14:textFill>
        </w:rPr>
        <w:t>：</w:t>
      </w:r>
      <w:r>
        <w:rPr>
          <w:rFonts w:hint="eastAsia" w:ascii="仿宋" w:hAnsi="仿宋" w:eastAsia="仿宋" w:cs="仿宋"/>
          <w:b w:val="0"/>
          <w:bCs w:val="0"/>
          <w:color w:val="000000" w:themeColor="text1"/>
          <w:sz w:val="21"/>
          <w:szCs w:val="21"/>
          <w:highlight w:val="none"/>
          <w14:textFill>
            <w14:solidFill>
              <w14:schemeClr w14:val="tx1"/>
            </w14:solidFill>
          </w14:textFill>
        </w:rPr>
        <w:t>A:风口金属网空气过滤器；B:折叠式空气过滤器；C:袋式空气过滤器；D:亚高效空气过滤器。</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 w:hAnsi="仿宋" w:eastAsia="仿宋" w:cs="仿宋"/>
          <w:b w:val="0"/>
          <w:bCs w:val="0"/>
          <w:color w:val="000000" w:themeColor="text1"/>
          <w:sz w:val="21"/>
          <w:szCs w:val="21"/>
          <w:highlight w:val="none"/>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②</w:t>
      </w:r>
      <w:r>
        <w:rPr>
          <w:rFonts w:hint="eastAsia" w:ascii="仿宋" w:hAnsi="仿宋" w:eastAsia="仿宋" w:cs="仿宋"/>
          <w:b w:val="0"/>
          <w:bCs w:val="0"/>
          <w:color w:val="000000" w:themeColor="text1"/>
          <w:sz w:val="21"/>
          <w:szCs w:val="21"/>
          <w:highlight w:val="none"/>
          <w14:textFill>
            <w14:solidFill>
              <w14:schemeClr w14:val="tx1"/>
            </w14:solidFill>
          </w14:textFill>
        </w:rPr>
        <w:t>洁净空调系统末端</w:t>
      </w:r>
      <w:r>
        <w:rPr>
          <w:rFonts w:hint="eastAsia" w:ascii="仿宋" w:hAnsi="仿宋" w:eastAsia="仿宋" w:cs="仿宋"/>
          <w:b w:val="0"/>
          <w:bCs w:val="0"/>
          <w:color w:val="000000" w:themeColor="text1"/>
          <w:sz w:val="21"/>
          <w:szCs w:val="21"/>
          <w:highlight w:val="none"/>
          <w:lang w:eastAsia="zh-CN"/>
          <w14:textFill>
            <w14:solidFill>
              <w14:schemeClr w14:val="tx1"/>
            </w14:solidFill>
          </w14:textFill>
        </w:rPr>
        <w:t>：E:大风量高效空气过滤器；F:无隔板空气过滤器；G:有隔板高效过滤器;H:净化高分子均流膜</w:t>
      </w:r>
      <w:r>
        <w:rPr>
          <w:rFonts w:hint="eastAsia" w:ascii="仿宋" w:hAnsi="仿宋" w:eastAsia="仿宋" w:cs="仿宋"/>
          <w:b w:val="0"/>
          <w:bCs w:val="0"/>
          <w:color w:val="000000" w:themeColor="text1"/>
          <w:sz w:val="21"/>
          <w:szCs w:val="21"/>
          <w:highlight w:val="none"/>
          <w14:textFill>
            <w14:solidFill>
              <w14:schemeClr w14:val="tx1"/>
            </w14:solidFill>
          </w14:textFill>
        </w:rPr>
        <w:t>。</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20" w:firstLineChars="200"/>
        <w:jc w:val="left"/>
        <w:textAlignment w:val="auto"/>
        <w:rPr>
          <w:rFonts w:hint="eastAsia" w:ascii="仿宋" w:hAnsi="仿宋" w:eastAsia="仿宋" w:cs="仿宋"/>
          <w:b w:val="0"/>
          <w:bCs w:val="0"/>
          <w:color w:val="000000" w:themeColor="text1"/>
          <w:sz w:val="21"/>
          <w:szCs w:val="21"/>
          <w:highlight w:val="none"/>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③</w:t>
      </w:r>
      <w:r>
        <w:rPr>
          <w:rFonts w:hint="eastAsia" w:ascii="仿宋" w:hAnsi="仿宋" w:eastAsia="仿宋" w:cs="仿宋"/>
          <w:b w:val="0"/>
          <w:bCs w:val="0"/>
          <w:color w:val="000000" w:themeColor="text1"/>
          <w:sz w:val="21"/>
          <w:szCs w:val="21"/>
          <w:highlight w:val="none"/>
          <w14:textFill>
            <w14:solidFill>
              <w14:schemeClr w14:val="tx1"/>
            </w14:solidFill>
          </w14:textFill>
        </w:rPr>
        <w:t>空气过滤器数量为1年合计的预估量，仅报价供参考之用，实际供货以采购人每次更换的空气过滤器数量为准，并按</w:t>
      </w:r>
      <w:r>
        <w:rPr>
          <w:rFonts w:hint="eastAsia" w:ascii="仿宋" w:hAnsi="仿宋" w:eastAsia="仿宋" w:cs="仿宋"/>
          <w:b w:val="0"/>
          <w:bCs w:val="0"/>
          <w:color w:val="000000" w:themeColor="text1"/>
          <w:sz w:val="21"/>
          <w:szCs w:val="21"/>
          <w:highlight w:val="none"/>
          <w:lang w:eastAsia="zh-CN"/>
          <w14:textFill>
            <w14:solidFill>
              <w14:schemeClr w14:val="tx1"/>
            </w14:solidFill>
          </w14:textFill>
        </w:rPr>
        <w:t>成交供应商</w:t>
      </w:r>
      <w:r>
        <w:rPr>
          <w:rFonts w:hint="eastAsia" w:ascii="仿宋" w:hAnsi="仿宋" w:eastAsia="仿宋" w:cs="仿宋"/>
          <w:b w:val="0"/>
          <w:bCs w:val="0"/>
          <w:color w:val="000000" w:themeColor="text1"/>
          <w:sz w:val="21"/>
          <w:szCs w:val="21"/>
          <w:highlight w:val="none"/>
          <w14:textFill>
            <w14:solidFill>
              <w14:schemeClr w14:val="tx1"/>
            </w14:solidFill>
          </w14:textFill>
        </w:rPr>
        <w:t>在</w:t>
      </w:r>
      <w:r>
        <w:rPr>
          <w:rFonts w:hint="eastAsia" w:ascii="仿宋" w:hAnsi="仿宋" w:eastAsia="仿宋" w:cs="仿宋"/>
          <w:b w:val="0"/>
          <w:bCs w:val="0"/>
          <w:color w:val="000000" w:themeColor="text1"/>
          <w:sz w:val="21"/>
          <w:szCs w:val="21"/>
          <w:highlight w:val="none"/>
          <w:lang w:eastAsia="zh-CN"/>
          <w14:textFill>
            <w14:solidFill>
              <w14:schemeClr w14:val="tx1"/>
            </w14:solidFill>
          </w14:textFill>
        </w:rPr>
        <w:t>响应文件</w:t>
      </w:r>
      <w:r>
        <w:rPr>
          <w:rFonts w:hint="eastAsia" w:ascii="仿宋" w:hAnsi="仿宋" w:eastAsia="仿宋" w:cs="仿宋"/>
          <w:b w:val="0"/>
          <w:bCs w:val="0"/>
          <w:color w:val="000000" w:themeColor="text1"/>
          <w:sz w:val="21"/>
          <w:szCs w:val="21"/>
          <w:highlight w:val="none"/>
          <w14:textFill>
            <w14:solidFill>
              <w14:schemeClr w14:val="tx1"/>
            </w14:solidFill>
          </w14:textFill>
        </w:rPr>
        <w:t>中承诺的单价</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下浮率</w:t>
      </w:r>
      <w:r>
        <w:rPr>
          <w:rFonts w:hint="eastAsia" w:ascii="仿宋" w:hAnsi="仿宋" w:eastAsia="仿宋" w:cs="仿宋"/>
          <w:b w:val="0"/>
          <w:bCs w:val="0"/>
          <w:color w:val="000000" w:themeColor="text1"/>
          <w:sz w:val="21"/>
          <w:szCs w:val="21"/>
          <w:highlight w:val="none"/>
          <w14:textFill>
            <w14:solidFill>
              <w14:schemeClr w14:val="tx1"/>
            </w14:solidFill>
          </w14:textFill>
        </w:rPr>
        <w:t>执行，按实结算。</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四</w:t>
      </w:r>
      <w:r>
        <w:rPr>
          <w:rFonts w:hint="eastAsia" w:ascii="仿宋" w:hAnsi="仿宋" w:eastAsia="仿宋" w:cs="仿宋"/>
          <w:b/>
          <w:bCs/>
          <w:color w:val="000000" w:themeColor="text1"/>
          <w:sz w:val="24"/>
          <w:szCs w:val="24"/>
          <w:highlight w:val="none"/>
          <w14:textFill>
            <w14:solidFill>
              <w14:schemeClr w14:val="tx1"/>
            </w14:solidFill>
          </w14:textFill>
        </w:rPr>
        <w:t>、各规格空气过滤器技术参数及要求：</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▲A:风口金属网空气过滤器：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外框采用壁厚不低于1.0mm铝合金型材外框, 四角铝合金连接码固定；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滤网材质采用多层铝合金扩张波浪网和铝合金平网叠合而成（46mm厚初效过滤器铝合金扩张波浪网不低于7层、21mm厚初效过滤器铝合金扩张波浪网不低于3层）；</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效率等级：G2（EN779）平均计重效率≥60%(ASHRE 52.1-1992)；</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▲B:折叠式空气过滤器：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外框采用不低于1.0×46(或96)×18mm铝合金型材外框，四角铝合金连接码固定；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内框采用8号铁丝（表面需喷漆）子母架固定模式，滤料呈线形褶状结构（折距保证不大于50mm），具有很高的容尘量；</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滤料与外框体压边处密封剂密封性良好，以防漏气；初效过滤器滤料采用优质聚酯合成纤维（需表面高温烫平处理，保证不掉纤维），滤料厚度：5mm，绿白无胶棉；</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eastAsia="zh-CN" w:bidi="ar"/>
          <w14:textFill>
            <w14:solidFill>
              <w14:schemeClr w14:val="tx1"/>
            </w14:solidFill>
          </w14:textFill>
        </w:rPr>
        <w:t>中效过滤器滤料采用聚丙烯超细熔喷纤维和涤纶混合材料（必须带有熔喷）。</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初效过滤器：G4（EN779）平均计重效率≥90%(ASHRE 52.1-1992)；</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中效过滤器：F8（EN779）（比色法）效率≥90%(ASHRE 52.1-1992)。</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▲C:袋式空气过滤器：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外框采用1.0×21×18mm铝合金型材外框，四角铝合金连接码固定；</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铝合金压条、内框采用镀锌板折叠支撑架整体固定模式；</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滤料与外框体压边处密封剂及铝合金压条密封性良好，以防漏气；</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 xml:space="preserve">滤料采用A型成品滤袋，滤料结构：PP＋针棉＋熔喷，滤料厚度：7mm；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效率等级：F8（EN779）（比色法）效率≥90%(ASHRE 52.1-1992)。</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▲D:亚高效空气过滤器：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HV超细、防潮耐高湿、耐火型玻璃纤维滤纸；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V型结构、无隔板滤芯、四隔八面，镀锌钢板外框；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密封胶采用耐高温聚氨酯密封；</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效率等级：H12效率≥99.5%，对粒径≥5.0um。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▲E:大风量高效空气过滤器（610×305×292mm）: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HV超细、防潮耐高湿、耐火型玻璃纤维滤纸；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V型结构、无隔板滤芯、五隔十面，镀锌钢板外框；</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密封胶采用耐高温聚氨酯密封；</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效率等级：H14效率≥99.995%，对粒径≥0.3um。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▲F:无隔板空气过滤器: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HV超细、防潮耐高湿、耐火型玻璃纤维滤纸；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采用铝合金型材外框、双面喷塑金属护网、双面注塑成型无接缝聚氨酯密封垫；</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滤芯折纸要求：10公分长度折数不低于32折、69mm厚规格滤芯高度不低于52mm，风速为0.45m/s条件下初阻力不高于90Pa；</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H13效率≥99.95% ，对粒径≥0.3um；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rPr>
          <w:color w:val="000000" w:themeColor="text1"/>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H14效率≥99.995%，对粒径≥0.3um。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▲G:有隔板高效过滤器：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HV超细、防潮耐高湿、耐火型玻璃纤维滤纸；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采用铝合金型材外框、分隔物采用铝箔波纹板、双面压边(增加强度及有效防止划破滤纸)；</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密封垫采用注塑成型无接缝的聚氨酯；</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效率等级：H14效率≥99.995%，对粒径≥0.3um。</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val="0"/>
          <w:bCs w:val="0"/>
          <w:color w:val="000000" w:themeColor="text1"/>
          <w:kern w:val="0"/>
          <w:sz w:val="24"/>
          <w:szCs w:val="24"/>
          <w:lang w:val="en-US" w:eastAsia="zh-CN" w:bidi="ar"/>
          <w14:textFill>
            <w14:solidFill>
              <w14:schemeClr w14:val="tx1"/>
            </w14:solidFill>
          </w14:textFill>
        </w:rPr>
        <w:t>H:净化高分子均流膜。</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b w:val="0"/>
          <w:bCs w:val="0"/>
          <w:color w:val="000000"/>
          <w:kern w:val="0"/>
          <w:sz w:val="24"/>
          <w:szCs w:val="24"/>
          <w:lang w:val="en-US" w:eastAsia="zh-CN" w:bidi="ar"/>
        </w:rPr>
        <w:t>▲</w:t>
      </w:r>
      <w:r>
        <w:rPr>
          <w:rFonts w:hint="eastAsia" w:ascii="仿宋" w:hAnsi="仿宋" w:eastAsia="仿宋" w:cs="仿宋"/>
          <w:b/>
          <w:bCs/>
          <w:color w:val="000000"/>
          <w:kern w:val="0"/>
          <w:sz w:val="24"/>
          <w:szCs w:val="24"/>
          <w:lang w:val="en-US" w:eastAsia="zh-CN" w:bidi="ar"/>
        </w:rPr>
        <w:t xml:space="preserve">五、样品清单及要求（样品仅作为评分因素，不作为资格性审查和符合性审查范围）：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（一）供应商递交响应文件的同时需提供以下3款样品以备评审。响应样品的要求、数量、规格应严格按照“样品清单”和“四、各规格空气过滤器技术参数及要求”提供。</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3091"/>
        <w:gridCol w:w="1533"/>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序号</w:t>
            </w:r>
          </w:p>
        </w:tc>
        <w:tc>
          <w:tcPr>
            <w:tcW w:w="3091"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样品名称</w:t>
            </w:r>
          </w:p>
        </w:tc>
        <w:tc>
          <w:tcPr>
            <w:tcW w:w="1533"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数量</w:t>
            </w:r>
          </w:p>
        </w:tc>
        <w:tc>
          <w:tcPr>
            <w:tcW w:w="2577"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bCs/>
                <w:color w:val="000000"/>
                <w:kern w:val="0"/>
                <w:sz w:val="24"/>
                <w:szCs w:val="24"/>
                <w:vertAlign w:val="baseline"/>
                <w:lang w:val="en-US" w:eastAsia="zh-CN" w:bidi="ar"/>
              </w:rPr>
              <w:t>样品规格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w:t>
            </w:r>
          </w:p>
        </w:tc>
        <w:tc>
          <w:tcPr>
            <w:tcW w:w="309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高效过滤器</w:t>
            </w:r>
          </w:p>
        </w:tc>
        <w:tc>
          <w:tcPr>
            <w:tcW w:w="1533"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1件</w:t>
            </w:r>
          </w:p>
        </w:tc>
        <w:tc>
          <w:tcPr>
            <w:tcW w:w="2577" w:type="dxa"/>
            <w:vMerge w:val="restart"/>
          </w:tcPr>
          <w:p>
            <w:pPr>
              <w:keepNext w:val="0"/>
              <w:keepLines w:val="0"/>
              <w:pageBreakBefore w:val="0"/>
              <w:widowControl/>
              <w:suppressLineNumbers w:val="0"/>
              <w:kinsoku/>
              <w:wordWrap/>
              <w:overflowPunct/>
              <w:topLinePunct w:val="0"/>
              <w:autoSpaceDE/>
              <w:autoSpaceDN/>
              <w:bidi w:val="0"/>
              <w:adjustRightInd/>
              <w:snapToGrid/>
              <w:spacing w:before="0" w:beforeLines="50" w:beforeAutospacing="0" w:after="0" w:afterAutospacing="0"/>
              <w:ind w:left="0" w:right="0"/>
              <w:jc w:val="center"/>
              <w:textAlignment w:val="auto"/>
              <w:rPr>
                <w:rFonts w:hint="default" w:ascii="仿宋" w:hAnsi="仿宋" w:eastAsia="仿宋" w:cs="仿宋"/>
                <w:b/>
                <w:bCs/>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lang w:val="en-US" w:eastAsia="zh-CN" w:bidi="ar"/>
              </w:rPr>
              <w:t>同技术参数要求，提供实物样品，</w:t>
            </w:r>
            <w:r>
              <w:rPr>
                <w:rFonts w:hint="eastAsia" w:ascii="仿宋" w:hAnsi="仿宋" w:eastAsia="仿宋" w:cs="仿宋"/>
                <w:color w:val="000000"/>
                <w:kern w:val="0"/>
                <w:sz w:val="24"/>
                <w:lang w:bidi="ar"/>
              </w:rPr>
              <w:t>提供该</w:t>
            </w:r>
            <w:r>
              <w:rPr>
                <w:rFonts w:hint="eastAsia" w:ascii="仿宋" w:hAnsi="仿宋" w:eastAsia="仿宋" w:cs="仿宋"/>
                <w:color w:val="000000"/>
                <w:kern w:val="0"/>
                <w:sz w:val="24"/>
                <w:lang w:val="en-US" w:eastAsia="zh-CN" w:bidi="ar"/>
              </w:rPr>
              <w:t>样品</w:t>
            </w:r>
            <w:r>
              <w:rPr>
                <w:rFonts w:hint="eastAsia" w:ascii="仿宋" w:hAnsi="仿宋" w:eastAsia="仿宋" w:cs="仿宋"/>
                <w:color w:val="000000"/>
                <w:kern w:val="0"/>
                <w:sz w:val="24"/>
                <w:lang w:bidi="ar"/>
              </w:rPr>
              <w:t>的最小尺寸即可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2</w:t>
            </w:r>
          </w:p>
        </w:tc>
        <w:tc>
          <w:tcPr>
            <w:tcW w:w="309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中效过滤器</w:t>
            </w:r>
          </w:p>
        </w:tc>
        <w:tc>
          <w:tcPr>
            <w:tcW w:w="1533" w:type="dxa"/>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1件</w:t>
            </w:r>
          </w:p>
        </w:tc>
        <w:tc>
          <w:tcPr>
            <w:tcW w:w="2577" w:type="dxa"/>
            <w:vMerge w:val="continue"/>
          </w:tcPr>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3</w:t>
            </w:r>
          </w:p>
        </w:tc>
        <w:tc>
          <w:tcPr>
            <w:tcW w:w="309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sz w:val="24"/>
                <w:szCs w:val="24"/>
                <w:lang w:val="en-GB"/>
              </w:rPr>
              <w:t>初效过滤器</w:t>
            </w:r>
          </w:p>
        </w:tc>
        <w:tc>
          <w:tcPr>
            <w:tcW w:w="1533" w:type="dxa"/>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1件</w:t>
            </w:r>
          </w:p>
        </w:tc>
        <w:tc>
          <w:tcPr>
            <w:tcW w:w="2577" w:type="dxa"/>
            <w:vMerge w:val="continue"/>
          </w:tcPr>
          <w:p>
            <w:pPr>
              <w:keepNext w:val="0"/>
              <w:keepLines w:val="0"/>
              <w:widowControl/>
              <w:suppressLineNumbers w:val="0"/>
              <w:spacing w:before="0" w:beforeAutospacing="0" w:after="0" w:afterAutospacing="0"/>
              <w:ind w:left="0" w:right="0"/>
              <w:jc w:val="left"/>
              <w:rPr>
                <w:rFonts w:hint="eastAsia" w:ascii="仿宋" w:hAnsi="仿宋" w:eastAsia="仿宋" w:cs="仿宋"/>
                <w:b/>
                <w:bCs/>
                <w:color w:val="000000"/>
                <w:kern w:val="0"/>
                <w:sz w:val="24"/>
                <w:szCs w:val="24"/>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（二）样品接收与响应文件递交截止时间、地点一致，逾期不予接收。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（三）本项目样品外包装应剔除一切与制造厂商有关的标识（如厂名、品牌等），若有，则供应商自行负责遮掩。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（四）样品的运送、检测、包装、保管费等一切费用由供应商自理。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（五）本项目响应产品必须是正规生产厂家生产的产品，不得以三无产品</w:t>
      </w:r>
      <w:r>
        <w:rPr>
          <w:rFonts w:hint="eastAsia" w:ascii="仿宋" w:hAnsi="仿宋" w:eastAsia="仿宋" w:cs="仿宋"/>
          <w:color w:val="000000"/>
          <w:kern w:val="0"/>
          <w:sz w:val="24"/>
          <w:szCs w:val="24"/>
          <w:lang w:val="en-US" w:eastAsia="zh-CN" w:bidi="ar"/>
        </w:rPr>
        <w:t xml:space="preserve">或仿冒产品进行报价和供货。 </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六）由于我院存放样品的空间有限，请未成交供应商在本项目成交结果公示结束后3个工作日内主动取回，否则视同供应商不再认领，我院有权进行处理。成交供应商提供的样品不得取回，作为该项目合同履行过程的验收标准及验收依据。</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（七）在收取样品时我院没有对实物样品外观验收及性能测试，所以对样品的破损或质量概不负责。</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（八）供应商的样品不能相互共用。</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（九）样品内包装须有供应商名称和产品名称的标识，并且装于密封完好的信封或包装。同时在响应文件中提供实物样品说明表如下：</w:t>
      </w:r>
    </w:p>
    <w:tbl>
      <w:tblPr>
        <w:tblStyle w:val="23"/>
        <w:tblpPr w:leftFromText="180" w:rightFromText="180" w:vertAnchor="text" w:horzAnchor="page" w:tblpXSpec="center" w:tblpY="14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742"/>
        <w:gridCol w:w="171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r>
              <w:rPr>
                <w:rFonts w:hint="eastAsia" w:ascii="仿宋" w:hAnsi="仿宋" w:eastAsia="仿宋" w:cs="仿宋"/>
                <w:szCs w:val="21"/>
                <w:lang w:val="en-GB"/>
              </w:rPr>
              <w:t>货物名称</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1"/>
                <w:szCs w:val="21"/>
                <w:lang w:val="en-GB"/>
              </w:rPr>
            </w:pPr>
            <w:r>
              <w:rPr>
                <w:rFonts w:hint="eastAsia" w:ascii="仿宋" w:hAnsi="仿宋" w:eastAsia="仿宋" w:cs="仿宋"/>
                <w:sz w:val="21"/>
                <w:szCs w:val="21"/>
                <w:lang w:val="en-GB"/>
              </w:rPr>
              <w:t>品牌</w:t>
            </w:r>
          </w:p>
        </w:tc>
        <w:tc>
          <w:tcPr>
            <w:tcW w:w="17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val="0"/>
                <w:bCs w:val="0"/>
                <w:color w:val="000000" w:themeColor="text1"/>
                <w:sz w:val="21"/>
                <w:szCs w:val="21"/>
                <w:lang w:val="en-GB"/>
                <w14:textFill>
                  <w14:solidFill>
                    <w14:schemeClr w14:val="tx1"/>
                  </w14:solidFill>
                </w14:textFill>
              </w:rPr>
            </w:pPr>
            <w:r>
              <w:rPr>
                <w:rFonts w:hint="eastAsia" w:ascii="仿宋" w:hAnsi="仿宋" w:eastAsia="仿宋" w:cs="仿宋"/>
                <w:b w:val="0"/>
                <w:bCs w:val="0"/>
                <w:i w:val="0"/>
                <w:iCs w:val="0"/>
                <w:color w:val="000000" w:themeColor="text1"/>
                <w:kern w:val="0"/>
                <w:sz w:val="21"/>
                <w:szCs w:val="21"/>
                <w:u w:val="none"/>
                <w:lang w:val="en-US" w:eastAsia="zh-CN" w:bidi="ar"/>
                <w14:textFill>
                  <w14:solidFill>
                    <w14:schemeClr w14:val="tx1"/>
                  </w14:solidFill>
                </w14:textFill>
              </w:rPr>
              <w:t>规格（mm）</w:t>
            </w:r>
          </w:p>
        </w:tc>
        <w:tc>
          <w:tcPr>
            <w:tcW w:w="16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val="0"/>
                <w:bCs w:val="0"/>
                <w:color w:val="000000" w:themeColor="text1"/>
                <w:sz w:val="21"/>
                <w:szCs w:val="21"/>
                <w:lang w:val="en-US"/>
                <w14:textFill>
                  <w14:solidFill>
                    <w14:schemeClr w14:val="tx1"/>
                  </w14:solidFill>
                </w14:textFill>
              </w:rPr>
            </w:pPr>
            <w:r>
              <w:rPr>
                <w:rFonts w:hint="eastAsia" w:ascii="仿宋" w:hAnsi="仿宋" w:eastAsia="仿宋" w:cs="仿宋"/>
                <w:b w:val="0"/>
                <w:bCs w:val="0"/>
                <w:i w:val="0"/>
                <w:iCs w:val="0"/>
                <w:color w:val="000000" w:themeColor="text1"/>
                <w:kern w:val="0"/>
                <w:sz w:val="21"/>
                <w:szCs w:val="21"/>
                <w:u w:val="none"/>
                <w:lang w:val="en-US" w:eastAsia="zh-CN" w:bidi="ar"/>
                <w14:textFill>
                  <w14:solidFill>
                    <w14:schemeClr w14:val="tx1"/>
                  </w14:solidFill>
                </w14:textFill>
              </w:rPr>
              <w:t>效率等级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9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1"/>
                <w:szCs w:val="21"/>
                <w:lang w:val="en-GB"/>
              </w:rPr>
            </w:pPr>
            <w:r>
              <w:rPr>
                <w:rFonts w:hint="eastAsia" w:ascii="仿宋" w:hAnsi="仿宋" w:eastAsia="仿宋" w:cs="仿宋"/>
                <w:b w:val="0"/>
                <w:bCs w:val="0"/>
                <w:sz w:val="21"/>
                <w:szCs w:val="21"/>
                <w:lang w:val="en-GB"/>
              </w:rPr>
              <w:t>高效过滤器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9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1"/>
                <w:szCs w:val="21"/>
                <w:lang w:val="en-GB"/>
              </w:rPr>
            </w:pPr>
            <w:r>
              <w:rPr>
                <w:rFonts w:hint="eastAsia" w:ascii="仿宋" w:hAnsi="仿宋" w:eastAsia="仿宋" w:cs="仿宋"/>
                <w:b w:val="0"/>
                <w:bCs w:val="0"/>
                <w:sz w:val="21"/>
                <w:szCs w:val="21"/>
                <w:lang w:val="en-GB"/>
              </w:rPr>
              <w:t>中效过滤器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9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1"/>
                <w:szCs w:val="21"/>
                <w:lang w:val="en-GB"/>
              </w:rPr>
            </w:pPr>
            <w:r>
              <w:rPr>
                <w:rFonts w:hint="eastAsia" w:ascii="仿宋" w:hAnsi="仿宋" w:eastAsia="仿宋" w:cs="仿宋"/>
                <w:b w:val="0"/>
                <w:bCs w:val="0"/>
                <w:sz w:val="21"/>
                <w:szCs w:val="21"/>
                <w:lang w:val="en-GB"/>
              </w:rPr>
              <w:t>初效过滤器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Cs w:val="21"/>
                <w:lang w:val="en-GB"/>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b/>
          <w:color w:val="000000"/>
          <w:sz w:val="20"/>
          <w:szCs w:val="2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b/>
          <w:color w:val="000000"/>
          <w:sz w:val="20"/>
          <w:szCs w:val="2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r>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t>注：请在表格中详细列出实物样品的各项规格尺寸等内容，以作为样品说明。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六、服务要求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1.过滤器更换周期：</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（1）新风空调柜机</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中效袋式过滤器：更换周期为1次/3个月；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亚高效过滤器：更换周期为1次/6个月。</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（2）循环空调柜机</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初效过滤器：更换周期为1次/3个月；</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中效袋式过滤器：更换周期为1次/3-6个月；</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亚高效过滤器：更换周期为1次/6-12个月。         </w:t>
      </w:r>
    </w:p>
    <w:p>
      <w:pPr>
        <w:pStyle w:val="22"/>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中效回风口的过滤器：更换周期为1次/3个月。</w:t>
      </w:r>
    </w:p>
    <w:p>
      <w:pPr>
        <w:pStyle w:val="22"/>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铝网和尼龙网过滤器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定期半个月清洗一次（视具体情况更换）。</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（5）高效过滤器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通用情况下更换周期为12-24个月（1-2年），不同科室在周期内可根据时间情况需要进行更换。</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（6）排风系统的过滤器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初效过滤器：更换周期为1次/3个月；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中效袋式过滤器：更换周期为1次/3-6个月；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亚高效过滤器：更换周期为1次/12个月。</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2.安装、调试要求：</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所有进入洁净区参与现场施工人员，应佩戴无尘鞋、口罩、无尘服；高危病菌区域需穿着一级防护才可以进入。</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为不耽误各院区各科室工作，安装过程必须快速、高效地进行，人员配备要求如下：</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cyan"/>
          <w:lang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①供应商</w:t>
      </w:r>
      <w:r>
        <w:rPr>
          <w:rFonts w:hint="eastAsia" w:ascii="仿宋" w:hAnsi="仿宋" w:eastAsia="仿宋" w:cs="仿宋"/>
          <w:b w:val="0"/>
          <w:bCs/>
          <w:color w:val="000000" w:themeColor="text1"/>
          <w:sz w:val="24"/>
          <w:szCs w:val="24"/>
          <w:highlight w:val="none"/>
          <w14:textFill>
            <w14:solidFill>
              <w14:schemeClr w14:val="tx1"/>
            </w14:solidFill>
          </w14:textFill>
        </w:rPr>
        <w:t>拟安排为本项目服务的工程师、技术员、品质检验员及安装施工人员须具备相应的上岗资质。</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投入本项目的团队人员不少于8人，设项目经理1~2人，负责本项目的24小时联络、施工组织、技术咨询、现场安装指导、安装进度记录更新等工作，并负责项目范围内洁净中央空调系统过滤器的维护和正常使用。其他服务人员在安装、调试过程中提供技术服务，按采购人维修具体内容负责对中央空调设备进行认真有序的安装、调试，确保采购人洁净中央空调系统安全、可靠、高效、无故障运行。</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③成交供应商自备安装过程所需的物件并承担所有费用。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④服务期间，供应商服务人员应遵纪守法，佩戴有效工作证件，遵守采购人单位的各项规章管理制度，如安装人员不服从采购人现场工作人员的指挥管理，采购人有权要求供应商更换服务人员。</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过滤器更换安装要求：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①各类过滤器在安装前，不允许打开包装袋或包装膜；并按包装箱上标注的方向存放过滤器；在搬运过程中，应轻拿、轻放，避免剧烈的振动和碰撞。</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②过滤器安装前，应对洁净室进行全面清扫、擦净，净化空调系统内部如有积尘，应再次清扫、擦净，达到清洁要求。如在技术夹层或吊顶内安装高效过滤器，则技术层或吊顶内也应进行全面清扫、擦净。</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高效过滤器安装前，应在安装现场拆开包装进行外观检查，内容包括：滤纸、密封胶和框架有无损坏；边长、对角线和厚度尺寸是否符合要求；框架有无毛刺和锈斑（金属框）；有无产品合格证，技术性能是否符合设计要求。然后按照国家标准《洁净室施工及验收规范》〔GB 50591-2010〕的规定的方法进行检查，合格的应立即安装。安装高效过滤器时，外框上箭头应和气流方向一致；当其垂直安装时，滤纸折痕方向应垂直于地面。</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④安装初效平板式或折叠式过滤器，应使镀锌网面在出风背面方向。安装中效袋式过滤器，则应使滤袋长度方向垂直于地面，不可使滤袋方向平行于地面安装。</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洁净空调柜机初、中、亚高效过滤端安装前后须定期用干抹布或酒精等其它工具材料进行清洁，保持空调处于洁净工作状态。</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每次过滤器安装完毕后，成交供应商需提交经采购人管理人员签名确认的空气过滤器安装明细、空气过滤器统计表、空气过滤器安装维护记录表和空调柜机清洁记录表。</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安装结束后所有系统调试：按国家相关施工验收规范进行，分阶段进行调试。</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安装、调试所需工具设施、材料由成交供应商运到现场，完工后搬走，此项费用包含在响应报价中。</w:t>
      </w:r>
    </w:p>
    <w:p>
      <w:pPr>
        <w:pStyle w:val="22"/>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其它要求：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①在安装环境外围除去产品外包装，保留内包装防止外包装对施工场地造成污染同时保护产品不受污染。</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②对于必须进入场地的施工工具进行清洁处理，条件允许使用酒精在清洁同时有消毒功效。</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③进入室内洁净场地时相关人员需穿戴洁净无尘工作服。进入工作场地后首先注意观察室内设备物品，有必要时现场设备做适当防护。</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④安装更换产品时应仔细确认产品完好性，现场原有设备是否还正常，排除原有设备因时间久而容易出现的问题，主要是原有设备老化后容易出现的泄漏。</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⑤安装时确保安装更换后的产品与原设备的密闭性，必要时需用专业检测设备检测，安装前且应对产品相关部位进行清洁消毒，相关的清洁消毒用品费用包含在响应报价中。同时对产品安装需按相关注意事项不能在安装时对产品造成损坏。</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⑥安装时如有需要移动物品应先征得采购人许可，不可贸然行事，事后需还原位置。成交供应商需严格按照采购人的指定时间安装，不得影响采购人的正常医疗秩序。</w:t>
      </w:r>
    </w:p>
    <w:p>
      <w:pPr>
        <w:keepNext w:val="0"/>
        <w:keepLines w:val="0"/>
        <w:pageBreakBefore w:val="0"/>
        <w:widowControl/>
        <w:suppressLineNumbers w:val="0"/>
        <w:kinsoku/>
        <w:wordWrap/>
        <w:overflowPunct/>
        <w:topLinePunct w:val="0"/>
        <w:autoSpaceDE/>
        <w:autoSpaceDN/>
        <w:bidi w:val="0"/>
        <w:adjustRightInd w:val="0"/>
        <w:snapToGrid w:val="0"/>
        <w:spacing w:line="360" w:lineRule="exact"/>
        <w:ind w:firstLine="480" w:firstLineChars="200"/>
        <w:jc w:val="left"/>
        <w:textAlignment w:val="cente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⑦完成安装更换后需对残留旧产品和包装品进行整理处理，特别注意旧产品的处理防止对场地环境造成污染。人员离开时需将包装品和更换后旧的过滤器由成交供应商带离医院并做合规处理，该项费用包含在响应报价中。</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⑧成交供应商作为相关货物安装、维护、检测的安全负责人，对相关货物安装、维护等工作安全负责。成交供应商须采取一切措施对相关货物安装、维护，检测等环节进行安全保护管理，确保杜绝一切安全事故。因成交供应商的过错（包括故意和管理过失）发生操作、消防、用电等事故，由成交供应商承担一切责任，因非可归咎于采购人的原因而发生人身伤亡或财产损失事件的，采购人不承担任何责任。</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⑨成交供应商在实施货物供货期间，不得将供货的实际数量及采购人相关信息泄露给其他企业或者个人，送货人员需注意采购人、病人的隐私，未经采购人许可，不得随意进出采购人科室、诊室。成交供应商必须指派相对固定的人员完成货物配送服务，货物配送人员必须遵纪守法、品行良好，无违法犯罪记录。</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3.检测要求：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（1）北院区主要位置洁净等级概况：</w:t>
      </w:r>
    </w:p>
    <w:tbl>
      <w:tblPr>
        <w:tblStyle w:val="23"/>
        <w:tblW w:w="0" w:type="auto"/>
        <w:jc w:val="center"/>
        <w:tblLayout w:type="fixed"/>
        <w:tblCellMar>
          <w:top w:w="0" w:type="dxa"/>
          <w:left w:w="108" w:type="dxa"/>
          <w:bottom w:w="0" w:type="dxa"/>
          <w:right w:w="108" w:type="dxa"/>
        </w:tblCellMar>
      </w:tblPr>
      <w:tblGrid>
        <w:gridCol w:w="1687"/>
        <w:gridCol w:w="1871"/>
        <w:gridCol w:w="2403"/>
        <w:gridCol w:w="1841"/>
      </w:tblGrid>
      <w:tr>
        <w:tblPrEx>
          <w:tblCellMar>
            <w:top w:w="0" w:type="dxa"/>
            <w:left w:w="108" w:type="dxa"/>
            <w:bottom w:w="0" w:type="dxa"/>
            <w:right w:w="108" w:type="dxa"/>
          </w:tblCellMar>
        </w:tblPrEx>
        <w:trPr>
          <w:trHeight w:val="285" w:hRule="atLeast"/>
          <w:jc w:val="center"/>
        </w:trPr>
        <w:tc>
          <w:tcPr>
            <w:tcW w:w="16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楼层</w:t>
            </w:r>
          </w:p>
        </w:tc>
        <w:tc>
          <w:tcPr>
            <w:tcW w:w="18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科室</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位置</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级别</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博济楼前座7F</w:t>
            </w:r>
          </w:p>
        </w:tc>
        <w:tc>
          <w:tcPr>
            <w:tcW w:w="18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生物治疗中心</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层流房</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走廊公共区域</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药厂1F</w:t>
            </w:r>
          </w:p>
        </w:tc>
        <w:tc>
          <w:tcPr>
            <w:tcW w:w="18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制剂室</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生产车间</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小教堂</w:t>
            </w:r>
          </w:p>
        </w:tc>
        <w:tc>
          <w:tcPr>
            <w:tcW w:w="18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检验科</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产物分析区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基因扩增区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样品制备区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试机准备区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微生物室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HIV初筛实验室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银行宿舍</w:t>
            </w:r>
          </w:p>
        </w:tc>
        <w:tc>
          <w:tcPr>
            <w:tcW w:w="18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静配中心</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普配区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化疗区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岭南楼24F</w:t>
            </w:r>
          </w:p>
        </w:tc>
        <w:tc>
          <w:tcPr>
            <w:tcW w:w="18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手术室2</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手术室3</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手术室4</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手术室5</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手术室6</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手术室7</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手术室8</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手术室9</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手术室10</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手术室11</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手术室12</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手术室13</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中山楼13F</w:t>
            </w:r>
          </w:p>
        </w:tc>
        <w:tc>
          <w:tcPr>
            <w:tcW w:w="187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骨髓移植中心</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1#房</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2#房</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缓冲区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公共区域</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中山楼12F</w:t>
            </w:r>
          </w:p>
        </w:tc>
        <w:tc>
          <w:tcPr>
            <w:tcW w:w="1871"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生殖中心</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培养室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公共区域</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岭南楼15F</w:t>
            </w:r>
          </w:p>
        </w:tc>
        <w:tc>
          <w:tcPr>
            <w:tcW w:w="1871"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ICU</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大厅</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房间</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岭南楼16F</w:t>
            </w:r>
          </w:p>
        </w:tc>
        <w:tc>
          <w:tcPr>
            <w:tcW w:w="1871" w:type="dxa"/>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胸外ICU</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病区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门诊B区2F</w:t>
            </w:r>
          </w:p>
        </w:tc>
        <w:tc>
          <w:tcPr>
            <w:tcW w:w="1871"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EICU</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病区</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公共区域</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博济楼后座5F</w:t>
            </w:r>
          </w:p>
        </w:tc>
        <w:tc>
          <w:tcPr>
            <w:tcW w:w="1871"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医研中心</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细胞层流室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87"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871"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公共区域</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r>
        <w:tblPrEx>
          <w:tblCellMar>
            <w:top w:w="0" w:type="dxa"/>
            <w:left w:w="108" w:type="dxa"/>
            <w:bottom w:w="0" w:type="dxa"/>
            <w:right w:w="108" w:type="dxa"/>
          </w:tblCellMar>
        </w:tblPrEx>
        <w:trPr>
          <w:trHeight w:val="285" w:hRule="atLeast"/>
          <w:jc w:val="center"/>
        </w:trPr>
        <w:tc>
          <w:tcPr>
            <w:tcW w:w="168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博济楼后座3F</w:t>
            </w:r>
          </w:p>
        </w:tc>
        <w:tc>
          <w:tcPr>
            <w:tcW w:w="187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309妇科实验室</w:t>
            </w:r>
          </w:p>
        </w:tc>
        <w:tc>
          <w:tcPr>
            <w:tcW w:w="240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实验室</w:t>
            </w:r>
          </w:p>
        </w:tc>
        <w:tc>
          <w:tcPr>
            <w:tcW w:w="184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十万级</w:t>
            </w:r>
          </w:p>
        </w:tc>
      </w:tr>
    </w:tbl>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20" w:firstLineChars="200"/>
        <w:jc w:val="left"/>
        <w:textAlignment w:val="auto"/>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备注：检测数据应达到以上洁净等级标准。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（2）南院区主要位置洁净等级概况：</w:t>
      </w:r>
    </w:p>
    <w:tbl>
      <w:tblPr>
        <w:tblStyle w:val="23"/>
        <w:tblW w:w="0" w:type="auto"/>
        <w:jc w:val="center"/>
        <w:tblLayout w:type="fixed"/>
        <w:tblCellMar>
          <w:top w:w="0" w:type="dxa"/>
          <w:left w:w="108" w:type="dxa"/>
          <w:bottom w:w="0" w:type="dxa"/>
          <w:right w:w="108" w:type="dxa"/>
        </w:tblCellMar>
      </w:tblPr>
      <w:tblGrid>
        <w:gridCol w:w="1674"/>
        <w:gridCol w:w="1900"/>
        <w:gridCol w:w="2401"/>
        <w:gridCol w:w="1813"/>
      </w:tblGrid>
      <w:tr>
        <w:tblPrEx>
          <w:tblCellMar>
            <w:top w:w="0" w:type="dxa"/>
            <w:left w:w="108" w:type="dxa"/>
            <w:bottom w:w="0" w:type="dxa"/>
            <w:right w:w="108" w:type="dxa"/>
          </w:tblCellMar>
        </w:tblPrEx>
        <w:trPr>
          <w:trHeight w:val="285" w:hRule="atLeast"/>
          <w:jc w:val="center"/>
        </w:trPr>
        <w:tc>
          <w:tcPr>
            <w:tcW w:w="167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楼层</w:t>
            </w:r>
          </w:p>
        </w:tc>
        <w:tc>
          <w:tcPr>
            <w:tcW w:w="1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科室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位置</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级别</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逸仙楼7F东</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ICU</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一区单人间1-2房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一区大厅</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二区单人间1-4房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二区双人1-2房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二区大厅</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隔离病房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逸仙楼7F西</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CCU</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大厅辅房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VIP1-2房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90"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心导管室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DSA辅房</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操作室</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逸仙楼9F东</w:t>
            </w:r>
          </w:p>
        </w:tc>
        <w:tc>
          <w:tcPr>
            <w:tcW w:w="1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整形外科</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博爱楼后座4F</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儿科层流室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1床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2床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3床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4床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5床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6床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7床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8床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大厅</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逸仙楼5F</w:t>
            </w:r>
          </w:p>
        </w:tc>
        <w:tc>
          <w:tcPr>
            <w:tcW w:w="1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麻醉科</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麻醉间</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逸仙楼4F、5F</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手术室2</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手术室3</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手术室4</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手术室5</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手术室6</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手术室7</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手术室8</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手术室9</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手术室10</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手术室11</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手术室12</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手术室13</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手术室14</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手术室15</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手术室16</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手术室17</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手术室18</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博爱楼8F</w:t>
            </w:r>
          </w:p>
        </w:tc>
        <w:tc>
          <w:tcPr>
            <w:tcW w:w="190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w:t>
            </w: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手术室1</w:t>
            </w:r>
          </w:p>
        </w:tc>
        <w:tc>
          <w:tcPr>
            <w:tcW w:w="1813"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手术室2</w:t>
            </w:r>
          </w:p>
        </w:tc>
        <w:tc>
          <w:tcPr>
            <w:tcW w:w="1813"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手术室3</w:t>
            </w:r>
          </w:p>
        </w:tc>
        <w:tc>
          <w:tcPr>
            <w:tcW w:w="1813"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手术室4</w:t>
            </w:r>
          </w:p>
        </w:tc>
        <w:tc>
          <w:tcPr>
            <w:tcW w:w="1813"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 级（百级）</w:t>
            </w:r>
          </w:p>
        </w:tc>
      </w:tr>
      <w:tr>
        <w:tblPrEx>
          <w:tblCellMar>
            <w:top w:w="0" w:type="dxa"/>
            <w:left w:w="108" w:type="dxa"/>
            <w:bottom w:w="0" w:type="dxa"/>
            <w:right w:w="108" w:type="dxa"/>
          </w:tblCellMar>
        </w:tblPrEx>
        <w:trPr>
          <w:trHeight w:val="285" w:hRule="atLeast"/>
          <w:jc w:val="center"/>
        </w:trPr>
        <w:tc>
          <w:tcPr>
            <w:tcW w:w="167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手术室5</w:t>
            </w:r>
          </w:p>
        </w:tc>
        <w:tc>
          <w:tcPr>
            <w:tcW w:w="1813"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top w:val="single" w:color="auto" w:sz="4" w:space="0"/>
              <w:left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top w:val="single" w:color="auto"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手术室6</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手术室7</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走廊</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逸仙楼3F西</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静配中心</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普药配制间</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肿瘤药及抗生素配间</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r>
        <w:tblPrEx>
          <w:tblCellMar>
            <w:top w:w="0" w:type="dxa"/>
            <w:left w:w="108" w:type="dxa"/>
            <w:bottom w:w="0" w:type="dxa"/>
            <w:right w:w="108" w:type="dxa"/>
          </w:tblCellMar>
        </w:tblPrEx>
        <w:trPr>
          <w:trHeight w:val="285" w:hRule="atLeast"/>
          <w:jc w:val="center"/>
        </w:trPr>
        <w:tc>
          <w:tcPr>
            <w:tcW w:w="1674"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逸仙楼4F东</w:t>
            </w:r>
          </w:p>
        </w:tc>
        <w:tc>
          <w:tcPr>
            <w:tcW w:w="1900" w:type="dxa"/>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供应室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辅料打包器械包装区</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r>
        <w:tblPrEx>
          <w:tblCellMar>
            <w:top w:w="0" w:type="dxa"/>
            <w:left w:w="108" w:type="dxa"/>
            <w:bottom w:w="0" w:type="dxa"/>
            <w:right w:w="108" w:type="dxa"/>
          </w:tblCellMar>
        </w:tblPrEx>
        <w:trPr>
          <w:trHeight w:val="285" w:hRule="atLeast"/>
          <w:jc w:val="center"/>
        </w:trPr>
        <w:tc>
          <w:tcPr>
            <w:tcW w:w="1674"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1900" w:type="dxa"/>
            <w:vMerge w:val="continue"/>
            <w:tcBorders>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无菌药物存放间</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千级</w:t>
            </w:r>
          </w:p>
        </w:tc>
      </w:tr>
    </w:tbl>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20" w:firstLineChars="200"/>
        <w:jc w:val="left"/>
        <w:textAlignment w:val="auto"/>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备注：检测数据应达到以上洁净等级标准。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（3）南海精准免疫转化创新中心主要位置洁净等级概况：</w:t>
      </w:r>
    </w:p>
    <w:tbl>
      <w:tblPr>
        <w:tblStyle w:val="23"/>
        <w:tblW w:w="0" w:type="auto"/>
        <w:jc w:val="center"/>
        <w:tblLayout w:type="fixed"/>
        <w:tblCellMar>
          <w:top w:w="0" w:type="dxa"/>
          <w:left w:w="108" w:type="dxa"/>
          <w:bottom w:w="0" w:type="dxa"/>
          <w:right w:w="108" w:type="dxa"/>
        </w:tblCellMar>
      </w:tblPr>
      <w:tblGrid>
        <w:gridCol w:w="1674"/>
        <w:gridCol w:w="1900"/>
        <w:gridCol w:w="2401"/>
        <w:gridCol w:w="1813"/>
      </w:tblGrid>
      <w:tr>
        <w:tblPrEx>
          <w:tblCellMar>
            <w:top w:w="0" w:type="dxa"/>
            <w:left w:w="108" w:type="dxa"/>
            <w:bottom w:w="0" w:type="dxa"/>
            <w:right w:w="108" w:type="dxa"/>
          </w:tblCellMar>
        </w:tblPrEx>
        <w:trPr>
          <w:trHeight w:val="285" w:hRule="atLeast"/>
          <w:jc w:val="center"/>
        </w:trPr>
        <w:tc>
          <w:tcPr>
            <w:tcW w:w="167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楼层</w:t>
            </w:r>
          </w:p>
        </w:tc>
        <w:tc>
          <w:tcPr>
            <w:tcW w:w="1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科室</w:t>
            </w:r>
          </w:p>
        </w:tc>
        <w:tc>
          <w:tcPr>
            <w:tcW w:w="24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位置</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级别</w:t>
            </w:r>
          </w:p>
        </w:tc>
      </w:tr>
      <w:tr>
        <w:tblPrEx>
          <w:tblCellMar>
            <w:top w:w="0" w:type="dxa"/>
            <w:left w:w="108" w:type="dxa"/>
            <w:bottom w:w="0" w:type="dxa"/>
            <w:right w:w="108" w:type="dxa"/>
          </w:tblCellMar>
        </w:tblPrEx>
        <w:trPr>
          <w:trHeight w:val="285" w:hRule="atLeast"/>
          <w:jc w:val="center"/>
        </w:trPr>
        <w:tc>
          <w:tcPr>
            <w:tcW w:w="1674"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动物中心</w:t>
            </w:r>
          </w:p>
        </w:tc>
        <w:tc>
          <w:tcPr>
            <w:tcW w:w="1900"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各房间</w:t>
            </w:r>
          </w:p>
        </w:tc>
        <w:tc>
          <w:tcPr>
            <w:tcW w:w="2401" w:type="dxa"/>
            <w:tcBorders>
              <w:top w:val="single" w:color="000000" w:sz="4" w:space="0"/>
              <w:left w:val="single" w:color="000000" w:sz="4" w:space="0"/>
              <w:bottom w:val="single" w:color="auto"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w:t>
            </w:r>
          </w:p>
        </w:tc>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Ⅲ级（万级）</w:t>
            </w:r>
          </w:p>
        </w:tc>
      </w:tr>
    </w:tbl>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20" w:firstLineChars="200"/>
        <w:jc w:val="left"/>
        <w:textAlignment w:val="auto"/>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备注：检测数据应达到以上洁净等级标准。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（4）洁净度级别等于和高于100级洁净室用的高效过滤器，安装前应按《洁净室施工及验收规范》〔GB 50591-2010〕的规定的方法检漏允许利用手术室正压渗漏其前室送风，须符合以下规定的要求，并提供检测数据。</w:t>
      </w:r>
    </w:p>
    <w:tbl>
      <w:tblPr>
        <w:tblStyle w:val="44"/>
        <w:tblW w:w="78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1"/>
        <w:gridCol w:w="3290"/>
        <w:gridCol w:w="2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101" w:type="dxa"/>
            <w:tcBorders>
              <w:top w:val="single" w:color="000000" w:sz="2" w:space="0"/>
              <w:bottom w:val="single" w:color="000000" w:sz="2" w:space="0"/>
            </w:tcBorders>
            <w:vAlign w:val="top"/>
          </w:tcPr>
          <w:p>
            <w:pPr>
              <w:spacing w:before="96" w:line="224"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4"/>
                <w:sz w:val="18"/>
                <w:szCs w:val="18"/>
                <w14:textFill>
                  <w14:solidFill>
                    <w14:schemeClr w14:val="tx1"/>
                  </w14:solidFill>
                </w14:textFill>
              </w:rPr>
              <w:t>等级</w:t>
            </w:r>
          </w:p>
        </w:tc>
        <w:tc>
          <w:tcPr>
            <w:tcW w:w="3290" w:type="dxa"/>
            <w:tcBorders>
              <w:top w:val="single" w:color="000000" w:sz="2" w:space="0"/>
              <w:bottom w:val="single" w:color="000000" w:sz="2" w:space="0"/>
            </w:tcBorders>
            <w:vAlign w:val="top"/>
          </w:tcPr>
          <w:p>
            <w:pPr>
              <w:spacing w:before="96" w:line="224"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11"/>
                <w:sz w:val="18"/>
                <w:szCs w:val="18"/>
                <w14:textFill>
                  <w14:solidFill>
                    <w14:schemeClr w14:val="tx1"/>
                  </w14:solidFill>
                </w14:textFill>
              </w:rPr>
              <w:t>最</w:t>
            </w:r>
            <w:r>
              <w:rPr>
                <w:rFonts w:hint="eastAsia" w:ascii="仿宋" w:hAnsi="仿宋" w:eastAsia="仿宋" w:cs="仿宋"/>
                <w:b w:val="0"/>
                <w:bCs/>
                <w:color w:val="000000" w:themeColor="text1"/>
                <w:spacing w:val="9"/>
                <w:sz w:val="18"/>
                <w:szCs w:val="18"/>
                <w14:textFill>
                  <w14:solidFill>
                    <w14:schemeClr w14:val="tx1"/>
                  </w14:solidFill>
                </w14:textFill>
              </w:rPr>
              <w:t>小送风 (换气次)</w:t>
            </w:r>
          </w:p>
        </w:tc>
        <w:tc>
          <w:tcPr>
            <w:tcW w:w="2500" w:type="dxa"/>
            <w:tcBorders>
              <w:top w:val="single" w:color="000000" w:sz="2" w:space="0"/>
              <w:bottom w:val="single" w:color="000000" w:sz="2" w:space="0"/>
            </w:tcBorders>
            <w:vAlign w:val="top"/>
          </w:tcPr>
          <w:p>
            <w:pPr>
              <w:spacing w:before="97" w:line="224"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8"/>
                <w:sz w:val="18"/>
                <w:szCs w:val="18"/>
                <w14:textFill>
                  <w14:solidFill>
                    <w14:schemeClr w14:val="tx1"/>
                  </w14:solidFill>
                </w14:textFill>
              </w:rPr>
              <w:t>新</w:t>
            </w:r>
            <w:r>
              <w:rPr>
                <w:rFonts w:hint="eastAsia" w:ascii="仿宋" w:hAnsi="仿宋" w:eastAsia="仿宋" w:cs="仿宋"/>
                <w:b w:val="0"/>
                <w:bCs/>
                <w:color w:val="000000" w:themeColor="text1"/>
                <w:spacing w:val="7"/>
                <w:sz w:val="18"/>
                <w:szCs w:val="18"/>
                <w14:textFill>
                  <w14:solidFill>
                    <w14:schemeClr w14:val="tx1"/>
                  </w14:solidFill>
                </w14:textFill>
              </w:rPr>
              <w:t>风量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2101" w:type="dxa"/>
            <w:tcBorders>
              <w:top w:val="single" w:color="000000" w:sz="2" w:space="0"/>
              <w:bottom w:val="single" w:color="000000" w:sz="2" w:space="0"/>
            </w:tcBorders>
            <w:vAlign w:val="top"/>
          </w:tcPr>
          <w:p>
            <w:pPr>
              <w:spacing w:before="92" w:line="226"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Ⅰ级</w:t>
            </w:r>
          </w:p>
        </w:tc>
        <w:tc>
          <w:tcPr>
            <w:tcW w:w="3290" w:type="dxa"/>
            <w:tcBorders>
              <w:top w:val="single" w:color="000000" w:sz="2" w:space="0"/>
              <w:bottom w:val="single" w:color="000000" w:sz="2" w:space="0"/>
            </w:tcBorders>
            <w:vAlign w:val="top"/>
          </w:tcPr>
          <w:p>
            <w:pPr>
              <w:spacing w:before="48" w:line="227" w:lineRule="exact"/>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12"/>
                <w:position w:val="2"/>
                <w:sz w:val="18"/>
                <w:szCs w:val="18"/>
                <w14:textFill>
                  <w14:solidFill>
                    <w14:schemeClr w14:val="tx1"/>
                  </w14:solidFill>
                </w14:textFill>
              </w:rPr>
              <w:t>0.25</w:t>
            </w:r>
            <w:r>
              <w:rPr>
                <w:rFonts w:hint="eastAsia" w:ascii="仿宋" w:hAnsi="仿宋" w:eastAsia="仿宋" w:cs="仿宋"/>
                <w:b w:val="0"/>
                <w:bCs/>
                <w:color w:val="000000" w:themeColor="text1"/>
                <w:position w:val="2"/>
                <w:sz w:val="18"/>
                <w:szCs w:val="18"/>
                <w14:textFill>
                  <w14:solidFill>
                    <w14:schemeClr w14:val="tx1"/>
                  </w14:solidFill>
                </w14:textFill>
              </w:rPr>
              <w:t>m</w:t>
            </w:r>
            <w:r>
              <w:rPr>
                <w:rFonts w:hint="eastAsia" w:ascii="仿宋" w:hAnsi="仿宋" w:eastAsia="仿宋" w:cs="仿宋"/>
                <w:b w:val="0"/>
                <w:bCs/>
                <w:color w:val="000000" w:themeColor="text1"/>
                <w:spacing w:val="12"/>
                <w:position w:val="2"/>
                <w:sz w:val="18"/>
                <w:szCs w:val="18"/>
                <w14:textFill>
                  <w14:solidFill>
                    <w14:schemeClr w14:val="tx1"/>
                  </w14:solidFill>
                </w14:textFill>
              </w:rPr>
              <w:t>/</w:t>
            </w:r>
            <w:r>
              <w:rPr>
                <w:rFonts w:hint="eastAsia" w:ascii="仿宋" w:hAnsi="仿宋" w:eastAsia="仿宋" w:cs="仿宋"/>
                <w:b w:val="0"/>
                <w:bCs/>
                <w:color w:val="000000" w:themeColor="text1"/>
                <w:position w:val="2"/>
                <w:sz w:val="18"/>
                <w:szCs w:val="18"/>
                <w14:textFill>
                  <w14:solidFill>
                    <w14:schemeClr w14:val="tx1"/>
                  </w14:solidFill>
                </w14:textFill>
              </w:rPr>
              <w:t>s</w:t>
            </w:r>
          </w:p>
        </w:tc>
        <w:tc>
          <w:tcPr>
            <w:tcW w:w="2500" w:type="dxa"/>
            <w:tcBorders>
              <w:top w:val="single" w:color="000000" w:sz="2" w:space="0"/>
              <w:bottom w:val="single" w:color="000000" w:sz="2" w:space="0"/>
            </w:tcBorders>
            <w:vAlign w:val="top"/>
          </w:tcPr>
          <w:p>
            <w:pPr>
              <w:spacing w:before="48" w:line="227" w:lineRule="exact"/>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9"/>
                <w:position w:val="3"/>
                <w:sz w:val="18"/>
                <w:szCs w:val="18"/>
                <w14:textFill>
                  <w14:solidFill>
                    <w14:schemeClr w14:val="tx1"/>
                  </w14:solidFill>
                </w14:textFill>
              </w:rPr>
              <w:t xml:space="preserve">1000 </w:t>
            </w:r>
            <w:r>
              <w:rPr>
                <w:rFonts w:hint="eastAsia" w:ascii="仿宋" w:hAnsi="仿宋" w:eastAsia="仿宋" w:cs="仿宋"/>
                <w:b w:val="0"/>
                <w:bCs/>
                <w:color w:val="000000" w:themeColor="text1"/>
                <w:position w:val="3"/>
                <w:sz w:val="18"/>
                <w:szCs w:val="18"/>
                <w14:textFill>
                  <w14:solidFill>
                    <w14:schemeClr w14:val="tx1"/>
                  </w14:solidFill>
                </w14:textFill>
              </w:rPr>
              <w:t>m</w:t>
            </w:r>
            <w:r>
              <w:rPr>
                <w:rFonts w:hint="eastAsia" w:ascii="仿宋" w:hAnsi="仿宋" w:eastAsia="仿宋" w:cs="仿宋"/>
                <w:b w:val="0"/>
                <w:bCs/>
                <w:color w:val="000000" w:themeColor="text1"/>
                <w:spacing w:val="9"/>
                <w:position w:val="3"/>
                <w:sz w:val="18"/>
                <w:szCs w:val="18"/>
                <w14:textFill>
                  <w14:solidFill>
                    <w14:schemeClr w14:val="tx1"/>
                  </w14:solidFill>
                </w14:textFill>
              </w:rPr>
              <w:t>³</w:t>
            </w:r>
            <w:r>
              <w:rPr>
                <w:rFonts w:hint="eastAsia" w:ascii="仿宋" w:hAnsi="仿宋" w:eastAsia="仿宋" w:cs="仿宋"/>
                <w:b w:val="0"/>
                <w:bCs/>
                <w:color w:val="000000" w:themeColor="text1"/>
                <w:spacing w:val="7"/>
                <w:position w:val="3"/>
                <w:sz w:val="18"/>
                <w:szCs w:val="18"/>
                <w14:textFill>
                  <w14:solidFill>
                    <w14:schemeClr w14:val="tx1"/>
                  </w14:solidFill>
                </w14:textFill>
              </w:rPr>
              <w:t>/</w:t>
            </w:r>
            <w:r>
              <w:rPr>
                <w:rFonts w:hint="eastAsia" w:ascii="仿宋" w:hAnsi="仿宋" w:eastAsia="仿宋" w:cs="仿宋"/>
                <w:b w:val="0"/>
                <w:bCs/>
                <w:color w:val="000000" w:themeColor="text1"/>
                <w:position w:val="3"/>
                <w:sz w:val="18"/>
                <w:szCs w:val="18"/>
                <w14:textFill>
                  <w14:solidFill>
                    <w14:schemeClr w14:val="tx1"/>
                  </w14:solidFill>
                </w14:textFill>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101" w:type="dxa"/>
            <w:tcBorders>
              <w:top w:val="single" w:color="000000" w:sz="2" w:space="0"/>
              <w:bottom w:val="single" w:color="000000" w:sz="2" w:space="0"/>
            </w:tcBorders>
            <w:vAlign w:val="top"/>
          </w:tcPr>
          <w:p>
            <w:pPr>
              <w:spacing w:before="93" w:line="226"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Ⅱ级</w:t>
            </w:r>
          </w:p>
        </w:tc>
        <w:tc>
          <w:tcPr>
            <w:tcW w:w="3290" w:type="dxa"/>
            <w:tcBorders>
              <w:top w:val="single" w:color="000000" w:sz="2" w:space="0"/>
              <w:bottom w:val="single" w:color="000000" w:sz="2" w:space="0"/>
            </w:tcBorders>
            <w:vAlign w:val="top"/>
          </w:tcPr>
          <w:p>
            <w:pPr>
              <w:spacing w:before="49" w:line="226" w:lineRule="exact"/>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9"/>
                <w:position w:val="3"/>
                <w:sz w:val="18"/>
                <w:szCs w:val="18"/>
                <w14:textFill>
                  <w14:solidFill>
                    <w14:schemeClr w14:val="tx1"/>
                  </w14:solidFill>
                </w14:textFill>
              </w:rPr>
              <w:t xml:space="preserve">30 </w:t>
            </w:r>
            <w:r>
              <w:rPr>
                <w:rFonts w:hint="eastAsia" w:ascii="仿宋" w:hAnsi="仿宋" w:eastAsia="仿宋" w:cs="仿宋"/>
                <w:b w:val="0"/>
                <w:bCs/>
                <w:color w:val="000000" w:themeColor="text1"/>
                <w:position w:val="3"/>
                <w:sz w:val="18"/>
                <w:szCs w:val="18"/>
                <w14:textFill>
                  <w14:solidFill>
                    <w14:schemeClr w14:val="tx1"/>
                  </w14:solidFill>
                </w14:textFill>
              </w:rPr>
              <w:t>h</w:t>
            </w:r>
            <w:r>
              <w:rPr>
                <w:rFonts w:hint="eastAsia" w:ascii="仿宋" w:hAnsi="仿宋" w:eastAsia="仿宋" w:cs="仿宋"/>
                <w:b w:val="0"/>
                <w:bCs/>
                <w:color w:val="000000" w:themeColor="text1"/>
                <w:spacing w:val="9"/>
                <w:position w:val="3"/>
                <w:sz w:val="18"/>
                <w:szCs w:val="18"/>
                <w14:textFill>
                  <w14:solidFill>
                    <w14:schemeClr w14:val="tx1"/>
                  </w14:solidFill>
                </w14:textFill>
              </w:rPr>
              <w:t>-1800</w:t>
            </w:r>
            <w:r>
              <w:rPr>
                <w:rFonts w:hint="eastAsia" w:ascii="仿宋" w:hAnsi="仿宋" w:eastAsia="仿宋" w:cs="仿宋"/>
                <w:b w:val="0"/>
                <w:bCs/>
                <w:color w:val="000000" w:themeColor="text1"/>
                <w:position w:val="3"/>
                <w:sz w:val="18"/>
                <w:szCs w:val="18"/>
                <w14:textFill>
                  <w14:solidFill>
                    <w14:schemeClr w14:val="tx1"/>
                  </w14:solidFill>
                </w14:textFill>
              </w:rPr>
              <w:t>m</w:t>
            </w:r>
            <w:r>
              <w:rPr>
                <w:rFonts w:hint="eastAsia" w:ascii="仿宋" w:hAnsi="仿宋" w:eastAsia="仿宋" w:cs="仿宋"/>
                <w:b w:val="0"/>
                <w:bCs/>
                <w:color w:val="000000" w:themeColor="text1"/>
                <w:spacing w:val="9"/>
                <w:position w:val="3"/>
                <w:sz w:val="18"/>
                <w:szCs w:val="18"/>
                <w14:textFill>
                  <w14:solidFill>
                    <w14:schemeClr w14:val="tx1"/>
                  </w14:solidFill>
                </w14:textFill>
              </w:rPr>
              <w:t>³</w:t>
            </w:r>
            <w:r>
              <w:rPr>
                <w:rFonts w:hint="eastAsia" w:ascii="仿宋" w:hAnsi="仿宋" w:eastAsia="仿宋" w:cs="仿宋"/>
                <w:b w:val="0"/>
                <w:bCs/>
                <w:color w:val="000000" w:themeColor="text1"/>
                <w:spacing w:val="7"/>
                <w:position w:val="3"/>
                <w:sz w:val="18"/>
                <w:szCs w:val="18"/>
                <w14:textFill>
                  <w14:solidFill>
                    <w14:schemeClr w14:val="tx1"/>
                  </w14:solidFill>
                </w14:textFill>
              </w:rPr>
              <w:t>/</w:t>
            </w:r>
            <w:r>
              <w:rPr>
                <w:rFonts w:hint="eastAsia" w:ascii="仿宋" w:hAnsi="仿宋" w:eastAsia="仿宋" w:cs="仿宋"/>
                <w:b w:val="0"/>
                <w:bCs/>
                <w:color w:val="000000" w:themeColor="text1"/>
                <w:position w:val="3"/>
                <w:sz w:val="18"/>
                <w:szCs w:val="18"/>
                <w14:textFill>
                  <w14:solidFill>
                    <w14:schemeClr w14:val="tx1"/>
                  </w14:solidFill>
                </w14:textFill>
              </w:rPr>
              <w:t>h</w:t>
            </w:r>
          </w:p>
        </w:tc>
        <w:tc>
          <w:tcPr>
            <w:tcW w:w="2500" w:type="dxa"/>
            <w:tcBorders>
              <w:top w:val="single" w:color="000000" w:sz="2" w:space="0"/>
              <w:bottom w:val="single" w:color="000000" w:sz="2" w:space="0"/>
            </w:tcBorders>
            <w:vAlign w:val="top"/>
          </w:tcPr>
          <w:p>
            <w:pPr>
              <w:jc w:val="center"/>
              <w:rPr>
                <w:rFonts w:hint="eastAsia" w:ascii="仿宋" w:hAnsi="仿宋" w:eastAsia="仿宋" w:cs="仿宋"/>
                <w:b w:val="0"/>
                <w:bCs/>
                <w:color w:val="000000" w:themeColor="text1"/>
                <w:sz w:val="18"/>
                <w:szCs w:val="1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101" w:type="dxa"/>
            <w:tcBorders>
              <w:top w:val="single" w:color="000000" w:sz="2" w:space="0"/>
              <w:bottom w:val="single" w:color="000000" w:sz="2" w:space="0"/>
            </w:tcBorders>
            <w:vAlign w:val="top"/>
          </w:tcPr>
          <w:p>
            <w:pPr>
              <w:spacing w:before="94" w:line="226"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Ⅲ级</w:t>
            </w:r>
          </w:p>
        </w:tc>
        <w:tc>
          <w:tcPr>
            <w:tcW w:w="3290" w:type="dxa"/>
            <w:tcBorders>
              <w:top w:val="single" w:color="000000" w:sz="2" w:space="0"/>
              <w:bottom w:val="single" w:color="000000" w:sz="2" w:space="0"/>
            </w:tcBorders>
            <w:vAlign w:val="top"/>
          </w:tcPr>
          <w:p>
            <w:pPr>
              <w:spacing w:before="51" w:line="226" w:lineRule="exact"/>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13"/>
                <w:position w:val="3"/>
                <w:sz w:val="18"/>
                <w:szCs w:val="18"/>
                <w14:textFill>
                  <w14:solidFill>
                    <w14:schemeClr w14:val="tx1"/>
                  </w14:solidFill>
                </w14:textFill>
              </w:rPr>
              <w:t>1</w:t>
            </w:r>
            <w:r>
              <w:rPr>
                <w:rFonts w:hint="eastAsia" w:ascii="仿宋" w:hAnsi="仿宋" w:eastAsia="仿宋" w:cs="仿宋"/>
                <w:b w:val="0"/>
                <w:bCs/>
                <w:color w:val="000000" w:themeColor="text1"/>
                <w:spacing w:val="8"/>
                <w:position w:val="3"/>
                <w:sz w:val="18"/>
                <w:szCs w:val="18"/>
                <w14:textFill>
                  <w14:solidFill>
                    <w14:schemeClr w14:val="tx1"/>
                  </w14:solidFill>
                </w14:textFill>
              </w:rPr>
              <w:t xml:space="preserve">8 </w:t>
            </w:r>
            <w:r>
              <w:rPr>
                <w:rFonts w:hint="eastAsia" w:ascii="仿宋" w:hAnsi="仿宋" w:eastAsia="仿宋" w:cs="仿宋"/>
                <w:b w:val="0"/>
                <w:bCs/>
                <w:color w:val="000000" w:themeColor="text1"/>
                <w:position w:val="3"/>
                <w:sz w:val="18"/>
                <w:szCs w:val="18"/>
                <w14:textFill>
                  <w14:solidFill>
                    <w14:schemeClr w14:val="tx1"/>
                  </w14:solidFill>
                </w14:textFill>
              </w:rPr>
              <w:t>h</w:t>
            </w:r>
            <w:r>
              <w:rPr>
                <w:rFonts w:hint="eastAsia" w:ascii="仿宋" w:hAnsi="仿宋" w:eastAsia="仿宋" w:cs="仿宋"/>
                <w:b w:val="0"/>
                <w:bCs/>
                <w:color w:val="000000" w:themeColor="text1"/>
                <w:spacing w:val="8"/>
                <w:position w:val="3"/>
                <w:sz w:val="18"/>
                <w:szCs w:val="18"/>
                <w14:textFill>
                  <w14:solidFill>
                    <w14:schemeClr w14:val="tx1"/>
                  </w14:solidFill>
                </w14:textFill>
              </w:rPr>
              <w:t>-1800</w:t>
            </w:r>
            <w:r>
              <w:rPr>
                <w:rFonts w:hint="eastAsia" w:ascii="仿宋" w:hAnsi="仿宋" w:eastAsia="仿宋" w:cs="仿宋"/>
                <w:b w:val="0"/>
                <w:bCs/>
                <w:color w:val="000000" w:themeColor="text1"/>
                <w:position w:val="3"/>
                <w:sz w:val="18"/>
                <w:szCs w:val="18"/>
                <w14:textFill>
                  <w14:solidFill>
                    <w14:schemeClr w14:val="tx1"/>
                  </w14:solidFill>
                </w14:textFill>
              </w:rPr>
              <w:t>m</w:t>
            </w:r>
            <w:r>
              <w:rPr>
                <w:rFonts w:hint="eastAsia" w:ascii="仿宋" w:hAnsi="仿宋" w:eastAsia="仿宋" w:cs="仿宋"/>
                <w:b w:val="0"/>
                <w:bCs/>
                <w:color w:val="000000" w:themeColor="text1"/>
                <w:spacing w:val="8"/>
                <w:position w:val="3"/>
                <w:sz w:val="18"/>
                <w:szCs w:val="18"/>
                <w14:textFill>
                  <w14:solidFill>
                    <w14:schemeClr w14:val="tx1"/>
                  </w14:solidFill>
                </w14:textFill>
              </w:rPr>
              <w:t>³/</w:t>
            </w:r>
            <w:r>
              <w:rPr>
                <w:rFonts w:hint="eastAsia" w:ascii="仿宋" w:hAnsi="仿宋" w:eastAsia="仿宋" w:cs="仿宋"/>
                <w:b w:val="0"/>
                <w:bCs/>
                <w:color w:val="000000" w:themeColor="text1"/>
                <w:position w:val="3"/>
                <w:sz w:val="18"/>
                <w:szCs w:val="18"/>
                <w14:textFill>
                  <w14:solidFill>
                    <w14:schemeClr w14:val="tx1"/>
                  </w14:solidFill>
                </w14:textFill>
              </w:rPr>
              <w:t>h</w:t>
            </w:r>
          </w:p>
        </w:tc>
        <w:tc>
          <w:tcPr>
            <w:tcW w:w="2500" w:type="dxa"/>
            <w:tcBorders>
              <w:top w:val="single" w:color="000000" w:sz="2" w:space="0"/>
              <w:bottom w:val="single" w:color="000000" w:sz="2" w:space="0"/>
            </w:tcBorders>
            <w:vAlign w:val="top"/>
          </w:tcPr>
          <w:p>
            <w:pPr>
              <w:jc w:val="center"/>
              <w:rPr>
                <w:rFonts w:hint="eastAsia" w:ascii="仿宋" w:hAnsi="仿宋" w:eastAsia="仿宋" w:cs="仿宋"/>
                <w:b w:val="0"/>
                <w:bCs/>
                <w:color w:val="000000" w:themeColor="text1"/>
                <w:sz w:val="18"/>
                <w:szCs w:val="1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01" w:type="dxa"/>
            <w:tcBorders>
              <w:top w:val="single" w:color="000000" w:sz="2" w:space="0"/>
              <w:bottom w:val="single" w:color="000000" w:sz="2" w:space="0"/>
            </w:tcBorders>
            <w:vAlign w:val="top"/>
          </w:tcPr>
          <w:p>
            <w:pPr>
              <w:spacing w:before="96" w:line="226" w:lineRule="auto"/>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i w:val="0"/>
                <w:iCs w:val="0"/>
                <w:color w:val="000000" w:themeColor="text1"/>
                <w:kern w:val="0"/>
                <w:sz w:val="18"/>
                <w:szCs w:val="18"/>
                <w:u w:val="none"/>
                <w:lang w:val="en-US" w:eastAsia="zh-CN" w:bidi="ar"/>
                <w14:textFill>
                  <w14:solidFill>
                    <w14:schemeClr w14:val="tx1"/>
                  </w14:solidFill>
                </w14:textFill>
              </w:rPr>
              <w:t>Ⅳ级</w:t>
            </w:r>
          </w:p>
        </w:tc>
        <w:tc>
          <w:tcPr>
            <w:tcW w:w="3290" w:type="dxa"/>
            <w:tcBorders>
              <w:top w:val="single" w:color="000000" w:sz="2" w:space="0"/>
              <w:bottom w:val="single" w:color="000000" w:sz="2" w:space="0"/>
            </w:tcBorders>
            <w:vAlign w:val="top"/>
          </w:tcPr>
          <w:p>
            <w:pPr>
              <w:spacing w:before="52" w:line="227" w:lineRule="exact"/>
              <w:jc w:val="center"/>
              <w:rPr>
                <w:rFonts w:hint="eastAsia" w:ascii="仿宋" w:hAnsi="仿宋" w:eastAsia="仿宋" w:cs="仿宋"/>
                <w:b w:val="0"/>
                <w:bCs/>
                <w:color w:val="000000" w:themeColor="text1"/>
                <w:sz w:val="18"/>
                <w:szCs w:val="18"/>
                <w14:textFill>
                  <w14:solidFill>
                    <w14:schemeClr w14:val="tx1"/>
                  </w14:solidFill>
                </w14:textFill>
              </w:rPr>
            </w:pPr>
            <w:r>
              <w:rPr>
                <w:rFonts w:hint="eastAsia" w:ascii="仿宋" w:hAnsi="仿宋" w:eastAsia="仿宋" w:cs="仿宋"/>
                <w:b w:val="0"/>
                <w:bCs/>
                <w:color w:val="000000" w:themeColor="text1"/>
                <w:spacing w:val="14"/>
                <w:position w:val="3"/>
                <w:sz w:val="18"/>
                <w:szCs w:val="18"/>
                <w14:textFill>
                  <w14:solidFill>
                    <w14:schemeClr w14:val="tx1"/>
                  </w14:solidFill>
                </w14:textFill>
              </w:rPr>
              <w:t>1</w:t>
            </w:r>
            <w:r>
              <w:rPr>
                <w:rFonts w:hint="eastAsia" w:ascii="仿宋" w:hAnsi="仿宋" w:eastAsia="仿宋" w:cs="仿宋"/>
                <w:b w:val="0"/>
                <w:bCs/>
                <w:color w:val="000000" w:themeColor="text1"/>
                <w:spacing w:val="9"/>
                <w:position w:val="3"/>
                <w:sz w:val="18"/>
                <w:szCs w:val="18"/>
                <w14:textFill>
                  <w14:solidFill>
                    <w14:schemeClr w14:val="tx1"/>
                  </w14:solidFill>
                </w14:textFill>
              </w:rPr>
              <w:t xml:space="preserve">2 </w:t>
            </w:r>
            <w:r>
              <w:rPr>
                <w:rFonts w:hint="eastAsia" w:ascii="仿宋" w:hAnsi="仿宋" w:eastAsia="仿宋" w:cs="仿宋"/>
                <w:b w:val="0"/>
                <w:bCs/>
                <w:color w:val="000000" w:themeColor="text1"/>
                <w:position w:val="3"/>
                <w:sz w:val="18"/>
                <w:szCs w:val="18"/>
                <w14:textFill>
                  <w14:solidFill>
                    <w14:schemeClr w14:val="tx1"/>
                  </w14:solidFill>
                </w14:textFill>
              </w:rPr>
              <w:t>h</w:t>
            </w:r>
            <w:r>
              <w:rPr>
                <w:rFonts w:hint="eastAsia" w:ascii="仿宋" w:hAnsi="仿宋" w:eastAsia="仿宋" w:cs="仿宋"/>
                <w:b w:val="0"/>
                <w:bCs/>
                <w:color w:val="000000" w:themeColor="text1"/>
                <w:spacing w:val="9"/>
                <w:position w:val="3"/>
                <w:sz w:val="18"/>
                <w:szCs w:val="18"/>
                <w14:textFill>
                  <w14:solidFill>
                    <w14:schemeClr w14:val="tx1"/>
                  </w14:solidFill>
                </w14:textFill>
              </w:rPr>
              <w:t>-1600</w:t>
            </w:r>
            <w:r>
              <w:rPr>
                <w:rFonts w:hint="eastAsia" w:ascii="仿宋" w:hAnsi="仿宋" w:eastAsia="仿宋" w:cs="仿宋"/>
                <w:b w:val="0"/>
                <w:bCs/>
                <w:color w:val="000000" w:themeColor="text1"/>
                <w:position w:val="3"/>
                <w:sz w:val="18"/>
                <w:szCs w:val="18"/>
                <w14:textFill>
                  <w14:solidFill>
                    <w14:schemeClr w14:val="tx1"/>
                  </w14:solidFill>
                </w14:textFill>
              </w:rPr>
              <w:t>m</w:t>
            </w:r>
            <w:r>
              <w:rPr>
                <w:rFonts w:hint="eastAsia" w:ascii="仿宋" w:hAnsi="仿宋" w:eastAsia="仿宋" w:cs="仿宋"/>
                <w:b w:val="0"/>
                <w:bCs/>
                <w:color w:val="000000" w:themeColor="text1"/>
                <w:spacing w:val="9"/>
                <w:position w:val="3"/>
                <w:sz w:val="18"/>
                <w:szCs w:val="18"/>
                <w14:textFill>
                  <w14:solidFill>
                    <w14:schemeClr w14:val="tx1"/>
                  </w14:solidFill>
                </w14:textFill>
              </w:rPr>
              <w:t>³/</w:t>
            </w:r>
            <w:r>
              <w:rPr>
                <w:rFonts w:hint="eastAsia" w:ascii="仿宋" w:hAnsi="仿宋" w:eastAsia="仿宋" w:cs="仿宋"/>
                <w:b w:val="0"/>
                <w:bCs/>
                <w:color w:val="000000" w:themeColor="text1"/>
                <w:position w:val="3"/>
                <w:sz w:val="18"/>
                <w:szCs w:val="18"/>
                <w14:textFill>
                  <w14:solidFill>
                    <w14:schemeClr w14:val="tx1"/>
                  </w14:solidFill>
                </w14:textFill>
              </w:rPr>
              <w:t>h</w:t>
            </w:r>
          </w:p>
        </w:tc>
        <w:tc>
          <w:tcPr>
            <w:tcW w:w="2500" w:type="dxa"/>
            <w:tcBorders>
              <w:top w:val="single" w:color="000000" w:sz="2" w:space="0"/>
              <w:bottom w:val="single" w:color="000000" w:sz="2" w:space="0"/>
            </w:tcBorders>
            <w:vAlign w:val="top"/>
          </w:tcPr>
          <w:p>
            <w:pPr>
              <w:jc w:val="center"/>
              <w:rPr>
                <w:rFonts w:hint="eastAsia" w:ascii="仿宋" w:hAnsi="仿宋" w:eastAsia="仿宋" w:cs="仿宋"/>
                <w:b w:val="0"/>
                <w:bCs/>
                <w:color w:val="000000" w:themeColor="text1"/>
                <w:sz w:val="18"/>
                <w:szCs w:val="18"/>
                <w14:textFill>
                  <w14:solidFill>
                    <w14:schemeClr w14:val="tx1"/>
                  </w14:solidFill>
                </w14:textFill>
              </w:rPr>
            </w:pPr>
          </w:p>
        </w:tc>
      </w:tr>
    </w:tbl>
    <w:p>
      <w:pPr>
        <w:keepNext w:val="0"/>
        <w:keepLines w:val="0"/>
        <w:widowControl/>
        <w:suppressLineNumbers w:val="0"/>
        <w:jc w:val="left"/>
        <w:textAlignment w:val="center"/>
        <w:rPr>
          <w:rFonts w:hint="eastAsia" w:ascii="仿宋" w:hAnsi="仿宋" w:eastAsia="仿宋" w:cs="仿宋"/>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1"/>
          <w:szCs w:val="21"/>
          <w:u w:val="none"/>
          <w:lang w:val="en-US" w:eastAsia="zh-CN" w:bidi="ar"/>
          <w14:textFill>
            <w14:solidFill>
              <w14:schemeClr w14:val="tx1"/>
            </w14:solidFill>
          </w14:textFill>
        </w:rPr>
        <w:tab/>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（5）中国医院消毒卫生标准GB15928-1995</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53"/>
        <w:gridCol w:w="4207"/>
        <w:gridCol w:w="1525"/>
        <w:gridCol w:w="1417"/>
        <w:gridCol w:w="8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环境类别</w:t>
            </w:r>
          </w:p>
        </w:tc>
        <w:tc>
          <w:tcPr>
            <w:tcW w:w="420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场所范围</w:t>
            </w:r>
          </w:p>
        </w:tc>
        <w:tc>
          <w:tcPr>
            <w:tcW w:w="3793" w:type="dxa"/>
            <w:gridSpan w:val="3"/>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卫生标准（cfu/cm2）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p>
        </w:tc>
        <w:tc>
          <w:tcPr>
            <w:tcW w:w="420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p>
        </w:tc>
        <w:tc>
          <w:tcPr>
            <w:tcW w:w="152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空气（m3）</w:t>
            </w:r>
          </w:p>
        </w:tc>
        <w:tc>
          <w:tcPr>
            <w:tcW w:w="141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物体表面</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手上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Ⅰ类</w:t>
            </w:r>
          </w:p>
        </w:tc>
        <w:tc>
          <w:tcPr>
            <w:tcW w:w="4207"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层流洁净手术室、层流洁净病房</w:t>
            </w:r>
          </w:p>
        </w:tc>
        <w:tc>
          <w:tcPr>
            <w:tcW w:w="152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≤10</w:t>
            </w:r>
          </w:p>
        </w:tc>
        <w:tc>
          <w:tcPr>
            <w:tcW w:w="141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≤5</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Ⅱ类</w:t>
            </w:r>
          </w:p>
        </w:tc>
        <w:tc>
          <w:tcPr>
            <w:tcW w:w="4207"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普通手术室、产房、婴儿室、隔离室烧伤病房、ICU、供应室无菌区和早产儿室</w:t>
            </w:r>
          </w:p>
        </w:tc>
        <w:tc>
          <w:tcPr>
            <w:tcW w:w="152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≤200</w:t>
            </w:r>
          </w:p>
        </w:tc>
        <w:tc>
          <w:tcPr>
            <w:tcW w:w="141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≤5</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Ⅲ类</w:t>
            </w:r>
          </w:p>
        </w:tc>
        <w:tc>
          <w:tcPr>
            <w:tcW w:w="4207"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儿科病房、妇产科检查室、注射室、治疗室、急诊室、化验室、普通病房、供应室清洁区</w:t>
            </w:r>
          </w:p>
        </w:tc>
        <w:tc>
          <w:tcPr>
            <w:tcW w:w="152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≤500</w:t>
            </w:r>
          </w:p>
        </w:tc>
        <w:tc>
          <w:tcPr>
            <w:tcW w:w="141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≤10</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053"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Ⅳ类</w:t>
            </w:r>
          </w:p>
        </w:tc>
        <w:tc>
          <w:tcPr>
            <w:tcW w:w="4207" w:type="dxa"/>
            <w:tcBorders>
              <w:tl2br w:val="nil"/>
              <w:tr2bl w:val="nil"/>
            </w:tcBorders>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传染病科和传染病房</w:t>
            </w:r>
          </w:p>
        </w:tc>
        <w:tc>
          <w:tcPr>
            <w:tcW w:w="152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w:t>
            </w:r>
          </w:p>
        </w:tc>
        <w:tc>
          <w:tcPr>
            <w:tcW w:w="141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≤15</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t>≤15</w:t>
            </w:r>
          </w:p>
        </w:tc>
      </w:tr>
    </w:tbl>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6）除每次安装结束必须检测外，须定期检测的各院区科室：手术室、骨髓移植、ICU室、CCU室、生殖中心培养室、静配中心，以上区域每月例行一次检测，提供纸质版检测数据报告（数据包含尘埃粒子数、换气次数、风速、压差等）；医研中心、制剂室等</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其他上表所列区域每三个月例行一次检测，提供纸质版检测数据报告（数据包含尘埃粒子数、换气次数、风速、压差等)并给予必要说明，所有定期检测记录作为验收及支付依据之一。</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（7）检测数据满足：</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标准一：洁净室及洁净区空气中悬浮粒子洁净度等级(ISO146441)</w:t>
      </w:r>
    </w:p>
    <w:p>
      <w:pPr>
        <w:spacing w:line="156" w:lineRule="exact"/>
        <w:rPr>
          <w:rFonts w:hint="eastAsia" w:ascii="仿宋" w:hAnsi="仿宋" w:eastAsia="仿宋" w:cs="仿宋"/>
        </w:rPr>
      </w:pPr>
    </w:p>
    <w:tbl>
      <w:tblPr>
        <w:tblStyle w:val="44"/>
        <w:tblW w:w="1033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1462"/>
        <w:gridCol w:w="1462"/>
        <w:gridCol w:w="1462"/>
        <w:gridCol w:w="1462"/>
        <w:gridCol w:w="1462"/>
        <w:gridCol w:w="1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538" w:type="dxa"/>
            <w:vMerge w:val="restart"/>
            <w:tcBorders>
              <w:top w:val="single" w:color="000000" w:sz="2" w:space="0"/>
              <w:bottom w:val="nil"/>
            </w:tcBorders>
            <w:vAlign w:val="top"/>
          </w:tcPr>
          <w:p>
            <w:pPr>
              <w:spacing w:before="260" w:line="224" w:lineRule="auto"/>
              <w:jc w:val="center"/>
              <w:rPr>
                <w:rFonts w:hint="eastAsia" w:ascii="仿宋" w:hAnsi="仿宋" w:eastAsia="仿宋" w:cs="仿宋"/>
                <w:sz w:val="18"/>
                <w:szCs w:val="18"/>
              </w:rPr>
            </w:pPr>
            <w:r>
              <w:rPr>
                <w:rFonts w:hint="eastAsia" w:ascii="仿宋" w:hAnsi="仿宋" w:eastAsia="仿宋" w:cs="仿宋"/>
                <w:spacing w:val="10"/>
                <w:sz w:val="18"/>
                <w:szCs w:val="18"/>
              </w:rPr>
              <w:t>空气洁净等</w:t>
            </w:r>
            <w:r>
              <w:rPr>
                <w:rFonts w:hint="eastAsia" w:ascii="仿宋" w:hAnsi="仿宋" w:eastAsia="仿宋" w:cs="仿宋"/>
                <w:spacing w:val="9"/>
                <w:sz w:val="18"/>
                <w:szCs w:val="18"/>
              </w:rPr>
              <w:t>级</w:t>
            </w:r>
          </w:p>
        </w:tc>
        <w:tc>
          <w:tcPr>
            <w:tcW w:w="8797" w:type="dxa"/>
            <w:gridSpan w:val="6"/>
            <w:tcBorders>
              <w:top w:val="single" w:color="000000" w:sz="2" w:space="0"/>
              <w:bottom w:val="single" w:color="000000" w:sz="2" w:space="0"/>
            </w:tcBorders>
            <w:vAlign w:val="top"/>
          </w:tcPr>
          <w:p>
            <w:pPr>
              <w:spacing w:before="51" w:line="274" w:lineRule="exact"/>
              <w:ind w:left="2823"/>
              <w:rPr>
                <w:rFonts w:hint="eastAsia" w:ascii="仿宋" w:hAnsi="仿宋" w:eastAsia="仿宋" w:cs="仿宋"/>
                <w:sz w:val="18"/>
                <w:szCs w:val="18"/>
              </w:rPr>
            </w:pPr>
            <w:r>
              <w:rPr>
                <w:rFonts w:hint="eastAsia" w:ascii="仿宋" w:hAnsi="仿宋" w:eastAsia="仿宋" w:cs="仿宋"/>
                <w:spacing w:val="18"/>
                <w:position w:val="3"/>
                <w:sz w:val="18"/>
                <w:szCs w:val="18"/>
              </w:rPr>
              <w:t>大</w:t>
            </w:r>
            <w:r>
              <w:rPr>
                <w:rFonts w:hint="eastAsia" w:ascii="仿宋" w:hAnsi="仿宋" w:eastAsia="仿宋" w:cs="仿宋"/>
                <w:spacing w:val="11"/>
                <w:position w:val="3"/>
                <w:sz w:val="18"/>
                <w:szCs w:val="18"/>
              </w:rPr>
              <w:t>于</w:t>
            </w:r>
            <w:r>
              <w:rPr>
                <w:rFonts w:hint="eastAsia" w:ascii="仿宋" w:hAnsi="仿宋" w:eastAsia="仿宋" w:cs="仿宋"/>
                <w:spacing w:val="9"/>
                <w:position w:val="3"/>
                <w:sz w:val="18"/>
                <w:szCs w:val="18"/>
              </w:rPr>
              <w:t>或等于表中粒径的最大浓度限值(</w:t>
            </w:r>
            <w:r>
              <w:rPr>
                <w:rFonts w:hint="eastAsia" w:ascii="仿宋" w:hAnsi="仿宋" w:eastAsia="仿宋" w:cs="仿宋"/>
                <w:b/>
                <w:bCs/>
                <w:position w:val="3"/>
                <w:sz w:val="18"/>
                <w:szCs w:val="18"/>
              </w:rPr>
              <w:t>PC</w:t>
            </w:r>
            <w:r>
              <w:rPr>
                <w:rFonts w:hint="eastAsia" w:ascii="仿宋" w:hAnsi="仿宋" w:eastAsia="仿宋" w:cs="仿宋"/>
                <w:b/>
                <w:bCs/>
                <w:spacing w:val="9"/>
                <w:position w:val="3"/>
                <w:sz w:val="18"/>
                <w:szCs w:val="18"/>
              </w:rPr>
              <w:t>/</w:t>
            </w:r>
            <w:r>
              <w:rPr>
                <w:rFonts w:hint="eastAsia" w:ascii="仿宋" w:hAnsi="仿宋" w:eastAsia="仿宋" w:cs="仿宋"/>
                <w:b/>
                <w:bCs/>
                <w:position w:val="3"/>
                <w:sz w:val="18"/>
                <w:szCs w:val="18"/>
              </w:rPr>
              <w:t>m</w:t>
            </w:r>
            <w:r>
              <w:rPr>
                <w:rFonts w:hint="eastAsia" w:ascii="仿宋" w:hAnsi="仿宋" w:eastAsia="仿宋" w:cs="仿宋"/>
                <w:b/>
                <w:bCs/>
                <w:spacing w:val="9"/>
                <w:position w:val="3"/>
                <w:sz w:val="18"/>
                <w:szCs w:val="18"/>
              </w:rPr>
              <w:t>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vMerge w:val="continue"/>
            <w:tcBorders>
              <w:top w:val="nil"/>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spacing w:before="107" w:line="170" w:lineRule="auto"/>
              <w:ind w:left="479"/>
              <w:rPr>
                <w:rFonts w:hint="eastAsia" w:ascii="仿宋" w:hAnsi="仿宋" w:eastAsia="仿宋" w:cs="仿宋"/>
                <w:sz w:val="18"/>
                <w:szCs w:val="18"/>
              </w:rPr>
            </w:pPr>
            <w:r>
              <w:rPr>
                <w:rFonts w:hint="eastAsia" w:ascii="仿宋" w:hAnsi="仿宋" w:eastAsia="仿宋" w:cs="仿宋"/>
                <w:b/>
                <w:bCs/>
                <w:spacing w:val="6"/>
                <w:sz w:val="18"/>
                <w:szCs w:val="18"/>
              </w:rPr>
              <w:t>0</w:t>
            </w:r>
            <w:r>
              <w:rPr>
                <w:rFonts w:hint="eastAsia" w:ascii="仿宋" w:hAnsi="仿宋" w:eastAsia="仿宋" w:cs="仿宋"/>
                <w:b/>
                <w:bCs/>
                <w:spacing w:val="5"/>
                <w:sz w:val="18"/>
                <w:szCs w:val="18"/>
              </w:rPr>
              <w:t>.1</w:t>
            </w:r>
            <w:r>
              <w:rPr>
                <w:rFonts w:hint="eastAsia" w:ascii="仿宋" w:hAnsi="仿宋" w:eastAsia="仿宋" w:cs="仿宋"/>
                <w:b/>
                <w:bCs/>
                <w:sz w:val="18"/>
                <w:szCs w:val="18"/>
              </w:rPr>
              <w:t>UM</w:t>
            </w:r>
          </w:p>
        </w:tc>
        <w:tc>
          <w:tcPr>
            <w:tcW w:w="1462" w:type="dxa"/>
            <w:tcBorders>
              <w:top w:val="single" w:color="000000" w:sz="2" w:space="0"/>
              <w:bottom w:val="single" w:color="000000" w:sz="2" w:space="0"/>
            </w:tcBorders>
            <w:vAlign w:val="top"/>
          </w:tcPr>
          <w:p>
            <w:pPr>
              <w:spacing w:before="107" w:line="170" w:lineRule="auto"/>
              <w:ind w:left="481"/>
              <w:rPr>
                <w:rFonts w:hint="eastAsia" w:ascii="仿宋" w:hAnsi="仿宋" w:eastAsia="仿宋" w:cs="仿宋"/>
                <w:sz w:val="18"/>
                <w:szCs w:val="18"/>
              </w:rPr>
            </w:pPr>
            <w:r>
              <w:rPr>
                <w:rFonts w:hint="eastAsia" w:ascii="仿宋" w:hAnsi="仿宋" w:eastAsia="仿宋" w:cs="仿宋"/>
                <w:b/>
                <w:bCs/>
                <w:spacing w:val="6"/>
                <w:sz w:val="18"/>
                <w:szCs w:val="18"/>
              </w:rPr>
              <w:t>0</w:t>
            </w:r>
            <w:r>
              <w:rPr>
                <w:rFonts w:hint="eastAsia" w:ascii="仿宋" w:hAnsi="仿宋" w:eastAsia="仿宋" w:cs="仿宋"/>
                <w:b/>
                <w:bCs/>
                <w:spacing w:val="5"/>
                <w:sz w:val="18"/>
                <w:szCs w:val="18"/>
              </w:rPr>
              <w:t>.2</w:t>
            </w:r>
            <w:r>
              <w:rPr>
                <w:rFonts w:hint="eastAsia" w:ascii="仿宋" w:hAnsi="仿宋" w:eastAsia="仿宋" w:cs="仿宋"/>
                <w:b/>
                <w:bCs/>
                <w:sz w:val="18"/>
                <w:szCs w:val="18"/>
              </w:rPr>
              <w:t>UM</w:t>
            </w:r>
          </w:p>
        </w:tc>
        <w:tc>
          <w:tcPr>
            <w:tcW w:w="1462" w:type="dxa"/>
            <w:tcBorders>
              <w:top w:val="single" w:color="000000" w:sz="2" w:space="0"/>
              <w:bottom w:val="single" w:color="000000" w:sz="2" w:space="0"/>
            </w:tcBorders>
            <w:vAlign w:val="top"/>
          </w:tcPr>
          <w:p>
            <w:pPr>
              <w:spacing w:before="107" w:line="170" w:lineRule="auto"/>
              <w:ind w:left="482"/>
              <w:rPr>
                <w:rFonts w:hint="eastAsia" w:ascii="仿宋" w:hAnsi="仿宋" w:eastAsia="仿宋" w:cs="仿宋"/>
                <w:sz w:val="18"/>
                <w:szCs w:val="18"/>
              </w:rPr>
            </w:pPr>
            <w:r>
              <w:rPr>
                <w:rFonts w:hint="eastAsia" w:ascii="仿宋" w:hAnsi="仿宋" w:eastAsia="仿宋" w:cs="仿宋"/>
                <w:b/>
                <w:bCs/>
                <w:spacing w:val="6"/>
                <w:sz w:val="18"/>
                <w:szCs w:val="18"/>
              </w:rPr>
              <w:t>0</w:t>
            </w:r>
            <w:r>
              <w:rPr>
                <w:rFonts w:hint="eastAsia" w:ascii="仿宋" w:hAnsi="仿宋" w:eastAsia="仿宋" w:cs="仿宋"/>
                <w:b/>
                <w:bCs/>
                <w:spacing w:val="5"/>
                <w:sz w:val="18"/>
                <w:szCs w:val="18"/>
              </w:rPr>
              <w:t>.3</w:t>
            </w:r>
            <w:r>
              <w:rPr>
                <w:rFonts w:hint="eastAsia" w:ascii="仿宋" w:hAnsi="仿宋" w:eastAsia="仿宋" w:cs="仿宋"/>
                <w:b/>
                <w:bCs/>
                <w:sz w:val="18"/>
                <w:szCs w:val="18"/>
              </w:rPr>
              <w:t>UM</w:t>
            </w:r>
          </w:p>
        </w:tc>
        <w:tc>
          <w:tcPr>
            <w:tcW w:w="1462" w:type="dxa"/>
            <w:tcBorders>
              <w:top w:val="single" w:color="000000" w:sz="2" w:space="0"/>
              <w:bottom w:val="single" w:color="000000" w:sz="2" w:space="0"/>
            </w:tcBorders>
            <w:vAlign w:val="top"/>
          </w:tcPr>
          <w:p>
            <w:pPr>
              <w:spacing w:before="107" w:line="170" w:lineRule="auto"/>
              <w:ind w:left="483"/>
              <w:rPr>
                <w:rFonts w:hint="eastAsia" w:ascii="仿宋" w:hAnsi="仿宋" w:eastAsia="仿宋" w:cs="仿宋"/>
                <w:sz w:val="18"/>
                <w:szCs w:val="18"/>
              </w:rPr>
            </w:pPr>
            <w:r>
              <w:rPr>
                <w:rFonts w:hint="eastAsia" w:ascii="仿宋" w:hAnsi="仿宋" w:eastAsia="仿宋" w:cs="仿宋"/>
                <w:b/>
                <w:bCs/>
                <w:spacing w:val="6"/>
                <w:sz w:val="18"/>
                <w:szCs w:val="18"/>
              </w:rPr>
              <w:t>0</w:t>
            </w:r>
            <w:r>
              <w:rPr>
                <w:rFonts w:hint="eastAsia" w:ascii="仿宋" w:hAnsi="仿宋" w:eastAsia="仿宋" w:cs="仿宋"/>
                <w:b/>
                <w:bCs/>
                <w:spacing w:val="5"/>
                <w:sz w:val="18"/>
                <w:szCs w:val="18"/>
              </w:rPr>
              <w:t>.5</w:t>
            </w:r>
            <w:r>
              <w:rPr>
                <w:rFonts w:hint="eastAsia" w:ascii="仿宋" w:hAnsi="仿宋" w:eastAsia="仿宋" w:cs="仿宋"/>
                <w:b/>
                <w:bCs/>
                <w:sz w:val="18"/>
                <w:szCs w:val="18"/>
              </w:rPr>
              <w:t>UM</w:t>
            </w:r>
          </w:p>
        </w:tc>
        <w:tc>
          <w:tcPr>
            <w:tcW w:w="1462" w:type="dxa"/>
            <w:tcBorders>
              <w:top w:val="single" w:color="000000" w:sz="2" w:space="0"/>
              <w:bottom w:val="single" w:color="000000" w:sz="2" w:space="0"/>
            </w:tcBorders>
            <w:vAlign w:val="top"/>
          </w:tcPr>
          <w:p>
            <w:pPr>
              <w:spacing w:before="109" w:line="168" w:lineRule="auto"/>
              <w:ind w:left="571"/>
              <w:rPr>
                <w:rFonts w:hint="eastAsia" w:ascii="仿宋" w:hAnsi="仿宋" w:eastAsia="仿宋" w:cs="仿宋"/>
                <w:sz w:val="18"/>
                <w:szCs w:val="18"/>
              </w:rPr>
            </w:pPr>
            <w:r>
              <w:rPr>
                <w:rFonts w:hint="eastAsia" w:ascii="仿宋" w:hAnsi="仿宋" w:eastAsia="仿宋" w:cs="仿宋"/>
                <w:b/>
                <w:bCs/>
                <w:spacing w:val="12"/>
                <w:sz w:val="18"/>
                <w:szCs w:val="18"/>
              </w:rPr>
              <w:t>1</w:t>
            </w:r>
            <w:r>
              <w:rPr>
                <w:rFonts w:hint="eastAsia" w:ascii="仿宋" w:hAnsi="仿宋" w:eastAsia="仿宋" w:cs="仿宋"/>
                <w:b/>
                <w:bCs/>
                <w:sz w:val="18"/>
                <w:szCs w:val="18"/>
              </w:rPr>
              <w:t>UM</w:t>
            </w:r>
          </w:p>
        </w:tc>
        <w:tc>
          <w:tcPr>
            <w:tcW w:w="1487" w:type="dxa"/>
            <w:tcBorders>
              <w:top w:val="single" w:color="000000" w:sz="2" w:space="0"/>
              <w:bottom w:val="single" w:color="000000" w:sz="2" w:space="0"/>
            </w:tcBorders>
            <w:vAlign w:val="top"/>
          </w:tcPr>
          <w:p>
            <w:pPr>
              <w:spacing w:before="107" w:line="170" w:lineRule="auto"/>
              <w:ind w:left="576"/>
              <w:rPr>
                <w:rFonts w:hint="eastAsia" w:ascii="仿宋" w:hAnsi="仿宋" w:eastAsia="仿宋" w:cs="仿宋"/>
                <w:sz w:val="18"/>
                <w:szCs w:val="18"/>
              </w:rPr>
            </w:pPr>
            <w:r>
              <w:rPr>
                <w:rFonts w:hint="eastAsia" w:ascii="仿宋" w:hAnsi="仿宋" w:eastAsia="仿宋" w:cs="仿宋"/>
                <w:b/>
                <w:bCs/>
                <w:spacing w:val="18"/>
                <w:sz w:val="18"/>
                <w:szCs w:val="18"/>
              </w:rPr>
              <w:t>3</w:t>
            </w:r>
            <w:r>
              <w:rPr>
                <w:rFonts w:hint="eastAsia" w:ascii="仿宋" w:hAnsi="仿宋" w:eastAsia="仿宋" w:cs="仿宋"/>
                <w:b/>
                <w:bCs/>
                <w:sz w:val="18"/>
                <w:szCs w:val="18"/>
              </w:rPr>
              <w:t>UM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09" w:line="192" w:lineRule="auto"/>
              <w:ind w:left="732"/>
              <w:rPr>
                <w:rFonts w:hint="eastAsia" w:ascii="仿宋" w:hAnsi="仿宋" w:eastAsia="仿宋" w:cs="仿宋"/>
                <w:sz w:val="18"/>
                <w:szCs w:val="18"/>
              </w:rPr>
            </w:pPr>
            <w:r>
              <w:rPr>
                <w:rFonts w:hint="eastAsia" w:ascii="仿宋" w:hAnsi="仿宋" w:eastAsia="仿宋" w:cs="仿宋"/>
                <w:sz w:val="18"/>
                <w:szCs w:val="18"/>
              </w:rPr>
              <w:t>1</w:t>
            </w:r>
          </w:p>
        </w:tc>
        <w:tc>
          <w:tcPr>
            <w:tcW w:w="1462" w:type="dxa"/>
            <w:tcBorders>
              <w:top w:val="single" w:color="000000" w:sz="2" w:space="0"/>
              <w:bottom w:val="single" w:color="000000" w:sz="2" w:space="0"/>
            </w:tcBorders>
            <w:vAlign w:val="top"/>
          </w:tcPr>
          <w:p>
            <w:pPr>
              <w:spacing w:before="107" w:line="194" w:lineRule="auto"/>
              <w:ind w:left="647"/>
              <w:rPr>
                <w:rFonts w:hint="eastAsia" w:ascii="仿宋" w:hAnsi="仿宋" w:eastAsia="仿宋" w:cs="仿宋"/>
                <w:sz w:val="18"/>
                <w:szCs w:val="18"/>
              </w:rPr>
            </w:pPr>
            <w:r>
              <w:rPr>
                <w:rFonts w:hint="eastAsia" w:ascii="仿宋" w:hAnsi="仿宋" w:eastAsia="仿宋" w:cs="仿宋"/>
                <w:spacing w:val="7"/>
                <w:sz w:val="18"/>
                <w:szCs w:val="18"/>
              </w:rPr>
              <w:t>1</w:t>
            </w:r>
            <w:r>
              <w:rPr>
                <w:rFonts w:hint="eastAsia" w:ascii="仿宋" w:hAnsi="仿宋" w:eastAsia="仿宋" w:cs="仿宋"/>
                <w:spacing w:val="6"/>
                <w:sz w:val="18"/>
                <w:szCs w:val="18"/>
              </w:rPr>
              <w:t>0</w:t>
            </w:r>
          </w:p>
        </w:tc>
        <w:tc>
          <w:tcPr>
            <w:tcW w:w="1462" w:type="dxa"/>
            <w:tcBorders>
              <w:top w:val="single" w:color="000000" w:sz="2" w:space="0"/>
              <w:bottom w:val="single" w:color="000000" w:sz="2" w:space="0"/>
            </w:tcBorders>
            <w:vAlign w:val="top"/>
          </w:tcPr>
          <w:p>
            <w:pPr>
              <w:spacing w:before="107" w:line="194" w:lineRule="auto"/>
              <w:ind w:left="689"/>
              <w:rPr>
                <w:rFonts w:hint="eastAsia" w:ascii="仿宋" w:hAnsi="仿宋" w:eastAsia="仿宋" w:cs="仿宋"/>
                <w:sz w:val="18"/>
                <w:szCs w:val="18"/>
              </w:rPr>
            </w:pPr>
            <w:r>
              <w:rPr>
                <w:rFonts w:hint="eastAsia" w:ascii="仿宋" w:hAnsi="仿宋" w:eastAsia="仿宋" w:cs="仿宋"/>
                <w:spacing w:val="3"/>
                <w:sz w:val="18"/>
                <w:szCs w:val="18"/>
              </w:rPr>
              <w:t>2</w:t>
            </w: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87" w:type="dxa"/>
            <w:tcBorders>
              <w:top w:val="single" w:color="000000" w:sz="2" w:space="0"/>
              <w:bottom w:val="single" w:color="000000" w:sz="2" w:space="0"/>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08" w:line="194" w:lineRule="auto"/>
              <w:ind w:left="727"/>
              <w:rPr>
                <w:rFonts w:hint="eastAsia" w:ascii="仿宋" w:hAnsi="仿宋" w:eastAsia="仿宋" w:cs="仿宋"/>
                <w:sz w:val="18"/>
                <w:szCs w:val="18"/>
              </w:rPr>
            </w:pPr>
            <w:r>
              <w:rPr>
                <w:rFonts w:hint="eastAsia" w:ascii="仿宋" w:hAnsi="仿宋" w:eastAsia="仿宋" w:cs="仿宋"/>
                <w:spacing w:val="3"/>
                <w:sz w:val="18"/>
                <w:szCs w:val="18"/>
              </w:rPr>
              <w:t>2</w:t>
            </w:r>
          </w:p>
        </w:tc>
        <w:tc>
          <w:tcPr>
            <w:tcW w:w="1462" w:type="dxa"/>
            <w:tcBorders>
              <w:top w:val="single" w:color="000000" w:sz="2" w:space="0"/>
              <w:bottom w:val="single" w:color="000000" w:sz="2" w:space="0"/>
            </w:tcBorders>
            <w:vAlign w:val="top"/>
          </w:tcPr>
          <w:p>
            <w:pPr>
              <w:spacing w:before="108" w:line="194" w:lineRule="auto"/>
              <w:ind w:left="601"/>
              <w:rPr>
                <w:rFonts w:hint="eastAsia" w:ascii="仿宋" w:hAnsi="仿宋" w:eastAsia="仿宋" w:cs="仿宋"/>
                <w:sz w:val="18"/>
                <w:szCs w:val="18"/>
              </w:rPr>
            </w:pPr>
            <w:r>
              <w:rPr>
                <w:rFonts w:hint="eastAsia" w:ascii="仿宋" w:hAnsi="仿宋" w:eastAsia="仿宋" w:cs="仿宋"/>
                <w:spacing w:val="10"/>
                <w:sz w:val="18"/>
                <w:szCs w:val="18"/>
              </w:rPr>
              <w:t>10</w:t>
            </w:r>
            <w:r>
              <w:rPr>
                <w:rFonts w:hint="eastAsia" w:ascii="仿宋" w:hAnsi="仿宋" w:eastAsia="仿宋" w:cs="仿宋"/>
                <w:spacing w:val="9"/>
                <w:sz w:val="18"/>
                <w:szCs w:val="18"/>
              </w:rPr>
              <w:t>0</w:t>
            </w:r>
          </w:p>
        </w:tc>
        <w:tc>
          <w:tcPr>
            <w:tcW w:w="1462" w:type="dxa"/>
            <w:tcBorders>
              <w:top w:val="single" w:color="000000" w:sz="2" w:space="0"/>
              <w:bottom w:val="single" w:color="000000" w:sz="2" w:space="0"/>
            </w:tcBorders>
            <w:vAlign w:val="top"/>
          </w:tcPr>
          <w:p>
            <w:pPr>
              <w:spacing w:before="108" w:line="194" w:lineRule="auto"/>
              <w:ind w:left="643"/>
              <w:rPr>
                <w:rFonts w:hint="eastAsia" w:ascii="仿宋" w:hAnsi="仿宋" w:eastAsia="仿宋" w:cs="仿宋"/>
                <w:sz w:val="18"/>
                <w:szCs w:val="18"/>
              </w:rPr>
            </w:pPr>
            <w:r>
              <w:rPr>
                <w:rFonts w:hint="eastAsia" w:ascii="仿宋" w:hAnsi="仿宋" w:eastAsia="仿宋" w:cs="仿宋"/>
                <w:spacing w:val="10"/>
                <w:sz w:val="18"/>
                <w:szCs w:val="18"/>
              </w:rPr>
              <w:t>2</w:t>
            </w:r>
            <w:r>
              <w:rPr>
                <w:rFonts w:hint="eastAsia" w:ascii="仿宋" w:hAnsi="仿宋" w:eastAsia="仿宋" w:cs="仿宋"/>
                <w:spacing w:val="9"/>
                <w:sz w:val="18"/>
                <w:szCs w:val="18"/>
              </w:rPr>
              <w:t>4</w:t>
            </w:r>
          </w:p>
        </w:tc>
        <w:tc>
          <w:tcPr>
            <w:tcW w:w="1462" w:type="dxa"/>
            <w:tcBorders>
              <w:top w:val="single" w:color="000000" w:sz="2" w:space="0"/>
              <w:bottom w:val="single" w:color="000000" w:sz="2" w:space="0"/>
            </w:tcBorders>
            <w:vAlign w:val="top"/>
          </w:tcPr>
          <w:p>
            <w:pPr>
              <w:spacing w:before="108" w:line="194" w:lineRule="auto"/>
              <w:ind w:left="650"/>
              <w:rPr>
                <w:rFonts w:hint="eastAsia" w:ascii="仿宋" w:hAnsi="仿宋" w:eastAsia="仿宋" w:cs="仿宋"/>
                <w:sz w:val="18"/>
                <w:szCs w:val="18"/>
              </w:rPr>
            </w:pPr>
            <w:r>
              <w:rPr>
                <w:rFonts w:hint="eastAsia" w:ascii="仿宋" w:hAnsi="仿宋" w:eastAsia="仿宋" w:cs="仿宋"/>
                <w:spacing w:val="7"/>
                <w:sz w:val="18"/>
                <w:szCs w:val="18"/>
              </w:rPr>
              <w:t>1</w:t>
            </w:r>
            <w:r>
              <w:rPr>
                <w:rFonts w:hint="eastAsia" w:ascii="仿宋" w:hAnsi="仿宋" w:eastAsia="仿宋" w:cs="仿宋"/>
                <w:spacing w:val="6"/>
                <w:sz w:val="18"/>
                <w:szCs w:val="18"/>
              </w:rPr>
              <w:t>0</w:t>
            </w:r>
          </w:p>
        </w:tc>
        <w:tc>
          <w:tcPr>
            <w:tcW w:w="1462" w:type="dxa"/>
            <w:tcBorders>
              <w:top w:val="single" w:color="000000" w:sz="2" w:space="0"/>
              <w:bottom w:val="single" w:color="000000" w:sz="2" w:space="0"/>
            </w:tcBorders>
            <w:vAlign w:val="top"/>
          </w:tcPr>
          <w:p>
            <w:pPr>
              <w:spacing w:before="109" w:line="192" w:lineRule="auto"/>
              <w:ind w:left="688"/>
              <w:rPr>
                <w:rFonts w:hint="eastAsia" w:ascii="仿宋" w:hAnsi="仿宋" w:eastAsia="仿宋" w:cs="仿宋"/>
                <w:sz w:val="18"/>
                <w:szCs w:val="18"/>
              </w:rPr>
            </w:pPr>
            <w:r>
              <w:rPr>
                <w:rFonts w:hint="eastAsia" w:ascii="仿宋" w:hAnsi="仿宋" w:eastAsia="仿宋" w:cs="仿宋"/>
                <w:spacing w:val="6"/>
                <w:sz w:val="18"/>
                <w:szCs w:val="18"/>
              </w:rPr>
              <w:t>4</w:t>
            </w: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87" w:type="dxa"/>
            <w:tcBorders>
              <w:top w:val="single" w:color="000000" w:sz="2" w:space="0"/>
              <w:bottom w:val="single" w:color="000000" w:sz="2" w:space="0"/>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09" w:line="194" w:lineRule="auto"/>
              <w:ind w:left="727"/>
              <w:rPr>
                <w:rFonts w:hint="eastAsia" w:ascii="仿宋" w:hAnsi="仿宋" w:eastAsia="仿宋" w:cs="仿宋"/>
                <w:sz w:val="18"/>
                <w:szCs w:val="18"/>
              </w:rPr>
            </w:pPr>
            <w:r>
              <w:rPr>
                <w:rFonts w:hint="eastAsia" w:ascii="仿宋" w:hAnsi="仿宋" w:eastAsia="仿宋" w:cs="仿宋"/>
                <w:spacing w:val="3"/>
                <w:sz w:val="18"/>
                <w:szCs w:val="18"/>
              </w:rPr>
              <w:t>3</w:t>
            </w:r>
          </w:p>
        </w:tc>
        <w:tc>
          <w:tcPr>
            <w:tcW w:w="1462" w:type="dxa"/>
            <w:tcBorders>
              <w:top w:val="single" w:color="000000" w:sz="2" w:space="0"/>
              <w:bottom w:val="single" w:color="000000" w:sz="2" w:space="0"/>
            </w:tcBorders>
            <w:vAlign w:val="top"/>
          </w:tcPr>
          <w:p>
            <w:pPr>
              <w:spacing w:before="109" w:line="194" w:lineRule="auto"/>
              <w:ind w:left="524"/>
              <w:rPr>
                <w:rFonts w:hint="eastAsia" w:ascii="仿宋" w:hAnsi="仿宋" w:eastAsia="仿宋" w:cs="仿宋"/>
                <w:sz w:val="18"/>
                <w:szCs w:val="18"/>
              </w:rPr>
            </w:pPr>
            <w:r>
              <w:rPr>
                <w:rFonts w:hint="eastAsia" w:ascii="仿宋" w:hAnsi="仿宋" w:eastAsia="仿宋" w:cs="仿宋"/>
                <w:spacing w:val="39"/>
                <w:sz w:val="18"/>
                <w:szCs w:val="18"/>
              </w:rPr>
              <w:t>1</w:t>
            </w:r>
            <w:r>
              <w:rPr>
                <w:rFonts w:hint="eastAsia" w:ascii="仿宋" w:hAnsi="仿宋" w:eastAsia="仿宋" w:cs="仿宋"/>
                <w:sz w:val="18"/>
                <w:szCs w:val="18"/>
              </w:rPr>
              <w:t>OOO</w:t>
            </w:r>
          </w:p>
        </w:tc>
        <w:tc>
          <w:tcPr>
            <w:tcW w:w="1462" w:type="dxa"/>
            <w:tcBorders>
              <w:top w:val="single" w:color="000000" w:sz="2" w:space="0"/>
              <w:bottom w:val="single" w:color="000000" w:sz="2" w:space="0"/>
            </w:tcBorders>
            <w:vAlign w:val="top"/>
          </w:tcPr>
          <w:p>
            <w:pPr>
              <w:spacing w:before="109" w:line="194" w:lineRule="auto"/>
              <w:ind w:left="597"/>
              <w:rPr>
                <w:rFonts w:hint="eastAsia" w:ascii="仿宋" w:hAnsi="仿宋" w:eastAsia="仿宋" w:cs="仿宋"/>
                <w:sz w:val="18"/>
                <w:szCs w:val="18"/>
              </w:rPr>
            </w:pPr>
            <w:r>
              <w:rPr>
                <w:rFonts w:hint="eastAsia" w:ascii="仿宋" w:hAnsi="仿宋" w:eastAsia="仿宋" w:cs="仿宋"/>
                <w:spacing w:val="12"/>
                <w:sz w:val="18"/>
                <w:szCs w:val="18"/>
              </w:rPr>
              <w:t>2</w:t>
            </w:r>
            <w:r>
              <w:rPr>
                <w:rFonts w:hint="eastAsia" w:ascii="仿宋" w:hAnsi="仿宋" w:eastAsia="仿宋" w:cs="仿宋"/>
                <w:spacing w:val="11"/>
                <w:sz w:val="18"/>
                <w:szCs w:val="18"/>
              </w:rPr>
              <w:t>37</w:t>
            </w:r>
          </w:p>
        </w:tc>
        <w:tc>
          <w:tcPr>
            <w:tcW w:w="1462" w:type="dxa"/>
            <w:tcBorders>
              <w:top w:val="single" w:color="000000" w:sz="2" w:space="0"/>
              <w:bottom w:val="single" w:color="000000" w:sz="2" w:space="0"/>
            </w:tcBorders>
            <w:vAlign w:val="top"/>
          </w:tcPr>
          <w:p>
            <w:pPr>
              <w:spacing w:before="109" w:line="194" w:lineRule="auto"/>
              <w:ind w:left="604"/>
              <w:rPr>
                <w:rFonts w:hint="eastAsia" w:ascii="仿宋" w:hAnsi="仿宋" w:eastAsia="仿宋" w:cs="仿宋"/>
                <w:sz w:val="18"/>
                <w:szCs w:val="18"/>
              </w:rPr>
            </w:pPr>
            <w:r>
              <w:rPr>
                <w:rFonts w:hint="eastAsia" w:ascii="仿宋" w:hAnsi="仿宋" w:eastAsia="仿宋" w:cs="仿宋"/>
                <w:spacing w:val="10"/>
                <w:sz w:val="18"/>
                <w:szCs w:val="18"/>
              </w:rPr>
              <w:t>10</w:t>
            </w:r>
            <w:r>
              <w:rPr>
                <w:rFonts w:hint="eastAsia" w:ascii="仿宋" w:hAnsi="仿宋" w:eastAsia="仿宋" w:cs="仿宋"/>
                <w:spacing w:val="9"/>
                <w:sz w:val="18"/>
                <w:szCs w:val="18"/>
              </w:rPr>
              <w:t>2</w:t>
            </w:r>
          </w:p>
        </w:tc>
        <w:tc>
          <w:tcPr>
            <w:tcW w:w="1462" w:type="dxa"/>
            <w:tcBorders>
              <w:top w:val="single" w:color="000000" w:sz="2" w:space="0"/>
              <w:bottom w:val="single" w:color="000000" w:sz="2" w:space="0"/>
            </w:tcBorders>
            <w:vAlign w:val="top"/>
          </w:tcPr>
          <w:p>
            <w:pPr>
              <w:spacing w:before="109" w:line="194" w:lineRule="auto"/>
              <w:ind w:left="646"/>
              <w:rPr>
                <w:rFonts w:hint="eastAsia" w:ascii="仿宋" w:hAnsi="仿宋" w:eastAsia="仿宋" w:cs="仿宋"/>
                <w:sz w:val="18"/>
                <w:szCs w:val="18"/>
              </w:rPr>
            </w:pPr>
            <w:r>
              <w:rPr>
                <w:rFonts w:hint="eastAsia" w:ascii="仿宋" w:hAnsi="仿宋" w:eastAsia="仿宋" w:cs="仿宋"/>
                <w:spacing w:val="9"/>
                <w:sz w:val="18"/>
                <w:szCs w:val="18"/>
              </w:rPr>
              <w:t>35</w:t>
            </w:r>
          </w:p>
        </w:tc>
        <w:tc>
          <w:tcPr>
            <w:tcW w:w="1462" w:type="dxa"/>
            <w:tcBorders>
              <w:top w:val="single" w:color="000000" w:sz="2" w:space="0"/>
              <w:bottom w:val="single" w:color="000000" w:sz="2" w:space="0"/>
            </w:tcBorders>
            <w:vAlign w:val="top"/>
          </w:tcPr>
          <w:p>
            <w:pPr>
              <w:spacing w:before="108" w:line="194" w:lineRule="auto"/>
              <w:ind w:left="692"/>
              <w:rPr>
                <w:rFonts w:hint="eastAsia" w:ascii="仿宋" w:hAnsi="仿宋" w:eastAsia="仿宋" w:cs="仿宋"/>
                <w:sz w:val="18"/>
                <w:szCs w:val="18"/>
              </w:rPr>
            </w:pPr>
            <w:r>
              <w:rPr>
                <w:rFonts w:hint="eastAsia" w:ascii="仿宋" w:hAnsi="仿宋" w:eastAsia="仿宋" w:cs="仿宋"/>
                <w:spacing w:val="4"/>
                <w:sz w:val="18"/>
                <w:szCs w:val="18"/>
              </w:rPr>
              <w:t>8</w:t>
            </w:r>
          </w:p>
        </w:tc>
        <w:tc>
          <w:tcPr>
            <w:tcW w:w="1487" w:type="dxa"/>
            <w:tcBorders>
              <w:top w:val="single" w:color="000000" w:sz="2" w:space="0"/>
              <w:bottom w:val="single" w:color="000000" w:sz="2" w:space="0"/>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11" w:line="192" w:lineRule="auto"/>
              <w:ind w:left="723"/>
              <w:rPr>
                <w:rFonts w:hint="eastAsia" w:ascii="仿宋" w:hAnsi="仿宋" w:eastAsia="仿宋" w:cs="仿宋"/>
                <w:sz w:val="18"/>
                <w:szCs w:val="18"/>
              </w:rPr>
            </w:pPr>
            <w:r>
              <w:rPr>
                <w:rFonts w:hint="eastAsia" w:ascii="仿宋" w:hAnsi="仿宋" w:eastAsia="仿宋" w:cs="仿宋"/>
                <w:spacing w:val="6"/>
                <w:sz w:val="18"/>
                <w:szCs w:val="18"/>
              </w:rPr>
              <w:t>4</w:t>
            </w:r>
          </w:p>
        </w:tc>
        <w:tc>
          <w:tcPr>
            <w:tcW w:w="1462" w:type="dxa"/>
            <w:tcBorders>
              <w:top w:val="single" w:color="000000" w:sz="2" w:space="0"/>
              <w:bottom w:val="single" w:color="000000" w:sz="2" w:space="0"/>
            </w:tcBorders>
            <w:vAlign w:val="top"/>
          </w:tcPr>
          <w:p>
            <w:pPr>
              <w:spacing w:before="109" w:line="194" w:lineRule="auto"/>
              <w:ind w:left="468"/>
              <w:rPr>
                <w:rFonts w:hint="eastAsia" w:ascii="仿宋" w:hAnsi="仿宋" w:eastAsia="仿宋" w:cs="仿宋"/>
                <w:sz w:val="18"/>
                <w:szCs w:val="18"/>
              </w:rPr>
            </w:pPr>
            <w:r>
              <w:rPr>
                <w:rFonts w:hint="eastAsia" w:ascii="仿宋" w:hAnsi="仿宋" w:eastAsia="仿宋" w:cs="仿宋"/>
                <w:spacing w:val="53"/>
                <w:sz w:val="18"/>
                <w:szCs w:val="18"/>
              </w:rPr>
              <w:t>1</w:t>
            </w:r>
            <w:r>
              <w:rPr>
                <w:rFonts w:hint="eastAsia" w:ascii="仿宋" w:hAnsi="仿宋" w:eastAsia="仿宋" w:cs="仿宋"/>
                <w:sz w:val="18"/>
                <w:szCs w:val="18"/>
              </w:rPr>
              <w:t>OOOO</w:t>
            </w:r>
          </w:p>
        </w:tc>
        <w:tc>
          <w:tcPr>
            <w:tcW w:w="1462" w:type="dxa"/>
            <w:tcBorders>
              <w:top w:val="single" w:color="000000" w:sz="2" w:space="0"/>
              <w:bottom w:val="single" w:color="000000" w:sz="2" w:space="0"/>
            </w:tcBorders>
            <w:vAlign w:val="top"/>
          </w:tcPr>
          <w:p>
            <w:pPr>
              <w:spacing w:before="109" w:line="194" w:lineRule="auto"/>
              <w:ind w:left="551"/>
              <w:rPr>
                <w:rFonts w:hint="eastAsia" w:ascii="仿宋" w:hAnsi="仿宋" w:eastAsia="仿宋" w:cs="仿宋"/>
                <w:sz w:val="18"/>
                <w:szCs w:val="18"/>
              </w:rPr>
            </w:pPr>
            <w:r>
              <w:rPr>
                <w:rFonts w:hint="eastAsia" w:ascii="仿宋" w:hAnsi="仿宋" w:eastAsia="仿宋" w:cs="仿宋"/>
                <w:spacing w:val="14"/>
                <w:sz w:val="18"/>
                <w:szCs w:val="18"/>
              </w:rPr>
              <w:t>2</w:t>
            </w:r>
            <w:r>
              <w:rPr>
                <w:rFonts w:hint="eastAsia" w:ascii="仿宋" w:hAnsi="仿宋" w:eastAsia="仿宋" w:cs="仿宋"/>
                <w:spacing w:val="12"/>
                <w:sz w:val="18"/>
                <w:szCs w:val="18"/>
              </w:rPr>
              <w:t>370</w:t>
            </w:r>
          </w:p>
        </w:tc>
        <w:tc>
          <w:tcPr>
            <w:tcW w:w="1462" w:type="dxa"/>
            <w:tcBorders>
              <w:top w:val="single" w:color="000000" w:sz="2" w:space="0"/>
              <w:bottom w:val="single" w:color="000000" w:sz="2" w:space="0"/>
            </w:tcBorders>
            <w:vAlign w:val="top"/>
          </w:tcPr>
          <w:p>
            <w:pPr>
              <w:spacing w:before="109" w:line="194" w:lineRule="auto"/>
              <w:ind w:left="557"/>
              <w:rPr>
                <w:rFonts w:hint="eastAsia" w:ascii="仿宋" w:hAnsi="仿宋" w:eastAsia="仿宋" w:cs="仿宋"/>
                <w:sz w:val="18"/>
                <w:szCs w:val="18"/>
              </w:rPr>
            </w:pPr>
            <w:r>
              <w:rPr>
                <w:rFonts w:hint="eastAsia" w:ascii="仿宋" w:hAnsi="仿宋" w:eastAsia="仿宋" w:cs="仿宋"/>
                <w:spacing w:val="12"/>
                <w:sz w:val="18"/>
                <w:szCs w:val="18"/>
              </w:rPr>
              <w:t>1</w:t>
            </w:r>
            <w:r>
              <w:rPr>
                <w:rFonts w:hint="eastAsia" w:ascii="仿宋" w:hAnsi="仿宋" w:eastAsia="仿宋" w:cs="仿宋"/>
                <w:spacing w:val="11"/>
                <w:sz w:val="18"/>
                <w:szCs w:val="18"/>
              </w:rPr>
              <w:t>020</w:t>
            </w:r>
          </w:p>
        </w:tc>
        <w:tc>
          <w:tcPr>
            <w:tcW w:w="1462" w:type="dxa"/>
            <w:tcBorders>
              <w:top w:val="single" w:color="000000" w:sz="2" w:space="0"/>
              <w:bottom w:val="single" w:color="000000" w:sz="2" w:space="0"/>
            </w:tcBorders>
            <w:vAlign w:val="top"/>
          </w:tcPr>
          <w:p>
            <w:pPr>
              <w:spacing w:before="109" w:line="194" w:lineRule="auto"/>
              <w:ind w:left="600"/>
              <w:rPr>
                <w:rFonts w:hint="eastAsia" w:ascii="仿宋" w:hAnsi="仿宋" w:eastAsia="仿宋" w:cs="仿宋"/>
                <w:sz w:val="18"/>
                <w:szCs w:val="18"/>
              </w:rPr>
            </w:pPr>
            <w:r>
              <w:rPr>
                <w:rFonts w:hint="eastAsia" w:ascii="仿宋" w:hAnsi="仿宋" w:eastAsia="仿宋" w:cs="仿宋"/>
                <w:spacing w:val="12"/>
                <w:sz w:val="18"/>
                <w:szCs w:val="18"/>
              </w:rPr>
              <w:t>3</w:t>
            </w:r>
            <w:r>
              <w:rPr>
                <w:rFonts w:hint="eastAsia" w:ascii="仿宋" w:hAnsi="仿宋" w:eastAsia="仿宋" w:cs="仿宋"/>
                <w:spacing w:val="11"/>
                <w:sz w:val="18"/>
                <w:szCs w:val="18"/>
              </w:rPr>
              <w:t>52</w:t>
            </w:r>
          </w:p>
        </w:tc>
        <w:tc>
          <w:tcPr>
            <w:tcW w:w="1462" w:type="dxa"/>
            <w:tcBorders>
              <w:top w:val="single" w:color="000000" w:sz="2" w:space="0"/>
              <w:bottom w:val="single" w:color="000000" w:sz="2" w:space="0"/>
            </w:tcBorders>
            <w:vAlign w:val="top"/>
          </w:tcPr>
          <w:p>
            <w:pPr>
              <w:spacing w:before="109" w:line="194" w:lineRule="auto"/>
              <w:ind w:left="646"/>
              <w:rPr>
                <w:rFonts w:hint="eastAsia" w:ascii="仿宋" w:hAnsi="仿宋" w:eastAsia="仿宋" w:cs="仿宋"/>
                <w:sz w:val="18"/>
                <w:szCs w:val="18"/>
              </w:rPr>
            </w:pPr>
            <w:r>
              <w:rPr>
                <w:rFonts w:hint="eastAsia" w:ascii="仿宋" w:hAnsi="仿宋" w:eastAsia="仿宋" w:cs="仿宋"/>
                <w:spacing w:val="10"/>
                <w:sz w:val="18"/>
                <w:szCs w:val="18"/>
              </w:rPr>
              <w:t>8</w:t>
            </w:r>
            <w:r>
              <w:rPr>
                <w:rFonts w:hint="eastAsia" w:ascii="仿宋" w:hAnsi="仿宋" w:eastAsia="仿宋" w:cs="仿宋"/>
                <w:spacing w:val="9"/>
                <w:sz w:val="18"/>
                <w:szCs w:val="18"/>
              </w:rPr>
              <w:t>3</w:t>
            </w:r>
          </w:p>
        </w:tc>
        <w:tc>
          <w:tcPr>
            <w:tcW w:w="1487" w:type="dxa"/>
            <w:tcBorders>
              <w:top w:val="single" w:color="000000" w:sz="2" w:space="0"/>
              <w:bottom w:val="single" w:color="000000" w:sz="2" w:space="0"/>
            </w:tcBorders>
            <w:vAlign w:val="top"/>
          </w:tcPr>
          <w:p>
            <w:pPr>
              <w:rPr>
                <w:rFonts w:hint="eastAsia" w:ascii="仿宋" w:hAnsi="仿宋" w:eastAsia="仿宋" w:cs="仿宋"/>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12" w:line="191" w:lineRule="auto"/>
              <w:ind w:left="727"/>
              <w:rPr>
                <w:rFonts w:hint="eastAsia" w:ascii="仿宋" w:hAnsi="仿宋" w:eastAsia="仿宋" w:cs="仿宋"/>
                <w:sz w:val="18"/>
                <w:szCs w:val="18"/>
              </w:rPr>
            </w:pPr>
            <w:r>
              <w:rPr>
                <w:rFonts w:hint="eastAsia" w:ascii="仿宋" w:hAnsi="仿宋" w:eastAsia="仿宋" w:cs="仿宋"/>
                <w:spacing w:val="2"/>
                <w:sz w:val="18"/>
                <w:szCs w:val="18"/>
              </w:rPr>
              <w:t>5</w:t>
            </w:r>
          </w:p>
        </w:tc>
        <w:tc>
          <w:tcPr>
            <w:tcW w:w="1462" w:type="dxa"/>
            <w:tcBorders>
              <w:top w:val="single" w:color="000000" w:sz="2" w:space="0"/>
              <w:bottom w:val="single" w:color="000000" w:sz="2" w:space="0"/>
            </w:tcBorders>
            <w:vAlign w:val="top"/>
          </w:tcPr>
          <w:p>
            <w:pPr>
              <w:spacing w:before="110" w:line="194" w:lineRule="auto"/>
              <w:ind w:left="463"/>
              <w:rPr>
                <w:rFonts w:hint="eastAsia" w:ascii="仿宋" w:hAnsi="仿宋" w:eastAsia="仿宋" w:cs="仿宋"/>
                <w:sz w:val="18"/>
                <w:szCs w:val="18"/>
              </w:rPr>
            </w:pPr>
            <w:r>
              <w:rPr>
                <w:rFonts w:hint="eastAsia" w:ascii="仿宋" w:hAnsi="仿宋" w:eastAsia="仿宋" w:cs="仿宋"/>
                <w:spacing w:val="16"/>
                <w:sz w:val="18"/>
                <w:szCs w:val="18"/>
              </w:rPr>
              <w:t>1</w:t>
            </w:r>
            <w:r>
              <w:rPr>
                <w:rFonts w:hint="eastAsia" w:ascii="仿宋" w:hAnsi="仿宋" w:eastAsia="仿宋" w:cs="仿宋"/>
                <w:spacing w:val="12"/>
                <w:sz w:val="18"/>
                <w:szCs w:val="18"/>
              </w:rPr>
              <w:t>00000</w:t>
            </w:r>
          </w:p>
        </w:tc>
        <w:tc>
          <w:tcPr>
            <w:tcW w:w="1462" w:type="dxa"/>
            <w:tcBorders>
              <w:top w:val="single" w:color="000000" w:sz="2" w:space="0"/>
              <w:bottom w:val="single" w:color="000000" w:sz="2" w:space="0"/>
            </w:tcBorders>
            <w:vAlign w:val="top"/>
          </w:tcPr>
          <w:p>
            <w:pPr>
              <w:spacing w:before="110" w:line="194" w:lineRule="auto"/>
              <w:ind w:left="505"/>
              <w:rPr>
                <w:rFonts w:hint="eastAsia" w:ascii="仿宋" w:hAnsi="仿宋" w:eastAsia="仿宋" w:cs="仿宋"/>
                <w:sz w:val="18"/>
                <w:szCs w:val="18"/>
              </w:rPr>
            </w:pPr>
            <w:r>
              <w:rPr>
                <w:rFonts w:hint="eastAsia" w:ascii="仿宋" w:hAnsi="仿宋" w:eastAsia="仿宋" w:cs="仿宋"/>
                <w:spacing w:val="14"/>
                <w:sz w:val="18"/>
                <w:szCs w:val="18"/>
              </w:rPr>
              <w:t>2</w:t>
            </w:r>
            <w:r>
              <w:rPr>
                <w:rFonts w:hint="eastAsia" w:ascii="仿宋" w:hAnsi="仿宋" w:eastAsia="仿宋" w:cs="仿宋"/>
                <w:spacing w:val="13"/>
                <w:sz w:val="18"/>
                <w:szCs w:val="18"/>
              </w:rPr>
              <w:t>3700</w:t>
            </w:r>
          </w:p>
        </w:tc>
        <w:tc>
          <w:tcPr>
            <w:tcW w:w="1462" w:type="dxa"/>
            <w:tcBorders>
              <w:top w:val="single" w:color="000000" w:sz="2" w:space="0"/>
              <w:bottom w:val="single" w:color="000000" w:sz="2" w:space="0"/>
            </w:tcBorders>
            <w:vAlign w:val="top"/>
          </w:tcPr>
          <w:p>
            <w:pPr>
              <w:spacing w:before="110" w:line="194" w:lineRule="auto"/>
              <w:ind w:left="511"/>
              <w:rPr>
                <w:rFonts w:hint="eastAsia" w:ascii="仿宋" w:hAnsi="仿宋" w:eastAsia="仿宋" w:cs="仿宋"/>
                <w:sz w:val="18"/>
                <w:szCs w:val="18"/>
              </w:rPr>
            </w:pPr>
            <w:r>
              <w:rPr>
                <w:rFonts w:hint="eastAsia" w:ascii="仿宋" w:hAnsi="仿宋" w:eastAsia="仿宋" w:cs="仿宋"/>
                <w:spacing w:val="12"/>
                <w:sz w:val="18"/>
                <w:szCs w:val="18"/>
              </w:rPr>
              <w:t>10200</w:t>
            </w:r>
          </w:p>
        </w:tc>
        <w:tc>
          <w:tcPr>
            <w:tcW w:w="1462" w:type="dxa"/>
            <w:tcBorders>
              <w:top w:val="single" w:color="000000" w:sz="2" w:space="0"/>
              <w:bottom w:val="single" w:color="000000" w:sz="2" w:space="0"/>
            </w:tcBorders>
            <w:vAlign w:val="top"/>
          </w:tcPr>
          <w:p>
            <w:pPr>
              <w:spacing w:before="110" w:line="194" w:lineRule="auto"/>
              <w:ind w:left="554"/>
              <w:rPr>
                <w:rFonts w:hint="eastAsia" w:ascii="仿宋" w:hAnsi="仿宋" w:eastAsia="仿宋" w:cs="仿宋"/>
                <w:sz w:val="18"/>
                <w:szCs w:val="18"/>
              </w:rPr>
            </w:pPr>
            <w:r>
              <w:rPr>
                <w:rFonts w:hint="eastAsia" w:ascii="仿宋" w:hAnsi="仿宋" w:eastAsia="仿宋" w:cs="仿宋"/>
                <w:spacing w:val="14"/>
                <w:sz w:val="18"/>
                <w:szCs w:val="18"/>
              </w:rPr>
              <w:t>3</w:t>
            </w:r>
            <w:r>
              <w:rPr>
                <w:rFonts w:hint="eastAsia" w:ascii="仿宋" w:hAnsi="仿宋" w:eastAsia="仿宋" w:cs="仿宋"/>
                <w:spacing w:val="12"/>
                <w:sz w:val="18"/>
                <w:szCs w:val="18"/>
              </w:rPr>
              <w:t>520</w:t>
            </w:r>
          </w:p>
        </w:tc>
        <w:tc>
          <w:tcPr>
            <w:tcW w:w="1462" w:type="dxa"/>
            <w:tcBorders>
              <w:top w:val="single" w:color="000000" w:sz="2" w:space="0"/>
              <w:bottom w:val="single" w:color="000000" w:sz="2" w:space="0"/>
            </w:tcBorders>
            <w:vAlign w:val="top"/>
          </w:tcPr>
          <w:p>
            <w:pPr>
              <w:spacing w:before="110" w:line="194" w:lineRule="auto"/>
              <w:ind w:left="600"/>
              <w:rPr>
                <w:rFonts w:hint="eastAsia" w:ascii="仿宋" w:hAnsi="仿宋" w:eastAsia="仿宋" w:cs="仿宋"/>
                <w:sz w:val="18"/>
                <w:szCs w:val="18"/>
              </w:rPr>
            </w:pPr>
            <w:r>
              <w:rPr>
                <w:rFonts w:hint="eastAsia" w:ascii="仿宋" w:hAnsi="仿宋" w:eastAsia="仿宋" w:cs="仿宋"/>
                <w:spacing w:val="12"/>
                <w:sz w:val="18"/>
                <w:szCs w:val="18"/>
              </w:rPr>
              <w:t>83</w:t>
            </w:r>
            <w:r>
              <w:rPr>
                <w:rFonts w:hint="eastAsia" w:ascii="仿宋" w:hAnsi="仿宋" w:eastAsia="仿宋" w:cs="仿宋"/>
                <w:spacing w:val="11"/>
                <w:sz w:val="18"/>
                <w:szCs w:val="18"/>
              </w:rPr>
              <w:t>2</w:t>
            </w:r>
          </w:p>
        </w:tc>
        <w:tc>
          <w:tcPr>
            <w:tcW w:w="1487" w:type="dxa"/>
            <w:tcBorders>
              <w:top w:val="single" w:color="000000" w:sz="2" w:space="0"/>
              <w:bottom w:val="single" w:color="000000" w:sz="2" w:space="0"/>
            </w:tcBorders>
            <w:vAlign w:val="top"/>
          </w:tcPr>
          <w:p>
            <w:pPr>
              <w:spacing w:before="110" w:line="194" w:lineRule="auto"/>
              <w:ind w:left="659"/>
              <w:rPr>
                <w:rFonts w:hint="eastAsia" w:ascii="仿宋" w:hAnsi="仿宋" w:eastAsia="仿宋" w:cs="仿宋"/>
                <w:sz w:val="18"/>
                <w:szCs w:val="18"/>
              </w:rPr>
            </w:pPr>
            <w:r>
              <w:rPr>
                <w:rFonts w:hint="eastAsia" w:ascii="仿宋" w:hAnsi="仿宋" w:eastAsia="仿宋" w:cs="仿宋"/>
                <w:spacing w:val="10"/>
                <w:sz w:val="18"/>
                <w:szCs w:val="18"/>
              </w:rPr>
              <w:t>2</w:t>
            </w:r>
            <w:r>
              <w:rPr>
                <w:rFonts w:hint="eastAsia" w:ascii="仿宋" w:hAnsi="仿宋" w:eastAsia="仿宋" w:cs="仿宋"/>
                <w:spacing w:val="9"/>
                <w:sz w:val="18"/>
                <w:szCs w:val="18"/>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11" w:line="194" w:lineRule="auto"/>
              <w:ind w:left="726"/>
              <w:rPr>
                <w:rFonts w:hint="eastAsia" w:ascii="仿宋" w:hAnsi="仿宋" w:eastAsia="仿宋" w:cs="仿宋"/>
                <w:sz w:val="18"/>
                <w:szCs w:val="18"/>
              </w:rPr>
            </w:pPr>
            <w:r>
              <w:rPr>
                <w:rFonts w:hint="eastAsia" w:ascii="仿宋" w:hAnsi="仿宋" w:eastAsia="仿宋" w:cs="仿宋"/>
                <w:spacing w:val="3"/>
                <w:sz w:val="18"/>
                <w:szCs w:val="18"/>
              </w:rPr>
              <w:t>6</w:t>
            </w:r>
          </w:p>
        </w:tc>
        <w:tc>
          <w:tcPr>
            <w:tcW w:w="1462" w:type="dxa"/>
            <w:tcBorders>
              <w:top w:val="single" w:color="000000" w:sz="2" w:space="0"/>
              <w:bottom w:val="single" w:color="000000" w:sz="2" w:space="0"/>
            </w:tcBorders>
            <w:vAlign w:val="top"/>
          </w:tcPr>
          <w:p>
            <w:pPr>
              <w:spacing w:before="111" w:line="194" w:lineRule="auto"/>
              <w:ind w:left="355"/>
              <w:rPr>
                <w:rFonts w:hint="eastAsia" w:ascii="仿宋" w:hAnsi="仿宋" w:eastAsia="仿宋" w:cs="仿宋"/>
                <w:sz w:val="18"/>
                <w:szCs w:val="18"/>
              </w:rPr>
            </w:pPr>
            <w:r>
              <w:rPr>
                <w:rFonts w:hint="eastAsia" w:ascii="仿宋" w:hAnsi="仿宋" w:eastAsia="仿宋" w:cs="仿宋"/>
                <w:spacing w:val="80"/>
                <w:sz w:val="18"/>
                <w:szCs w:val="18"/>
              </w:rPr>
              <w:t>1</w:t>
            </w:r>
            <w:r>
              <w:rPr>
                <w:rFonts w:hint="eastAsia" w:ascii="仿宋" w:hAnsi="仿宋" w:eastAsia="仿宋" w:cs="仿宋"/>
                <w:sz w:val="18"/>
                <w:szCs w:val="18"/>
              </w:rPr>
              <w:t>OOOOOO</w:t>
            </w:r>
          </w:p>
        </w:tc>
        <w:tc>
          <w:tcPr>
            <w:tcW w:w="1462" w:type="dxa"/>
            <w:tcBorders>
              <w:top w:val="single" w:color="000000" w:sz="2" w:space="0"/>
              <w:bottom w:val="single" w:color="000000" w:sz="2" w:space="0"/>
            </w:tcBorders>
            <w:vAlign w:val="top"/>
          </w:tcPr>
          <w:p>
            <w:pPr>
              <w:spacing w:before="111" w:line="194" w:lineRule="auto"/>
              <w:ind w:left="459"/>
              <w:rPr>
                <w:rFonts w:hint="eastAsia" w:ascii="仿宋" w:hAnsi="仿宋" w:eastAsia="仿宋" w:cs="仿宋"/>
                <w:sz w:val="18"/>
                <w:szCs w:val="18"/>
              </w:rPr>
            </w:pPr>
            <w:r>
              <w:rPr>
                <w:rFonts w:hint="eastAsia" w:ascii="仿宋" w:hAnsi="仿宋" w:eastAsia="仿宋" w:cs="仿宋"/>
                <w:spacing w:val="16"/>
                <w:sz w:val="18"/>
                <w:szCs w:val="18"/>
              </w:rPr>
              <w:t>2</w:t>
            </w:r>
            <w:r>
              <w:rPr>
                <w:rFonts w:hint="eastAsia" w:ascii="仿宋" w:hAnsi="仿宋" w:eastAsia="仿宋" w:cs="仿宋"/>
                <w:spacing w:val="13"/>
                <w:sz w:val="18"/>
                <w:szCs w:val="18"/>
              </w:rPr>
              <w:t>37000</w:t>
            </w:r>
          </w:p>
        </w:tc>
        <w:tc>
          <w:tcPr>
            <w:tcW w:w="1462" w:type="dxa"/>
            <w:tcBorders>
              <w:top w:val="single" w:color="000000" w:sz="2" w:space="0"/>
              <w:bottom w:val="single" w:color="000000" w:sz="2" w:space="0"/>
            </w:tcBorders>
            <w:vAlign w:val="top"/>
          </w:tcPr>
          <w:p>
            <w:pPr>
              <w:spacing w:before="111" w:line="194" w:lineRule="auto"/>
              <w:ind w:left="465"/>
              <w:rPr>
                <w:rFonts w:hint="eastAsia" w:ascii="仿宋" w:hAnsi="仿宋" w:eastAsia="仿宋" w:cs="仿宋"/>
                <w:sz w:val="18"/>
                <w:szCs w:val="18"/>
              </w:rPr>
            </w:pPr>
            <w:r>
              <w:rPr>
                <w:rFonts w:hint="eastAsia" w:ascii="仿宋" w:hAnsi="仿宋" w:eastAsia="仿宋" w:cs="仿宋"/>
                <w:spacing w:val="16"/>
                <w:sz w:val="18"/>
                <w:szCs w:val="18"/>
              </w:rPr>
              <w:t>1</w:t>
            </w:r>
            <w:r>
              <w:rPr>
                <w:rFonts w:hint="eastAsia" w:ascii="仿宋" w:hAnsi="仿宋" w:eastAsia="仿宋" w:cs="仿宋"/>
                <w:spacing w:val="12"/>
                <w:sz w:val="18"/>
                <w:szCs w:val="18"/>
              </w:rPr>
              <w:t>02000</w:t>
            </w:r>
          </w:p>
        </w:tc>
        <w:tc>
          <w:tcPr>
            <w:tcW w:w="1462" w:type="dxa"/>
            <w:tcBorders>
              <w:top w:val="single" w:color="000000" w:sz="2" w:space="0"/>
              <w:bottom w:val="single" w:color="000000" w:sz="2" w:space="0"/>
            </w:tcBorders>
            <w:vAlign w:val="top"/>
          </w:tcPr>
          <w:p>
            <w:pPr>
              <w:spacing w:before="111" w:line="194" w:lineRule="auto"/>
              <w:ind w:left="508"/>
              <w:rPr>
                <w:rFonts w:hint="eastAsia" w:ascii="仿宋" w:hAnsi="仿宋" w:eastAsia="仿宋" w:cs="仿宋"/>
                <w:sz w:val="18"/>
                <w:szCs w:val="18"/>
              </w:rPr>
            </w:pPr>
            <w:r>
              <w:rPr>
                <w:rFonts w:hint="eastAsia" w:ascii="仿宋" w:hAnsi="仿宋" w:eastAsia="仿宋" w:cs="仿宋"/>
                <w:spacing w:val="13"/>
                <w:sz w:val="18"/>
                <w:szCs w:val="18"/>
              </w:rPr>
              <w:t>35200</w:t>
            </w:r>
          </w:p>
        </w:tc>
        <w:tc>
          <w:tcPr>
            <w:tcW w:w="1462" w:type="dxa"/>
            <w:tcBorders>
              <w:top w:val="single" w:color="000000" w:sz="2" w:space="0"/>
              <w:bottom w:val="single" w:color="000000" w:sz="2" w:space="0"/>
            </w:tcBorders>
            <w:vAlign w:val="top"/>
          </w:tcPr>
          <w:p>
            <w:pPr>
              <w:spacing w:before="110" w:line="194" w:lineRule="auto"/>
              <w:ind w:left="554"/>
              <w:rPr>
                <w:rFonts w:hint="eastAsia" w:ascii="仿宋" w:hAnsi="仿宋" w:eastAsia="仿宋" w:cs="仿宋"/>
                <w:sz w:val="18"/>
                <w:szCs w:val="18"/>
              </w:rPr>
            </w:pPr>
            <w:r>
              <w:rPr>
                <w:rFonts w:hint="eastAsia" w:ascii="仿宋" w:hAnsi="仿宋" w:eastAsia="仿宋" w:cs="仿宋"/>
                <w:spacing w:val="13"/>
                <w:sz w:val="18"/>
                <w:szCs w:val="18"/>
              </w:rPr>
              <w:t>832</w:t>
            </w:r>
            <w:r>
              <w:rPr>
                <w:rFonts w:hint="eastAsia" w:ascii="仿宋" w:hAnsi="仿宋" w:eastAsia="仿宋" w:cs="仿宋"/>
                <w:spacing w:val="12"/>
                <w:sz w:val="18"/>
                <w:szCs w:val="18"/>
              </w:rPr>
              <w:t>0</w:t>
            </w:r>
          </w:p>
        </w:tc>
        <w:tc>
          <w:tcPr>
            <w:tcW w:w="1487" w:type="dxa"/>
            <w:tcBorders>
              <w:top w:val="single" w:color="000000" w:sz="2" w:space="0"/>
              <w:bottom w:val="single" w:color="000000" w:sz="2" w:space="0"/>
            </w:tcBorders>
            <w:vAlign w:val="top"/>
          </w:tcPr>
          <w:p>
            <w:pPr>
              <w:spacing w:before="111" w:line="194" w:lineRule="auto"/>
              <w:ind w:left="612"/>
              <w:rPr>
                <w:rFonts w:hint="eastAsia" w:ascii="仿宋" w:hAnsi="仿宋" w:eastAsia="仿宋" w:cs="仿宋"/>
                <w:sz w:val="18"/>
                <w:szCs w:val="18"/>
              </w:rPr>
            </w:pPr>
            <w:r>
              <w:rPr>
                <w:rFonts w:hint="eastAsia" w:ascii="仿宋" w:hAnsi="仿宋" w:eastAsia="仿宋" w:cs="仿宋"/>
                <w:spacing w:val="12"/>
                <w:sz w:val="18"/>
                <w:szCs w:val="18"/>
              </w:rPr>
              <w:t>2</w:t>
            </w:r>
            <w:r>
              <w:rPr>
                <w:rFonts w:hint="eastAsia" w:ascii="仿宋" w:hAnsi="仿宋" w:eastAsia="仿宋" w:cs="仿宋"/>
                <w:spacing w:val="11"/>
                <w:sz w:val="18"/>
                <w:szCs w:val="18"/>
              </w:rPr>
              <w:t>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13" w:line="192" w:lineRule="auto"/>
              <w:ind w:left="728"/>
              <w:rPr>
                <w:rFonts w:hint="eastAsia" w:ascii="仿宋" w:hAnsi="仿宋" w:eastAsia="仿宋" w:cs="仿宋"/>
                <w:sz w:val="18"/>
                <w:szCs w:val="18"/>
              </w:rPr>
            </w:pPr>
            <w:r>
              <w:rPr>
                <w:rFonts w:hint="eastAsia" w:ascii="仿宋" w:hAnsi="仿宋" w:eastAsia="仿宋" w:cs="仿宋"/>
                <w:spacing w:val="2"/>
                <w:sz w:val="18"/>
                <w:szCs w:val="18"/>
              </w:rPr>
              <w:t>7</w:t>
            </w: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spacing w:before="111" w:line="194" w:lineRule="auto"/>
              <w:ind w:left="462"/>
              <w:rPr>
                <w:rFonts w:hint="eastAsia" w:ascii="仿宋" w:hAnsi="仿宋" w:eastAsia="仿宋" w:cs="仿宋"/>
                <w:sz w:val="18"/>
                <w:szCs w:val="18"/>
              </w:rPr>
            </w:pPr>
            <w:r>
              <w:rPr>
                <w:rFonts w:hint="eastAsia" w:ascii="仿宋" w:hAnsi="仿宋" w:eastAsia="仿宋" w:cs="仿宋"/>
                <w:spacing w:val="16"/>
                <w:sz w:val="18"/>
                <w:szCs w:val="18"/>
              </w:rPr>
              <w:t>3</w:t>
            </w:r>
            <w:r>
              <w:rPr>
                <w:rFonts w:hint="eastAsia" w:ascii="仿宋" w:hAnsi="仿宋" w:eastAsia="仿宋" w:cs="仿宋"/>
                <w:spacing w:val="13"/>
                <w:sz w:val="18"/>
                <w:szCs w:val="18"/>
              </w:rPr>
              <w:t>52000</w:t>
            </w:r>
          </w:p>
        </w:tc>
        <w:tc>
          <w:tcPr>
            <w:tcW w:w="1462" w:type="dxa"/>
            <w:tcBorders>
              <w:top w:val="single" w:color="000000" w:sz="2" w:space="0"/>
              <w:bottom w:val="single" w:color="000000" w:sz="2" w:space="0"/>
            </w:tcBorders>
            <w:vAlign w:val="top"/>
          </w:tcPr>
          <w:p>
            <w:pPr>
              <w:spacing w:before="111" w:line="194" w:lineRule="auto"/>
              <w:ind w:left="508"/>
              <w:rPr>
                <w:rFonts w:hint="eastAsia" w:ascii="仿宋" w:hAnsi="仿宋" w:eastAsia="仿宋" w:cs="仿宋"/>
                <w:sz w:val="18"/>
                <w:szCs w:val="18"/>
              </w:rPr>
            </w:pPr>
            <w:r>
              <w:rPr>
                <w:rFonts w:hint="eastAsia" w:ascii="仿宋" w:hAnsi="仿宋" w:eastAsia="仿宋" w:cs="仿宋"/>
                <w:spacing w:val="14"/>
                <w:sz w:val="18"/>
                <w:szCs w:val="18"/>
              </w:rPr>
              <w:t>8</w:t>
            </w:r>
            <w:r>
              <w:rPr>
                <w:rFonts w:hint="eastAsia" w:ascii="仿宋" w:hAnsi="仿宋" w:eastAsia="仿宋" w:cs="仿宋"/>
                <w:spacing w:val="13"/>
                <w:sz w:val="18"/>
                <w:szCs w:val="18"/>
              </w:rPr>
              <w:t>3200</w:t>
            </w:r>
          </w:p>
        </w:tc>
        <w:tc>
          <w:tcPr>
            <w:tcW w:w="1487" w:type="dxa"/>
            <w:tcBorders>
              <w:top w:val="single" w:color="000000" w:sz="2" w:space="0"/>
              <w:bottom w:val="single" w:color="000000" w:sz="2" w:space="0"/>
            </w:tcBorders>
            <w:vAlign w:val="top"/>
          </w:tcPr>
          <w:p>
            <w:pPr>
              <w:spacing w:before="111" w:line="194" w:lineRule="auto"/>
              <w:ind w:left="566"/>
              <w:rPr>
                <w:rFonts w:hint="eastAsia" w:ascii="仿宋" w:hAnsi="仿宋" w:eastAsia="仿宋" w:cs="仿宋"/>
                <w:sz w:val="18"/>
                <w:szCs w:val="18"/>
              </w:rPr>
            </w:pPr>
            <w:r>
              <w:rPr>
                <w:rFonts w:hint="eastAsia" w:ascii="仿宋" w:hAnsi="仿宋" w:eastAsia="仿宋" w:cs="仿宋"/>
                <w:spacing w:val="14"/>
                <w:sz w:val="18"/>
                <w:szCs w:val="18"/>
              </w:rPr>
              <w:t>2</w:t>
            </w:r>
            <w:r>
              <w:rPr>
                <w:rFonts w:hint="eastAsia" w:ascii="仿宋" w:hAnsi="仿宋" w:eastAsia="仿宋" w:cs="仿宋"/>
                <w:spacing w:val="12"/>
                <w:sz w:val="18"/>
                <w:szCs w:val="18"/>
              </w:rPr>
              <w:t>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538" w:type="dxa"/>
            <w:tcBorders>
              <w:top w:val="single" w:color="000000" w:sz="2" w:space="0"/>
              <w:bottom w:val="single" w:color="000000" w:sz="2" w:space="0"/>
            </w:tcBorders>
            <w:vAlign w:val="top"/>
          </w:tcPr>
          <w:p>
            <w:pPr>
              <w:spacing w:before="112" w:line="194" w:lineRule="auto"/>
              <w:ind w:left="726"/>
              <w:rPr>
                <w:rFonts w:hint="eastAsia" w:ascii="仿宋" w:hAnsi="仿宋" w:eastAsia="仿宋" w:cs="仿宋"/>
                <w:sz w:val="18"/>
                <w:szCs w:val="18"/>
              </w:rPr>
            </w:pPr>
            <w:r>
              <w:rPr>
                <w:rFonts w:hint="eastAsia" w:ascii="仿宋" w:hAnsi="仿宋" w:eastAsia="仿宋" w:cs="仿宋"/>
                <w:spacing w:val="4"/>
                <w:sz w:val="18"/>
                <w:szCs w:val="18"/>
              </w:rPr>
              <w:t>8</w:t>
            </w: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spacing w:before="112" w:line="194" w:lineRule="auto"/>
              <w:ind w:left="416"/>
              <w:rPr>
                <w:rFonts w:hint="eastAsia" w:ascii="仿宋" w:hAnsi="仿宋" w:eastAsia="仿宋" w:cs="仿宋"/>
                <w:sz w:val="18"/>
                <w:szCs w:val="18"/>
              </w:rPr>
            </w:pPr>
            <w:r>
              <w:rPr>
                <w:rFonts w:hint="eastAsia" w:ascii="仿宋" w:hAnsi="仿宋" w:eastAsia="仿宋" w:cs="仿宋"/>
                <w:spacing w:val="14"/>
                <w:sz w:val="18"/>
                <w:szCs w:val="18"/>
              </w:rPr>
              <w:t>352000</w:t>
            </w:r>
            <w:r>
              <w:rPr>
                <w:rFonts w:hint="eastAsia" w:ascii="仿宋" w:hAnsi="仿宋" w:eastAsia="仿宋" w:cs="仿宋"/>
                <w:spacing w:val="13"/>
                <w:sz w:val="18"/>
                <w:szCs w:val="18"/>
              </w:rPr>
              <w:t>0</w:t>
            </w:r>
          </w:p>
        </w:tc>
        <w:tc>
          <w:tcPr>
            <w:tcW w:w="1462" w:type="dxa"/>
            <w:tcBorders>
              <w:top w:val="single" w:color="000000" w:sz="2" w:space="0"/>
              <w:bottom w:val="single" w:color="000000" w:sz="2" w:space="0"/>
            </w:tcBorders>
            <w:vAlign w:val="top"/>
          </w:tcPr>
          <w:p>
            <w:pPr>
              <w:spacing w:before="112" w:line="194" w:lineRule="auto"/>
              <w:ind w:left="462"/>
              <w:rPr>
                <w:rFonts w:hint="eastAsia" w:ascii="仿宋" w:hAnsi="仿宋" w:eastAsia="仿宋" w:cs="仿宋"/>
                <w:sz w:val="18"/>
                <w:szCs w:val="18"/>
              </w:rPr>
            </w:pPr>
            <w:r>
              <w:rPr>
                <w:rFonts w:hint="eastAsia" w:ascii="仿宋" w:hAnsi="仿宋" w:eastAsia="仿宋" w:cs="仿宋"/>
                <w:spacing w:val="17"/>
                <w:sz w:val="18"/>
                <w:szCs w:val="18"/>
              </w:rPr>
              <w:t>8</w:t>
            </w:r>
            <w:r>
              <w:rPr>
                <w:rFonts w:hint="eastAsia" w:ascii="仿宋" w:hAnsi="仿宋" w:eastAsia="仿宋" w:cs="仿宋"/>
                <w:spacing w:val="13"/>
                <w:sz w:val="18"/>
                <w:szCs w:val="18"/>
              </w:rPr>
              <w:t>32000</w:t>
            </w:r>
          </w:p>
        </w:tc>
        <w:tc>
          <w:tcPr>
            <w:tcW w:w="1487" w:type="dxa"/>
            <w:tcBorders>
              <w:top w:val="single" w:color="000000" w:sz="2" w:space="0"/>
              <w:bottom w:val="single" w:color="000000" w:sz="2" w:space="0"/>
            </w:tcBorders>
            <w:vAlign w:val="top"/>
          </w:tcPr>
          <w:p>
            <w:pPr>
              <w:spacing w:before="112" w:line="194" w:lineRule="auto"/>
              <w:ind w:left="520"/>
              <w:rPr>
                <w:rFonts w:hint="eastAsia" w:ascii="仿宋" w:hAnsi="仿宋" w:eastAsia="仿宋" w:cs="仿宋"/>
                <w:sz w:val="18"/>
                <w:szCs w:val="18"/>
              </w:rPr>
            </w:pPr>
            <w:r>
              <w:rPr>
                <w:rFonts w:hint="eastAsia" w:ascii="仿宋" w:hAnsi="仿宋" w:eastAsia="仿宋" w:cs="仿宋"/>
                <w:spacing w:val="14"/>
                <w:sz w:val="18"/>
                <w:szCs w:val="18"/>
              </w:rPr>
              <w:t>2</w:t>
            </w:r>
            <w:r>
              <w:rPr>
                <w:rFonts w:hint="eastAsia" w:ascii="仿宋" w:hAnsi="仿宋" w:eastAsia="仿宋" w:cs="仿宋"/>
                <w:spacing w:val="13"/>
                <w:sz w:val="18"/>
                <w:szCs w:val="18"/>
              </w:rPr>
              <w:t>9300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538" w:type="dxa"/>
            <w:tcBorders>
              <w:top w:val="single" w:color="000000" w:sz="2" w:space="0"/>
              <w:bottom w:val="single" w:color="000000" w:sz="2" w:space="0"/>
            </w:tcBorders>
            <w:vAlign w:val="top"/>
          </w:tcPr>
          <w:p>
            <w:pPr>
              <w:spacing w:before="113" w:line="194" w:lineRule="auto"/>
              <w:ind w:left="725"/>
              <w:rPr>
                <w:rFonts w:hint="eastAsia" w:ascii="仿宋" w:hAnsi="仿宋" w:eastAsia="仿宋" w:cs="仿宋"/>
                <w:sz w:val="18"/>
                <w:szCs w:val="18"/>
              </w:rPr>
            </w:pPr>
            <w:r>
              <w:rPr>
                <w:rFonts w:hint="eastAsia" w:ascii="仿宋" w:hAnsi="仿宋" w:eastAsia="仿宋" w:cs="仿宋"/>
                <w:spacing w:val="4"/>
                <w:sz w:val="18"/>
                <w:szCs w:val="18"/>
              </w:rPr>
              <w:t>9</w:t>
            </w: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rPr>
                <w:rFonts w:hint="eastAsia" w:ascii="仿宋" w:hAnsi="仿宋" w:eastAsia="仿宋" w:cs="仿宋"/>
                <w:sz w:val="18"/>
                <w:szCs w:val="18"/>
              </w:rPr>
            </w:pPr>
          </w:p>
        </w:tc>
        <w:tc>
          <w:tcPr>
            <w:tcW w:w="1462" w:type="dxa"/>
            <w:tcBorders>
              <w:top w:val="single" w:color="000000" w:sz="2" w:space="0"/>
              <w:bottom w:val="single" w:color="000000" w:sz="2" w:space="0"/>
            </w:tcBorders>
            <w:vAlign w:val="top"/>
          </w:tcPr>
          <w:p>
            <w:pPr>
              <w:spacing w:before="113" w:line="194" w:lineRule="auto"/>
              <w:ind w:left="370"/>
              <w:rPr>
                <w:rFonts w:hint="eastAsia" w:ascii="仿宋" w:hAnsi="仿宋" w:eastAsia="仿宋" w:cs="仿宋"/>
                <w:sz w:val="18"/>
                <w:szCs w:val="18"/>
              </w:rPr>
            </w:pPr>
            <w:r>
              <w:rPr>
                <w:rFonts w:hint="eastAsia" w:ascii="仿宋" w:hAnsi="仿宋" w:eastAsia="仿宋" w:cs="仿宋"/>
                <w:spacing w:val="14"/>
                <w:sz w:val="18"/>
                <w:szCs w:val="18"/>
              </w:rPr>
              <w:t>35200000</w:t>
            </w:r>
          </w:p>
        </w:tc>
        <w:tc>
          <w:tcPr>
            <w:tcW w:w="1462" w:type="dxa"/>
            <w:tcBorders>
              <w:top w:val="single" w:color="000000" w:sz="2" w:space="0"/>
              <w:bottom w:val="single" w:color="000000" w:sz="2" w:space="0"/>
            </w:tcBorders>
            <w:vAlign w:val="top"/>
          </w:tcPr>
          <w:p>
            <w:pPr>
              <w:spacing w:before="113" w:line="194" w:lineRule="auto"/>
              <w:ind w:left="416"/>
              <w:rPr>
                <w:rFonts w:hint="eastAsia" w:ascii="仿宋" w:hAnsi="仿宋" w:eastAsia="仿宋" w:cs="仿宋"/>
                <w:sz w:val="18"/>
                <w:szCs w:val="18"/>
              </w:rPr>
            </w:pPr>
            <w:r>
              <w:rPr>
                <w:rFonts w:hint="eastAsia" w:ascii="仿宋" w:hAnsi="仿宋" w:eastAsia="仿宋" w:cs="仿宋"/>
                <w:spacing w:val="14"/>
                <w:sz w:val="18"/>
                <w:szCs w:val="18"/>
              </w:rPr>
              <w:t>8320000</w:t>
            </w:r>
          </w:p>
        </w:tc>
        <w:tc>
          <w:tcPr>
            <w:tcW w:w="1487" w:type="dxa"/>
            <w:tcBorders>
              <w:top w:val="single" w:color="000000" w:sz="2" w:space="0"/>
              <w:bottom w:val="single" w:color="000000" w:sz="2" w:space="0"/>
            </w:tcBorders>
            <w:vAlign w:val="top"/>
          </w:tcPr>
          <w:p>
            <w:pPr>
              <w:spacing w:before="113" w:line="194" w:lineRule="auto"/>
              <w:ind w:left="474"/>
              <w:rPr>
                <w:rFonts w:hint="eastAsia" w:ascii="仿宋" w:hAnsi="仿宋" w:eastAsia="仿宋" w:cs="仿宋"/>
                <w:sz w:val="18"/>
                <w:szCs w:val="18"/>
              </w:rPr>
            </w:pPr>
            <w:r>
              <w:rPr>
                <w:rFonts w:hint="eastAsia" w:ascii="仿宋" w:hAnsi="仿宋" w:eastAsia="仿宋" w:cs="仿宋"/>
                <w:spacing w:val="16"/>
                <w:sz w:val="18"/>
                <w:szCs w:val="18"/>
              </w:rPr>
              <w:t>2</w:t>
            </w:r>
            <w:r>
              <w:rPr>
                <w:rFonts w:hint="eastAsia" w:ascii="仿宋" w:hAnsi="仿宋" w:eastAsia="仿宋" w:cs="仿宋"/>
                <w:spacing w:val="13"/>
                <w:sz w:val="18"/>
                <w:szCs w:val="18"/>
              </w:rPr>
              <w:t>93000</w:t>
            </w:r>
          </w:p>
        </w:tc>
      </w:tr>
    </w:tbl>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或标准二： 美国联邦标准209E（1992年）</w:t>
      </w:r>
    </w:p>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6078855" cy="2170430"/>
            <wp:effectExtent l="0" t="0" r="17145"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6078855" cy="2170430"/>
                    </a:xfrm>
                    <a:prstGeom prst="rect">
                      <a:avLst/>
                    </a:prstGeom>
                    <a:solidFill>
                      <a:srgbClr val="000000">
                        <a:alpha val="50195"/>
                      </a:srgbClr>
                    </a:solidFill>
                    <a:ln>
                      <a:noFill/>
                    </a:ln>
                  </pic:spPr>
                </pic:pic>
              </a:graphicData>
            </a:graphic>
          </wp:inline>
        </w:drawing>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以上使用的检测设备自备及检测所产生的费用包含在响应报价中。</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4.包装、保险及发运、保管要求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（1）空气过滤器的包装应是制造商原厂包装，其包装均应有良好的防湿、防锈、防潮、防雨、防腐及防碰撞的措施。凡由于包装不良造成的损失和由此产生的费用均由供应商承担。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（2）成交供应商负责将空气过滤器货物到现场过程中的全部运输，包括装卸车、货物现场的搬运。</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（3）供应商应提供各类空气过滤器装箱清单，采购人按装箱清单验收货物。</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（4）货物在现场的保管由成交供应商负责，直至项目安装、验收完毕。</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（5）货物在系统安装调试验收合格前的保险由成交供应商负责，成交供应商负责其派出的现场服务人员人身意外保险。</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（6）各院区空气过滤器至采购人指定的使用现场的包装、保险及发运等环节和费用均由成交供应商负责。</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5.质量保证要求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（1）供应商无偿提供基本操作培训和常见故障排除培训（≥1次/年），此项费用包含在响应报价中。</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★（2）为保证高效空气过滤器产品质量，成交供应商交货时须提供HV超细玻璃纤维滤纸材料来料证明的相关文件。</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（3）所有货物保修服务方式均为成交供应商上门保修，即由成交供应商派员到货物使用现场维修，由此产生的一切费用均由成交供应商承担。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本项目货物为易耗品，按需供货并更换，故所有规格自更换之日起至下一次更换时，此时间段为该型号货物的质保期。质保期内出现的非人为因素导致的货物功能丧失、破损等质量问题，成交供应商须及时免费更换并整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6.交货期、地点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（1）交货期：按既定更换频率或每次接到采购人通知后15日历日内送货至采购人指定地点并安装验收合格。</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（2）交货地点：采购人指定地点。 </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七、验收要求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1．采购标的需执行的国家标准：中华人民共和国国家标准《空气过滤器》（GB/T 14295-2019）。</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2．所有过滤器的拆箱、安装、调试等各项工作由成交供应商负责，但需在采购人指定人员的参与下进行。调试的原始记录须经各方签字后作为验收的文件之一。</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3．所有过滤器在开箱时应完好，无破损。数量、质量及性能不低于本比选文件中提出的要求。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4．验收由采购人、成交供应商及相关人员依国家有关标准、合同及有关附件要求进行。</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验收（履约）标准：成交供应商所供货物应符合中华人民共和国国家安全质量标准、环保标准或行业标准；符合比选文件和响应承诺中采购人认可的参数及各项要求。验收标准以成交供应商响应样品和响应文件为准，如发现所交付的货物有短装、次品、损坏或其它不符合本合同规定之情形者，采购人应作现场记录，或由双方签署备忘录。此现场记录或备忘录可用作补充和更换损坏、缺失部件的有效证据。由此产生的有关费用由供应商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八、履约保证金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成交供应商需缴纳履约保证金，按人民币叁万元整（¥30000.00）收取。供货期结束后或双方协商解除合同后，采购人将无息退还履约保证金给成交供应商。成交供应商在合同签署后15个工作日内以非现金形式向采购人支付履约保证金，逾期不缴纳视为放弃此次供货协议，成交供应商将承担所有责任后果。</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2.供货期结束后采购人收到成交供应商退还履约保证金申请之日起30个工作日内一次性无息退还成交供应商。</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下列任何一种情况发生时，采购人有权不予退还履约保证金：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①有明显证据证明成交供应商未完全履行本合同约定的；</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②成交供应商有明显过错致采购人造成损失的。</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九、报价要求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本项目采用下浮率的报价形式，下浮率由各供应商自行报价，响应下浮率不可改变。下浮率不能为负数，且是固定唯一，不能为区间值。供应商若成交，响应单价[对应品种货物的单价限价×（1-成交下浮率）]不可改变，供货时按采购人需求的实际品种数量采购及办理合同结算手续。</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报价中应包括但不限于以下全部费用：货物价格、包装费、安装费、检测费、保险费、运输费、备品备件专用工具费、装卸费、搬运费、二次搬运费、保管费、就位费、验收费、培训费、售后服务费、综合费率、总利润、税金等、施工中可能发生的一切费用。</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十、结算方式</w:t>
      </w:r>
    </w:p>
    <w:p>
      <w:pPr>
        <w:pStyle w:val="22"/>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结算价格＝对应品种货物的单价限价×（1-成交下浮率）×经采购人确认的实际供货量。</w:t>
      </w:r>
    </w:p>
    <w:p>
      <w:pPr>
        <w:pStyle w:val="22"/>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成交供应商按照采购人要求将所有货物送达并安装至指定地点，</w:t>
      </w:r>
      <w:r>
        <w:rPr>
          <w:rFonts w:hint="eastAsia" w:ascii="仿宋" w:hAnsi="仿宋" w:eastAsia="仿宋" w:cs="仿宋"/>
          <w:color w:val="000000" w:themeColor="text1"/>
          <w:sz w:val="24"/>
          <w:szCs w:val="24"/>
          <w:highlight w:val="none"/>
          <w14:textFill>
            <w14:solidFill>
              <w14:schemeClr w14:val="tx1"/>
            </w14:solidFill>
          </w14:textFill>
        </w:rPr>
        <w:t>货物</w:t>
      </w:r>
      <w:r>
        <w:rPr>
          <w:rFonts w:hint="eastAsia" w:ascii="仿宋" w:hAnsi="仿宋" w:eastAsia="仿宋" w:cs="仿宋"/>
          <w:color w:val="000000" w:themeColor="text1"/>
          <w:sz w:val="24"/>
          <w:szCs w:val="24"/>
          <w:highlight w:val="none"/>
          <w:lang w:val="en-US" w:eastAsia="zh-CN"/>
          <w14:textFill>
            <w14:solidFill>
              <w14:schemeClr w14:val="tx1"/>
            </w14:solidFill>
          </w14:textFill>
        </w:rPr>
        <w:t>品种和数量</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以采购人验收合格为准。</w:t>
      </w:r>
    </w:p>
    <w:p>
      <w:pPr>
        <w:pStyle w:val="22"/>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每季度按实结算货款，根据上一季度送货的品种和数量，按成交单价[对应品种货物的单价限价×（1-成交下浮率）]结算。成交供应商于每季度结束后的次月10日前凭正式发票及经采购人确认的送货清单，向采购人提出付款申请。采购人收到申请审核无误后60日内向供应商支付结算款项。</w:t>
      </w:r>
    </w:p>
    <w:p>
      <w:pPr>
        <w:pStyle w:val="22"/>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付款方式：采用支票、银行汇付（含电汇）等形式。</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FF"/>
          <w:sz w:val="24"/>
          <w:szCs w:val="24"/>
          <w:highlight w:val="none"/>
          <w:lang w:val="en-US" w:eastAsia="zh-CN"/>
        </w:rPr>
      </w:pPr>
      <w:r>
        <w:rPr>
          <w:rFonts w:hint="eastAsia" w:ascii="仿宋" w:hAnsi="仿宋" w:eastAsia="仿宋" w:cs="仿宋"/>
          <w:b/>
          <w:bCs/>
          <w:color w:val="auto"/>
          <w:sz w:val="24"/>
          <w:szCs w:val="24"/>
          <w:highlight w:val="none"/>
          <w:lang w:val="en-US" w:eastAsia="zh-CN"/>
        </w:rPr>
        <w:t>十一</w:t>
      </w:r>
      <w:r>
        <w:rPr>
          <w:rFonts w:hint="eastAsia" w:ascii="仿宋" w:hAnsi="仿宋" w:eastAsia="仿宋" w:cs="仿宋"/>
          <w:b/>
          <w:color w:val="000000" w:themeColor="text1"/>
          <w:sz w:val="24"/>
          <w:szCs w:val="24"/>
          <w:highlight w:val="none"/>
          <w:lang w:val="en-US" w:eastAsia="zh-CN"/>
          <w14:textFill>
            <w14:solidFill>
              <w14:schemeClr w14:val="tx1"/>
            </w14:solidFill>
          </w14:textFill>
        </w:rPr>
        <w:t>、违约责任</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采购人有按时与供应商结算货款的义务。</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逾期交货或交货少于合同规定的，如采购人仍然需要的，成交供应商应如数补交，并向采购人偿付逾期货或少交部分货物总值的15％的违约金；如采购人不需要的，除不予以结算该批次货品以外，成交供应商应按逾期或少交部分货款总值50％的违约金。</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交付的货品规格、型号、技术参数与响应文件或比选文件不符时，采购人有权拒收且不予以结算，并且成交供应商需向采购人偿付不合格货物总值的50％的违约金。一批次送货5个品种货物出现这类情况的和单一品种每月累计出现3次这类情况的，按违约处理，采购人有权终止合同，不予退还履约保证金。</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若成交供应商不供应采购人指定型号、规格、技术指标的货物，提出书面申请要更换成其他型号、规格和技术指标货物的，但经采购人证实指定型号、规格和技术指标的货物在市场上是有充裕货源的，此类情况出现3次及以上，按违约处理，采购人有权终止合同，不予退还履约保证金。</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采购人在收货时或在使用货品过程明确指出成交供应商供货质量与比选文件及响应文件不符的，成交供应商应无条件退换。成交供应商对于出现不符合质量、服务标准的产品实行包退包换；成交供应商须于接到采购人通知的1个工作日内，派专业人员上门服务，在3个工作日内保证按要求完成更换等服务。</w:t>
      </w:r>
    </w:p>
    <w:p>
      <w:pPr>
        <w:pStyle w:val="22"/>
        <w:keepNext w:val="0"/>
        <w:keepLines w:val="0"/>
        <w:pageBreakBefore w:val="0"/>
        <w:widowControl w:val="0"/>
        <w:numPr>
          <w:ilvl w:val="0"/>
          <w:numId w:val="8"/>
        </w:numPr>
        <w:kinsoku/>
        <w:wordWrap/>
        <w:overflowPunct/>
        <w:topLinePunct w:val="0"/>
        <w:autoSpaceDE/>
        <w:autoSpaceDN/>
        <w:bidi w:val="0"/>
        <w:adjustRightInd w:val="0"/>
        <w:snapToGrid w:val="0"/>
        <w:spacing w:after="0"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双方在货物质量上存在异议且协商不成时，经第三方检测机构鉴定成交供应商所供货品确为伪劣商品或不符合比选文件要求的，采购人有权拒收，成交供应商需向采购人偿付不合格货物总值的三倍违约金；情节严重的，采购人有权终止合同，不予退还履约保证金，成交供应商应承担货品的检测费用及违约费用并负一切法律责任。</w:t>
      </w:r>
    </w:p>
    <w:p>
      <w:pPr>
        <w:keepNext w:val="0"/>
        <w:keepLines w:val="0"/>
        <w:pageBreakBefore w:val="0"/>
        <w:widowControl/>
        <w:numPr>
          <w:ilvl w:val="0"/>
          <w:numId w:val="8"/>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工作人员须服从采购人的管理，保持良好的服务态度、服务质量，不能与采购人工作人员、患者或家属等人员发生口角冲突、打架等情况，供货期内发生上述情况，第1次扣罚500元、第2次扣罚5000元、此类情况出现3次及以上的，采购人有权终止合同并不予退还履约保证金。</w:t>
      </w:r>
    </w:p>
    <w:p>
      <w:pPr>
        <w:keepNext w:val="0"/>
        <w:keepLines w:val="0"/>
        <w:pageBreakBefore w:val="0"/>
        <w:widowControl/>
        <w:numPr>
          <w:ilvl w:val="0"/>
          <w:numId w:val="8"/>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成交供应商转包或分包本项目的，按违约处理，采购人有权终止合同，不予退还履约保证金，成交供应商承担一切违约责任。</w:t>
      </w:r>
    </w:p>
    <w:p>
      <w:pPr>
        <w:keepNext w:val="0"/>
        <w:keepLines w:val="0"/>
        <w:pageBreakBefore w:val="0"/>
        <w:widowControl/>
        <w:numPr>
          <w:ilvl w:val="0"/>
          <w:numId w:val="8"/>
        </w:numPr>
        <w:suppressLineNumbers w:val="0"/>
        <w:kinsoku/>
        <w:wordWrap/>
        <w:overflowPunct/>
        <w:topLinePunct w:val="0"/>
        <w:autoSpaceDE/>
        <w:autoSpaceDN/>
        <w:bidi w:val="0"/>
        <w:adjustRightInd w:val="0"/>
        <w:snapToGrid w:val="0"/>
        <w:spacing w:line="360" w:lineRule="exact"/>
        <w:ind w:left="0" w:leftChars="0" w:firstLine="400" w:firstLineChars="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其它违约责任按合同其他条款约定及《中华人民共和国民法典》规定处理。</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第三章  </w:t>
      </w:r>
      <w:r>
        <w:rPr>
          <w:rFonts w:hint="eastAsia" w:ascii="微软雅黑" w:hAnsi="微软雅黑" w:eastAsia="微软雅黑" w:cs="微软雅黑"/>
          <w:color w:val="000000"/>
          <w:highlight w:val="none"/>
          <w:lang w:val="en-US" w:eastAsia="zh-CN"/>
        </w:rPr>
        <w:t>响应</w:t>
      </w:r>
      <w:r>
        <w:rPr>
          <w:rFonts w:hint="eastAsia" w:ascii="微软雅黑" w:hAnsi="微软雅黑" w:eastAsia="微软雅黑" w:cs="微软雅黑"/>
          <w:color w:val="000000"/>
          <w:highlight w:val="none"/>
        </w:rPr>
        <w:t>须知</w:t>
      </w:r>
      <w:bookmarkEnd w:id="16"/>
      <w:bookmarkEnd w:id="17"/>
      <w:bookmarkEnd w:id="18"/>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bookmarkStart w:id="19" w:name="_Toc385940880"/>
      <w:r>
        <w:rPr>
          <w:rFonts w:hint="eastAsia" w:ascii="华文中宋" w:hAnsi="华文中宋" w:eastAsia="华文中宋" w:cs="华文中宋"/>
          <w:b/>
          <w:bCs/>
          <w:color w:val="000000"/>
          <w:sz w:val="36"/>
          <w:szCs w:val="36"/>
          <w:highlight w:val="none"/>
        </w:rPr>
        <w:t>响应须知</w:t>
      </w:r>
    </w:p>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比选文件</w:t>
      </w:r>
      <w:r>
        <w:rPr>
          <w:rFonts w:hint="eastAsia" w:ascii="仿宋" w:hAnsi="仿宋" w:eastAsia="仿宋" w:cs="仿宋"/>
          <w:color w:val="000000"/>
          <w:sz w:val="24"/>
          <w:szCs w:val="24"/>
          <w:highlight w:val="none"/>
        </w:rPr>
        <w:t>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3"/>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比选文件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比选邀请</w:t>
            </w:r>
            <w:r>
              <w:rPr>
                <w:rFonts w:hint="eastAsia" w:ascii="仿宋" w:hAnsi="仿宋" w:eastAsia="仿宋" w:cs="仿宋"/>
                <w:bCs/>
                <w:color w:val="000000"/>
                <w:szCs w:val="21"/>
                <w:highlight w:val="none"/>
              </w:rPr>
              <w:t>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采购比选会议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比选邀请</w:t>
      </w:r>
      <w:r>
        <w:rPr>
          <w:rFonts w:hint="eastAsia" w:ascii="仿宋" w:hAnsi="仿宋" w:eastAsia="仿宋" w:cs="仿宋"/>
          <w:color w:val="000000"/>
          <w:sz w:val="24"/>
          <w:szCs w:val="24"/>
          <w:highlight w:val="none"/>
        </w:rPr>
        <w:t>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采购比选会议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比选会议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三、采购比选会议和评审原则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1.报名结束后采购人组织采购比选会议。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比选文件的商务、技术中的实质性要求。对符合性评审认定意见不一致的，评审委员会按少数服从多数原则表决决定。</w:t>
      </w:r>
    </w:p>
    <w:p>
      <w:pPr>
        <w:pStyle w:val="30"/>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5.资格审查或符合性审查不通过的均视为无效响应。无效响应不能进入技术、商务及价格评审。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3"/>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lang w:eastAsia="zh-CN"/>
              </w:rPr>
            </w:pPr>
            <w:r>
              <w:rPr>
                <w:rFonts w:hint="eastAsia" w:ascii="仿宋" w:hAnsi="仿宋" w:eastAsia="仿宋" w:cs="仿宋"/>
                <w:sz w:val="20"/>
                <w:szCs w:val="20"/>
                <w:lang w:val="en-US" w:eastAsia="zh-CN"/>
              </w:rPr>
              <w:t>评审现场查询：经查询“信用中国”网站（www.creditchina.gov.cn）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法定代表人或单位负责人为同一人或者存在直接控股、管理关系的不同响应单位，不得参加同一合同项下的采购活动。（</w:t>
            </w:r>
            <w:r>
              <w:rPr>
                <w:rFonts w:hint="eastAsia" w:ascii="仿宋" w:hAnsi="仿宋" w:eastAsia="仿宋" w:cs="仿宋"/>
                <w:color w:val="000000"/>
                <w:sz w:val="20"/>
                <w:szCs w:val="20"/>
                <w:highlight w:val="none"/>
                <w:lang w:eastAsia="zh-CN"/>
              </w:rPr>
              <w:t>响应人</w:t>
            </w:r>
            <w:r>
              <w:rPr>
                <w:rFonts w:hint="eastAsia" w:ascii="仿宋" w:hAnsi="仿宋" w:eastAsia="仿宋" w:cs="仿宋"/>
                <w:color w:val="000000"/>
                <w:sz w:val="20"/>
                <w:szCs w:val="20"/>
                <w:highlight w:val="none"/>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4</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本项目不接受联合体响应，</w:t>
            </w:r>
            <w:r>
              <w:rPr>
                <w:rFonts w:hint="eastAsia" w:ascii="仿宋" w:hAnsi="仿宋" w:eastAsia="仿宋" w:cs="仿宋"/>
                <w:color w:val="000000"/>
                <w:sz w:val="20"/>
                <w:szCs w:val="20"/>
                <w:highlight w:val="none"/>
                <w:lang w:val="en-US" w:eastAsia="zh-CN"/>
              </w:rPr>
              <w:t>成交供应商不得以任何方式转包或分包本项目</w:t>
            </w:r>
            <w:r>
              <w:rPr>
                <w:rFonts w:hint="eastAsia" w:ascii="仿宋" w:hAnsi="仿宋" w:eastAsia="仿宋" w:cs="仿宋"/>
                <w:color w:val="000000"/>
                <w:sz w:val="20"/>
                <w:szCs w:val="20"/>
                <w:highlight w:val="none"/>
                <w:lang w:val="zh-CN"/>
              </w:rPr>
              <w:t>（</w:t>
            </w:r>
            <w:r>
              <w:rPr>
                <w:rFonts w:hint="eastAsia" w:ascii="仿宋" w:hAnsi="仿宋" w:eastAsia="仿宋" w:cs="仿宋"/>
                <w:color w:val="000000"/>
                <w:sz w:val="20"/>
                <w:szCs w:val="20"/>
                <w:highlight w:val="none"/>
                <w:lang w:val="en-US" w:eastAsia="zh-CN"/>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shd w:val="clear" w:color="auto" w:fill="FFFFFF"/>
                <w:lang w:val="en-US" w:eastAsia="zh-CN"/>
              </w:rPr>
            </w:pPr>
            <w:r>
              <w:rPr>
                <w:rFonts w:hint="eastAsia" w:ascii="仿宋" w:hAnsi="仿宋" w:eastAsia="仿宋" w:cs="仿宋"/>
                <w:color w:val="000000"/>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响应文件时另外提供一份盖章签字版的承诺书。若未单独提供，可能影响对响应文件的评价，但不作为一票否决的条款。</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21"/>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w:t>
            </w:r>
            <w:r>
              <w:rPr>
                <w:rFonts w:hint="eastAsia" w:ascii="仿宋" w:hAnsi="仿宋" w:eastAsia="仿宋" w:cs="仿宋"/>
                <w:sz w:val="20"/>
                <w:szCs w:val="20"/>
                <w:lang w:val="en-US" w:eastAsia="zh-CN"/>
              </w:rPr>
              <w:t>产品</w:t>
            </w:r>
            <w:r>
              <w:rPr>
                <w:rFonts w:hint="eastAsia" w:ascii="仿宋" w:hAnsi="仿宋" w:eastAsia="仿宋" w:cs="仿宋"/>
                <w:sz w:val="20"/>
                <w:szCs w:val="20"/>
              </w:rPr>
              <w:t>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rPr>
              <w:t>⑤响应报价均应包含国家规定的税费。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rPr>
              <w:t>响应文件按照</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不得改动本比选文件中已明确要求不得擅自删改的部分，以及遵守比选文件中已列明必须遵照执行否则按无效响应处理的各类要求。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（1）评分总值最高为100分，商务、技术及最终报价得分分值（权重）设置如下：</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评分（29</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技术</w:t>
            </w:r>
            <w:r>
              <w:rPr>
                <w:rFonts w:hint="eastAsia" w:ascii="仿宋" w:hAnsi="仿宋" w:eastAsia="仿宋" w:cs="仿宋"/>
                <w:b/>
                <w:bCs w:val="0"/>
                <w:color w:val="000000"/>
                <w:spacing w:val="-4"/>
                <w:kern w:val="2"/>
                <w:sz w:val="24"/>
                <w:szCs w:val="24"/>
                <w:highlight w:val="none"/>
                <w:lang w:val="en-US" w:eastAsia="zh-CN"/>
              </w:rPr>
              <w:t>评分（41</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价格得分（30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29分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41分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30分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b/>
          <w:bCs w:val="0"/>
          <w:color w:val="000000"/>
          <w:kern w:val="1"/>
          <w:sz w:val="28"/>
          <w:szCs w:val="28"/>
          <w:highlight w:val="none"/>
          <w:lang w:val="en-US" w:eastAsia="zh-CN"/>
        </w:rPr>
      </w:pPr>
      <w:r>
        <w:rPr>
          <w:rFonts w:hint="eastAsia" w:ascii="仿宋" w:hAnsi="仿宋" w:eastAsia="仿宋" w:cs="仿宋"/>
          <w:b/>
          <w:bCs w:val="0"/>
          <w:color w:val="000000"/>
          <w:kern w:val="1"/>
          <w:sz w:val="28"/>
          <w:szCs w:val="28"/>
          <w:highlight w:val="none"/>
          <w:lang w:val="en-US" w:eastAsia="zh-CN"/>
        </w:rPr>
        <w:t>商务评审表（29分）</w:t>
      </w:r>
    </w:p>
    <w:tbl>
      <w:tblPr>
        <w:tblStyle w:val="24"/>
        <w:tblpPr w:leftFromText="180" w:rightFromText="180" w:vertAnchor="text" w:horzAnchor="page" w:tblpX="1602" w:tblpY="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776"/>
        <w:gridCol w:w="6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评审内容</w:t>
            </w:r>
          </w:p>
        </w:tc>
        <w:tc>
          <w:tcPr>
            <w:tcW w:w="77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sz w:val="20"/>
                <w:szCs w:val="20"/>
                <w:highlight w:val="none"/>
              </w:rPr>
              <w:t>分值</w:t>
            </w:r>
          </w:p>
        </w:tc>
        <w:tc>
          <w:tcPr>
            <w:tcW w:w="689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rPr>
              <w:t>同类项目</w:t>
            </w:r>
            <w:r>
              <w:rPr>
                <w:rFonts w:hint="eastAsia" w:ascii="仿宋" w:hAnsi="仿宋" w:eastAsia="仿宋" w:cs="仿宋"/>
                <w:sz w:val="20"/>
                <w:szCs w:val="20"/>
                <w:highlight w:val="none"/>
                <w:lang w:val="en-US" w:eastAsia="zh-CN"/>
              </w:rPr>
              <w:t>业绩</w:t>
            </w:r>
          </w:p>
        </w:tc>
        <w:tc>
          <w:tcPr>
            <w:tcW w:w="77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6</w:t>
            </w:r>
          </w:p>
        </w:tc>
        <w:tc>
          <w:tcPr>
            <w:tcW w:w="6892" w:type="dxa"/>
            <w:vAlign w:val="center"/>
          </w:tcPr>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lang w:eastAsia="zh-CN"/>
              </w:rPr>
            </w:pPr>
            <w:r>
              <w:rPr>
                <w:rFonts w:hint="eastAsia" w:ascii="仿宋" w:hAnsi="仿宋" w:eastAsia="仿宋" w:cs="仿宋"/>
                <w:b w:val="0"/>
                <w:bCs w:val="0"/>
                <w:sz w:val="20"/>
                <w:szCs w:val="20"/>
                <w:highlight w:val="none"/>
              </w:rPr>
              <w:t>根据供应商自2020年1月1日（以合同签订时间为准）以来，具有</w:t>
            </w:r>
            <w:r>
              <w:rPr>
                <w:rFonts w:hint="eastAsia" w:ascii="仿宋" w:hAnsi="仿宋" w:eastAsia="仿宋" w:cs="仿宋"/>
                <w:b w:val="0"/>
                <w:bCs w:val="0"/>
                <w:sz w:val="20"/>
                <w:szCs w:val="20"/>
                <w:highlight w:val="none"/>
                <w:lang w:val="en-US" w:eastAsia="zh-CN"/>
              </w:rPr>
              <w:t>供货洁净空调过滤器</w:t>
            </w:r>
            <w:r>
              <w:rPr>
                <w:rFonts w:hint="eastAsia" w:ascii="仿宋" w:hAnsi="仿宋" w:eastAsia="仿宋" w:cs="仿宋"/>
                <w:b w:val="0"/>
                <w:bCs w:val="0"/>
                <w:sz w:val="20"/>
                <w:szCs w:val="20"/>
                <w:highlight w:val="none"/>
              </w:rPr>
              <w:t>的同类项目业绩进行评分，每提供一个得</w:t>
            </w:r>
            <w:r>
              <w:rPr>
                <w:rFonts w:hint="eastAsia" w:ascii="仿宋" w:hAnsi="仿宋" w:eastAsia="仿宋" w:cs="仿宋"/>
                <w:b w:val="0"/>
                <w:bCs w:val="0"/>
                <w:sz w:val="20"/>
                <w:szCs w:val="20"/>
                <w:highlight w:val="none"/>
                <w:lang w:val="en-US" w:eastAsia="zh-CN"/>
              </w:rPr>
              <w:t>2</w:t>
            </w:r>
            <w:r>
              <w:rPr>
                <w:rFonts w:hint="eastAsia" w:ascii="仿宋" w:hAnsi="仿宋" w:eastAsia="仿宋" w:cs="仿宋"/>
                <w:b w:val="0"/>
                <w:bCs w:val="0"/>
                <w:sz w:val="20"/>
                <w:szCs w:val="20"/>
                <w:highlight w:val="none"/>
              </w:rPr>
              <w:t>分，最高得</w:t>
            </w:r>
            <w:r>
              <w:rPr>
                <w:rFonts w:hint="eastAsia" w:ascii="仿宋" w:hAnsi="仿宋" w:eastAsia="仿宋" w:cs="仿宋"/>
                <w:b w:val="0"/>
                <w:bCs w:val="0"/>
                <w:sz w:val="20"/>
                <w:szCs w:val="20"/>
                <w:highlight w:val="none"/>
                <w:lang w:val="en-US" w:eastAsia="zh-CN"/>
              </w:rPr>
              <w:t>6</w:t>
            </w:r>
            <w:r>
              <w:rPr>
                <w:rFonts w:hint="eastAsia" w:ascii="仿宋" w:hAnsi="仿宋" w:eastAsia="仿宋" w:cs="仿宋"/>
                <w:b w:val="0"/>
                <w:bCs w:val="0"/>
                <w:sz w:val="20"/>
                <w:szCs w:val="20"/>
                <w:highlight w:val="none"/>
              </w:rPr>
              <w:t>分</w:t>
            </w:r>
            <w:r>
              <w:rPr>
                <w:rFonts w:hint="eastAsia" w:ascii="仿宋" w:hAnsi="仿宋" w:eastAsia="仿宋" w:cs="仿宋"/>
                <w:b w:val="0"/>
                <w:bCs w:val="0"/>
                <w:sz w:val="20"/>
                <w:szCs w:val="20"/>
                <w:highlight w:val="none"/>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sz w:val="20"/>
                <w:szCs w:val="20"/>
                <w:highlight w:val="none"/>
              </w:rPr>
              <w:t>注：</w:t>
            </w:r>
            <w:r>
              <w:rPr>
                <w:rFonts w:hint="eastAsia" w:ascii="仿宋" w:hAnsi="仿宋" w:eastAsia="仿宋" w:cs="仿宋"/>
                <w:b w:val="0"/>
                <w:bCs w:val="0"/>
                <w:sz w:val="20"/>
                <w:szCs w:val="20"/>
                <w:highlight w:val="none"/>
                <w:lang w:val="en-US" w:eastAsia="zh-CN"/>
              </w:rPr>
              <w:t>供应商</w:t>
            </w:r>
            <w:r>
              <w:rPr>
                <w:rFonts w:hint="eastAsia" w:ascii="仿宋" w:hAnsi="仿宋" w:eastAsia="仿宋" w:cs="仿宋"/>
                <w:b w:val="0"/>
                <w:bCs w:val="0"/>
                <w:sz w:val="20"/>
                <w:szCs w:val="20"/>
                <w:highlight w:val="none"/>
              </w:rPr>
              <w:t>需提供合同关键页（含签订合同双方的单位名称、合同项目</w:t>
            </w:r>
            <w:r>
              <w:rPr>
                <w:rFonts w:hint="eastAsia" w:ascii="仿宋" w:hAnsi="仿宋" w:eastAsia="仿宋" w:cs="仿宋"/>
                <w:b w:val="0"/>
                <w:bCs w:val="0"/>
                <w:sz w:val="20"/>
                <w:szCs w:val="20"/>
                <w:highlight w:val="none"/>
                <w:lang w:val="en-US" w:eastAsia="zh-CN"/>
              </w:rPr>
              <w:t>内容</w:t>
            </w:r>
            <w:r>
              <w:rPr>
                <w:rFonts w:hint="eastAsia" w:ascii="仿宋" w:hAnsi="仿宋" w:eastAsia="仿宋" w:cs="仿宋"/>
                <w:b w:val="0"/>
                <w:bCs w:val="0"/>
                <w:sz w:val="20"/>
                <w:szCs w:val="20"/>
                <w:highlight w:val="none"/>
              </w:rPr>
              <w:t>、签订合同双方的落款盖章的关键页）复印件，并加盖公章，不提供不得分。</w:t>
            </w:r>
            <w:r>
              <w:rPr>
                <w:rFonts w:hint="eastAsia" w:ascii="仿宋" w:hAnsi="仿宋" w:eastAsia="仿宋" w:cs="仿宋"/>
                <w:b w:val="0"/>
                <w:bCs w:val="0"/>
                <w:sz w:val="20"/>
                <w:szCs w:val="20"/>
                <w:highlight w:val="none"/>
                <w:lang w:val="en-US" w:eastAsia="zh-CN"/>
              </w:rPr>
              <w:t>同一客户单位不重复计分。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履约评价情况</w:t>
            </w:r>
          </w:p>
        </w:tc>
        <w:tc>
          <w:tcPr>
            <w:tcW w:w="77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w:t>
            </w:r>
          </w:p>
        </w:tc>
        <w:tc>
          <w:tcPr>
            <w:tcW w:w="6892" w:type="dxa"/>
            <w:vAlign w:val="center"/>
          </w:tcPr>
          <w:p>
            <w:pPr>
              <w:keepNext w:val="0"/>
              <w:keepLines w:val="0"/>
              <w:suppressLineNumbers w:val="0"/>
              <w:adjustRightInd w:val="0"/>
              <w:snapToGrid w:val="0"/>
              <w:spacing w:before="1" w:beforeAutospacing="0" w:after="0" w:afterAutospacing="0" w:line="231" w:lineRule="auto"/>
              <w:ind w:left="25" w:leftChars="0" w:right="22" w:rightChars="0" w:firstLine="1" w:firstLineChars="0"/>
              <w:rPr>
                <w:rFonts w:hint="eastAsia" w:ascii="仿宋" w:hAnsi="仿宋" w:eastAsia="仿宋" w:cs="仿宋"/>
                <w:color w:val="auto"/>
                <w:kern w:val="2"/>
                <w:sz w:val="20"/>
                <w:szCs w:val="20"/>
                <w:highlight w:val="none"/>
                <w:lang w:val="en-US" w:eastAsia="zh-CN" w:bidi="ar"/>
              </w:rPr>
            </w:pPr>
            <w:r>
              <w:rPr>
                <w:rFonts w:hint="eastAsia" w:ascii="仿宋" w:hAnsi="仿宋" w:eastAsia="仿宋" w:cs="仿宋"/>
                <w:color w:val="auto"/>
                <w:kern w:val="2"/>
                <w:sz w:val="20"/>
                <w:szCs w:val="20"/>
                <w:highlight w:val="none"/>
                <w:lang w:val="en-US" w:eastAsia="zh-CN" w:bidi="ar"/>
              </w:rPr>
              <w:t>供应商</w:t>
            </w:r>
            <w:r>
              <w:rPr>
                <w:rFonts w:hint="eastAsia" w:ascii="仿宋" w:hAnsi="仿宋" w:eastAsia="仿宋" w:cs="仿宋"/>
                <w:bCs/>
                <w:color w:val="auto"/>
                <w:sz w:val="20"/>
                <w:szCs w:val="20"/>
              </w:rPr>
              <w:t>自2020年1月1日（以合同签订时间为准）以来</w:t>
            </w:r>
            <w:r>
              <w:rPr>
                <w:rFonts w:hint="eastAsia" w:ascii="仿宋" w:hAnsi="仿宋" w:eastAsia="仿宋" w:cs="仿宋"/>
                <w:color w:val="auto"/>
                <w:kern w:val="2"/>
                <w:sz w:val="20"/>
                <w:szCs w:val="20"/>
                <w:highlight w:val="none"/>
                <w:lang w:val="en-US" w:eastAsia="zh-CN" w:bidi="ar"/>
              </w:rPr>
              <w:t>具有同类项目业绩并经服务单位考核评价为优或满意的，每提供1项得1分，本项最高得3分。</w:t>
            </w:r>
          </w:p>
          <w:p>
            <w:pPr>
              <w:keepNext w:val="0"/>
              <w:keepLines w:val="0"/>
              <w:suppressLineNumbers w:val="0"/>
              <w:adjustRightInd w:val="0"/>
              <w:snapToGrid w:val="0"/>
              <w:spacing w:before="1" w:beforeAutospacing="0" w:after="0" w:afterAutospacing="0" w:line="231" w:lineRule="auto"/>
              <w:ind w:left="0" w:leftChars="0" w:right="22" w:rightChars="0"/>
              <w:rPr>
                <w:rFonts w:hint="default" w:ascii="仿宋" w:hAnsi="仿宋" w:eastAsia="仿宋" w:cs="仿宋"/>
                <w:b w:val="0"/>
                <w:bCs w:val="0"/>
                <w:color w:val="000000"/>
                <w:kern w:val="2"/>
                <w:sz w:val="20"/>
                <w:szCs w:val="20"/>
                <w:highlight w:val="none"/>
                <w:lang w:val="en-US" w:eastAsia="zh-CN"/>
              </w:rPr>
            </w:pPr>
            <w:r>
              <w:rPr>
                <w:rFonts w:hint="eastAsia" w:ascii="仿宋" w:hAnsi="仿宋" w:eastAsia="仿宋" w:cs="仿宋"/>
                <w:color w:val="auto"/>
                <w:kern w:val="2"/>
                <w:sz w:val="20"/>
                <w:szCs w:val="20"/>
                <w:highlight w:val="none"/>
                <w:lang w:val="en-US" w:eastAsia="zh-CN" w:bidi="ar"/>
              </w:rPr>
              <w:t>注：须提供与</w:t>
            </w:r>
            <w:r>
              <w:rPr>
                <w:rFonts w:hint="eastAsia" w:ascii="仿宋" w:hAnsi="仿宋" w:eastAsia="仿宋" w:cs="仿宋"/>
                <w:b w:val="0"/>
                <w:bCs w:val="0"/>
                <w:color w:val="000000"/>
                <w:kern w:val="2"/>
                <w:sz w:val="20"/>
                <w:szCs w:val="20"/>
                <w:highlight w:val="none"/>
                <w:lang w:val="en-US" w:eastAsia="zh-CN"/>
              </w:rPr>
              <w:t>上述同类项目业绩吻合的履约评价情况（提供具有用户盖章确认的相关证明资料，评价材料必须达到90分或带有“满意”或“好评”或“优秀”等相关正面评价字眼</w:t>
            </w:r>
            <w:r>
              <w:rPr>
                <w:rFonts w:hint="eastAsia" w:ascii="仿宋" w:hAnsi="仿宋" w:eastAsia="仿宋" w:cs="仿宋"/>
                <w:color w:val="auto"/>
                <w:kern w:val="2"/>
                <w:sz w:val="20"/>
                <w:szCs w:val="20"/>
                <w:highlight w:val="none"/>
                <w:lang w:val="en-US" w:eastAsia="zh-CN" w:bidi="ar"/>
              </w:rPr>
              <w:t>）。同一客户单位不重复计分。如提供履约评价的采购合同未被评审指标中“经验业绩”认可，则该履约评价无效。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highlight w:val="none"/>
                <w:lang w:val="en-US" w:eastAsia="zh-CN"/>
              </w:rPr>
              <w:t>企业体系认证情况</w:t>
            </w:r>
          </w:p>
        </w:tc>
        <w:tc>
          <w:tcPr>
            <w:tcW w:w="776"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highlight w:val="none"/>
                <w:lang w:val="en-US" w:eastAsia="zh-CN"/>
              </w:rPr>
              <w:t>3</w:t>
            </w:r>
          </w:p>
        </w:tc>
        <w:tc>
          <w:tcPr>
            <w:tcW w:w="689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sz w:val="20"/>
                <w:szCs w:val="20"/>
                <w:highlight w:val="none"/>
                <w:lang w:val="en-US" w:eastAsia="zh-CN"/>
              </w:rPr>
              <w:t>供应商</w:t>
            </w:r>
            <w:r>
              <w:rPr>
                <w:rFonts w:hint="eastAsia" w:ascii="仿宋" w:hAnsi="仿宋" w:eastAsia="仿宋" w:cs="仿宋"/>
                <w:b w:val="0"/>
                <w:bCs w:val="0"/>
                <w:sz w:val="20"/>
                <w:szCs w:val="20"/>
                <w:highlight w:val="none"/>
              </w:rPr>
              <w:t>具有有效期内的质量管理体系认证、环境管理体系认证、职业健康安全管理体系认证，每有一项得</w:t>
            </w:r>
            <w:r>
              <w:rPr>
                <w:rFonts w:hint="eastAsia" w:ascii="仿宋" w:hAnsi="仿宋" w:eastAsia="仿宋" w:cs="仿宋"/>
                <w:b w:val="0"/>
                <w:bCs w:val="0"/>
                <w:sz w:val="20"/>
                <w:szCs w:val="20"/>
                <w:highlight w:val="none"/>
                <w:lang w:val="en-US" w:eastAsia="zh-CN"/>
              </w:rPr>
              <w:t>1</w:t>
            </w:r>
            <w:r>
              <w:rPr>
                <w:rFonts w:hint="eastAsia" w:ascii="仿宋" w:hAnsi="仿宋" w:eastAsia="仿宋" w:cs="仿宋"/>
                <w:b w:val="0"/>
                <w:bCs w:val="0"/>
                <w:sz w:val="20"/>
                <w:szCs w:val="20"/>
                <w:highlight w:val="none"/>
              </w:rPr>
              <w:t>分，本项最高得</w:t>
            </w:r>
            <w:r>
              <w:rPr>
                <w:rFonts w:hint="eastAsia" w:ascii="仿宋" w:hAnsi="仿宋" w:eastAsia="仿宋" w:cs="仿宋"/>
                <w:b w:val="0"/>
                <w:bCs w:val="0"/>
                <w:sz w:val="20"/>
                <w:szCs w:val="20"/>
                <w:highlight w:val="none"/>
                <w:lang w:val="en-US" w:eastAsia="zh-CN"/>
              </w:rPr>
              <w:t>3</w:t>
            </w:r>
            <w:r>
              <w:rPr>
                <w:rFonts w:hint="eastAsia" w:ascii="仿宋" w:hAnsi="仿宋" w:eastAsia="仿宋" w:cs="仿宋"/>
                <w:b w:val="0"/>
                <w:bCs w:val="0"/>
                <w:sz w:val="20"/>
                <w:szCs w:val="20"/>
                <w:highlight w:val="none"/>
              </w:rPr>
              <w:t>分。</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color w:val="000000"/>
                <w:kern w:val="2"/>
                <w:sz w:val="20"/>
                <w:szCs w:val="20"/>
                <w:highlight w:val="none"/>
                <w:lang w:val="en-US" w:eastAsia="zh-CN"/>
              </w:rPr>
              <w:t>注：须提供有效期内的证书复印件，加盖供应商公章，未提供不得分；若所提供的证书认证范围与本项目无关的，不得分。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rPr>
            </w:pPr>
            <w:r>
              <w:rPr>
                <w:rFonts w:hint="eastAsia" w:ascii="仿宋" w:hAnsi="仿宋" w:eastAsia="仿宋" w:cs="仿宋"/>
                <w:sz w:val="20"/>
                <w:szCs w:val="20"/>
                <w:highlight w:val="none"/>
              </w:rPr>
              <w:t>产品授权</w:t>
            </w:r>
          </w:p>
        </w:tc>
        <w:tc>
          <w:tcPr>
            <w:tcW w:w="77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w:t>
            </w:r>
          </w:p>
        </w:tc>
        <w:tc>
          <w:tcPr>
            <w:tcW w:w="6892" w:type="dxa"/>
            <w:vAlign w:val="center"/>
          </w:tcPr>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color w:val="000000"/>
                <w:kern w:val="2"/>
                <w:sz w:val="20"/>
                <w:szCs w:val="20"/>
                <w:highlight w:val="none"/>
                <w:lang w:val="en-US" w:eastAsia="zh-CN"/>
              </w:rPr>
            </w:pPr>
            <w:r>
              <w:rPr>
                <w:rFonts w:hint="eastAsia" w:ascii="仿宋" w:hAnsi="仿宋" w:eastAsia="仿宋" w:cs="仿宋"/>
                <w:b w:val="0"/>
                <w:bCs w:val="0"/>
                <w:color w:val="000000"/>
                <w:kern w:val="2"/>
                <w:sz w:val="20"/>
                <w:szCs w:val="20"/>
                <w:highlight w:val="none"/>
                <w:lang w:val="en-US" w:eastAsia="zh-CN"/>
              </w:rPr>
              <w:t>为了保证产品具有追溯性且保证质量：</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仿宋" w:hAnsi="仿宋" w:eastAsia="仿宋" w:cs="仿宋"/>
                <w:b w:val="0"/>
                <w:bCs w:val="0"/>
                <w:color w:val="000000"/>
                <w:kern w:val="2"/>
                <w:sz w:val="20"/>
                <w:szCs w:val="20"/>
                <w:highlight w:val="none"/>
                <w:lang w:val="en-US" w:eastAsia="zh-CN"/>
              </w:rPr>
            </w:pPr>
            <w:r>
              <w:rPr>
                <w:rFonts w:hint="eastAsia" w:ascii="仿宋" w:hAnsi="仿宋" w:eastAsia="仿宋" w:cs="仿宋"/>
                <w:b w:val="0"/>
                <w:bCs w:val="0"/>
                <w:color w:val="000000"/>
                <w:kern w:val="2"/>
                <w:sz w:val="20"/>
                <w:szCs w:val="20"/>
                <w:highlight w:val="none"/>
                <w:lang w:val="en-US" w:eastAsia="zh-CN"/>
              </w:rPr>
              <w:t>若</w:t>
            </w:r>
            <w:r>
              <w:rPr>
                <w:rFonts w:hint="eastAsia" w:ascii="仿宋" w:hAnsi="仿宋" w:eastAsia="仿宋" w:cs="仿宋"/>
                <w:b w:val="0"/>
                <w:bCs w:val="0"/>
                <w:sz w:val="20"/>
                <w:szCs w:val="20"/>
                <w:highlight w:val="none"/>
                <w:lang w:val="en-US" w:eastAsia="zh-CN"/>
              </w:rPr>
              <w:t>供应商</w:t>
            </w:r>
            <w:r>
              <w:rPr>
                <w:rFonts w:hint="eastAsia" w:ascii="仿宋" w:hAnsi="仿宋" w:eastAsia="仿宋" w:cs="仿宋"/>
                <w:b w:val="0"/>
                <w:bCs w:val="0"/>
                <w:color w:val="000000"/>
                <w:kern w:val="2"/>
                <w:sz w:val="20"/>
                <w:szCs w:val="20"/>
                <w:highlight w:val="none"/>
                <w:lang w:val="en-US" w:eastAsia="zh-CN"/>
              </w:rPr>
              <w:t>为所响应产品（过滤器）的代理商、经销商，提供生产企业或其授权的经销商（代理商）出具的有效授权证明的，得3分；</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color w:val="000000"/>
                <w:kern w:val="2"/>
                <w:sz w:val="20"/>
                <w:szCs w:val="20"/>
                <w:highlight w:val="none"/>
                <w:lang w:val="en-US" w:eastAsia="zh-CN"/>
              </w:rPr>
            </w:pPr>
            <w:r>
              <w:rPr>
                <w:rFonts w:hint="eastAsia" w:ascii="仿宋" w:hAnsi="仿宋" w:eastAsia="仿宋" w:cs="仿宋"/>
                <w:b w:val="0"/>
                <w:bCs w:val="0"/>
                <w:color w:val="000000"/>
                <w:kern w:val="2"/>
                <w:sz w:val="20"/>
                <w:szCs w:val="20"/>
                <w:highlight w:val="none"/>
                <w:lang w:val="en-US" w:eastAsia="zh-CN"/>
              </w:rPr>
              <w:t>若供应商为所响应产品（过滤器）生产企业的，提供相关有效的证明文件，得3分。</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仿宋" w:hAnsi="仿宋" w:eastAsia="仿宋" w:cs="仿宋"/>
                <w:b w:val="0"/>
                <w:bCs w:val="0"/>
                <w:color w:val="000000"/>
                <w:kern w:val="2"/>
                <w:sz w:val="20"/>
                <w:szCs w:val="20"/>
                <w:highlight w:val="none"/>
                <w:lang w:val="en-US" w:eastAsia="zh-CN"/>
              </w:rPr>
            </w:pPr>
            <w:r>
              <w:rPr>
                <w:rFonts w:hint="eastAsia" w:ascii="仿宋" w:hAnsi="仿宋" w:eastAsia="仿宋" w:cs="仿宋"/>
                <w:b w:val="0"/>
                <w:bCs w:val="0"/>
                <w:color w:val="000000"/>
                <w:kern w:val="2"/>
                <w:sz w:val="20"/>
                <w:szCs w:val="20"/>
                <w:highlight w:val="none"/>
                <w:lang w:val="en-US" w:eastAsia="zh-CN"/>
              </w:rPr>
              <w:t>本项最高得3分。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b w:val="0"/>
                <w:bCs w:val="0"/>
                <w:sz w:val="20"/>
                <w:szCs w:val="20"/>
                <w:highlight w:val="none"/>
                <w:lang w:val="en-US" w:eastAsia="zh-CN"/>
              </w:rPr>
              <w:t>对</w:t>
            </w:r>
            <w:r>
              <w:rPr>
                <w:rFonts w:hint="eastAsia" w:ascii="仿宋" w:hAnsi="仿宋" w:eastAsia="仿宋" w:cs="仿宋"/>
                <w:b w:val="0"/>
                <w:bCs w:val="0"/>
                <w:sz w:val="20"/>
                <w:szCs w:val="20"/>
                <w:highlight w:val="none"/>
              </w:rPr>
              <w:t>空气过滤器的独立</w:t>
            </w:r>
            <w:r>
              <w:rPr>
                <w:rFonts w:hint="eastAsia" w:ascii="仿宋" w:hAnsi="仿宋" w:eastAsia="仿宋" w:cs="仿宋"/>
                <w:sz w:val="20"/>
                <w:szCs w:val="20"/>
                <w:highlight w:val="none"/>
              </w:rPr>
              <w:t>安装检测</w:t>
            </w:r>
            <w:r>
              <w:rPr>
                <w:rFonts w:hint="eastAsia" w:ascii="仿宋" w:hAnsi="仿宋" w:eastAsia="仿宋" w:cs="仿宋"/>
                <w:b w:val="0"/>
                <w:bCs w:val="0"/>
                <w:sz w:val="20"/>
                <w:szCs w:val="20"/>
                <w:highlight w:val="none"/>
              </w:rPr>
              <w:t>能力</w:t>
            </w:r>
          </w:p>
        </w:tc>
        <w:tc>
          <w:tcPr>
            <w:tcW w:w="77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
                <w:bCs/>
                <w:color w:val="000000"/>
                <w:kern w:val="2"/>
                <w:sz w:val="20"/>
                <w:szCs w:val="20"/>
                <w:highlight w:val="none"/>
                <w:vertAlign w:val="baseline"/>
                <w:lang w:val="en-US" w:eastAsia="zh-CN"/>
              </w:rPr>
            </w:pPr>
            <w:r>
              <w:rPr>
                <w:rFonts w:hint="eastAsia" w:ascii="仿宋" w:hAnsi="仿宋" w:eastAsia="仿宋" w:cs="仿宋"/>
                <w:sz w:val="20"/>
                <w:szCs w:val="20"/>
                <w:highlight w:val="none"/>
                <w:lang w:val="en-US" w:eastAsia="zh-CN"/>
              </w:rPr>
              <w:t>3</w:t>
            </w:r>
          </w:p>
        </w:tc>
        <w:tc>
          <w:tcPr>
            <w:tcW w:w="6892" w:type="dxa"/>
            <w:vAlign w:val="center"/>
          </w:tcPr>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sz w:val="20"/>
                <w:szCs w:val="20"/>
                <w:highlight w:val="none"/>
                <w:lang w:val="en-US" w:eastAsia="zh-CN"/>
              </w:rPr>
              <w:t>供应商</w:t>
            </w:r>
            <w:r>
              <w:rPr>
                <w:rFonts w:hint="eastAsia" w:ascii="仿宋" w:hAnsi="仿宋" w:eastAsia="仿宋" w:cs="仿宋"/>
                <w:b w:val="0"/>
                <w:bCs w:val="0"/>
                <w:sz w:val="20"/>
                <w:szCs w:val="20"/>
                <w:highlight w:val="none"/>
              </w:rPr>
              <w:t>拟投入过滤器安装检测设备情况：</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lang w:eastAsia="zh-CN"/>
              </w:rPr>
            </w:pPr>
            <w:r>
              <w:rPr>
                <w:rFonts w:hint="eastAsia" w:ascii="仿宋" w:hAnsi="仿宋" w:eastAsia="仿宋" w:cs="仿宋"/>
                <w:b w:val="0"/>
                <w:bCs w:val="0"/>
                <w:sz w:val="20"/>
                <w:szCs w:val="20"/>
                <w:highlight w:val="none"/>
              </w:rPr>
              <w:t>风速仪</w:t>
            </w:r>
            <w:r>
              <w:rPr>
                <w:rFonts w:hint="eastAsia" w:ascii="仿宋" w:hAnsi="仿宋" w:eastAsia="仿宋" w:cs="仿宋"/>
                <w:b w:val="0"/>
                <w:bCs w:val="0"/>
                <w:sz w:val="20"/>
                <w:szCs w:val="20"/>
                <w:highlight w:val="none"/>
                <w:lang w:eastAsia="zh-CN"/>
              </w:rPr>
              <w:t>，</w:t>
            </w:r>
            <w:r>
              <w:rPr>
                <w:rFonts w:hint="eastAsia" w:ascii="仿宋" w:hAnsi="仿宋" w:eastAsia="仿宋" w:cs="仿宋"/>
                <w:b w:val="0"/>
                <w:bCs w:val="0"/>
                <w:sz w:val="20"/>
                <w:szCs w:val="20"/>
                <w:highlight w:val="none"/>
              </w:rPr>
              <w:t>得</w:t>
            </w:r>
            <w:r>
              <w:rPr>
                <w:rFonts w:hint="eastAsia" w:ascii="仿宋" w:hAnsi="仿宋" w:eastAsia="仿宋" w:cs="仿宋"/>
                <w:b w:val="0"/>
                <w:bCs w:val="0"/>
                <w:sz w:val="20"/>
                <w:szCs w:val="20"/>
                <w:highlight w:val="none"/>
                <w:lang w:val="en-US" w:eastAsia="zh-CN"/>
              </w:rPr>
              <w:t>1</w:t>
            </w:r>
            <w:r>
              <w:rPr>
                <w:rFonts w:hint="eastAsia" w:ascii="仿宋" w:hAnsi="仿宋" w:eastAsia="仿宋" w:cs="仿宋"/>
                <w:b w:val="0"/>
                <w:bCs w:val="0"/>
                <w:sz w:val="20"/>
                <w:szCs w:val="20"/>
                <w:highlight w:val="none"/>
              </w:rPr>
              <w:t>分</w:t>
            </w:r>
            <w:r>
              <w:rPr>
                <w:rFonts w:hint="eastAsia" w:ascii="仿宋" w:hAnsi="仿宋" w:eastAsia="仿宋" w:cs="仿宋"/>
                <w:b w:val="0"/>
                <w:bCs w:val="0"/>
                <w:sz w:val="20"/>
                <w:szCs w:val="20"/>
                <w:highlight w:val="none"/>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lang w:eastAsia="zh-CN"/>
              </w:rPr>
            </w:pPr>
            <w:r>
              <w:rPr>
                <w:rFonts w:hint="eastAsia" w:ascii="仿宋" w:hAnsi="仿宋" w:eastAsia="仿宋" w:cs="仿宋"/>
                <w:b w:val="0"/>
                <w:bCs w:val="0"/>
                <w:sz w:val="20"/>
                <w:szCs w:val="20"/>
                <w:highlight w:val="none"/>
              </w:rPr>
              <w:t>压差表</w:t>
            </w:r>
            <w:r>
              <w:rPr>
                <w:rFonts w:hint="eastAsia" w:ascii="仿宋" w:hAnsi="仿宋" w:eastAsia="仿宋" w:cs="仿宋"/>
                <w:b w:val="0"/>
                <w:bCs w:val="0"/>
                <w:sz w:val="20"/>
                <w:szCs w:val="20"/>
                <w:highlight w:val="none"/>
                <w:lang w:eastAsia="zh-CN"/>
              </w:rPr>
              <w:t>，</w:t>
            </w:r>
            <w:r>
              <w:rPr>
                <w:rFonts w:hint="eastAsia" w:ascii="仿宋" w:hAnsi="仿宋" w:eastAsia="仿宋" w:cs="仿宋"/>
                <w:b w:val="0"/>
                <w:bCs w:val="0"/>
                <w:sz w:val="20"/>
                <w:szCs w:val="20"/>
                <w:highlight w:val="none"/>
              </w:rPr>
              <w:t>得</w:t>
            </w:r>
            <w:r>
              <w:rPr>
                <w:rFonts w:hint="eastAsia" w:ascii="仿宋" w:hAnsi="仿宋" w:eastAsia="仿宋" w:cs="仿宋"/>
                <w:b w:val="0"/>
                <w:bCs w:val="0"/>
                <w:sz w:val="20"/>
                <w:szCs w:val="20"/>
                <w:highlight w:val="none"/>
                <w:lang w:val="en-US" w:eastAsia="zh-CN"/>
              </w:rPr>
              <w:t>1</w:t>
            </w:r>
            <w:r>
              <w:rPr>
                <w:rFonts w:hint="eastAsia" w:ascii="仿宋" w:hAnsi="仿宋" w:eastAsia="仿宋" w:cs="仿宋"/>
                <w:b w:val="0"/>
                <w:bCs w:val="0"/>
                <w:sz w:val="20"/>
                <w:szCs w:val="20"/>
                <w:highlight w:val="none"/>
              </w:rPr>
              <w:t>分</w:t>
            </w:r>
            <w:r>
              <w:rPr>
                <w:rFonts w:hint="eastAsia" w:ascii="仿宋" w:hAnsi="仿宋" w:eastAsia="仿宋" w:cs="仿宋"/>
                <w:b w:val="0"/>
                <w:bCs w:val="0"/>
                <w:sz w:val="20"/>
                <w:szCs w:val="20"/>
                <w:highlight w:val="none"/>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lang w:eastAsia="zh-CN"/>
              </w:rPr>
            </w:pPr>
            <w:r>
              <w:rPr>
                <w:rFonts w:hint="eastAsia" w:ascii="仿宋" w:hAnsi="仿宋" w:eastAsia="仿宋" w:cs="仿宋"/>
                <w:b w:val="0"/>
                <w:bCs w:val="0"/>
                <w:sz w:val="20"/>
                <w:szCs w:val="20"/>
                <w:highlight w:val="none"/>
              </w:rPr>
              <w:t>尘埃粒子计数器</w:t>
            </w:r>
            <w:r>
              <w:rPr>
                <w:rFonts w:hint="eastAsia" w:ascii="仿宋" w:hAnsi="仿宋" w:eastAsia="仿宋" w:cs="仿宋"/>
                <w:b w:val="0"/>
                <w:bCs w:val="0"/>
                <w:sz w:val="20"/>
                <w:szCs w:val="20"/>
                <w:highlight w:val="none"/>
                <w:lang w:eastAsia="zh-CN"/>
              </w:rPr>
              <w:t>，</w:t>
            </w:r>
            <w:r>
              <w:rPr>
                <w:rFonts w:hint="eastAsia" w:ascii="仿宋" w:hAnsi="仿宋" w:eastAsia="仿宋" w:cs="仿宋"/>
                <w:b w:val="0"/>
                <w:bCs w:val="0"/>
                <w:sz w:val="20"/>
                <w:szCs w:val="20"/>
                <w:highlight w:val="none"/>
              </w:rPr>
              <w:t>得</w:t>
            </w:r>
            <w:r>
              <w:rPr>
                <w:rFonts w:hint="eastAsia" w:ascii="仿宋" w:hAnsi="仿宋" w:eastAsia="仿宋" w:cs="仿宋"/>
                <w:b w:val="0"/>
                <w:bCs w:val="0"/>
                <w:sz w:val="20"/>
                <w:szCs w:val="20"/>
                <w:highlight w:val="none"/>
                <w:lang w:val="en-US" w:eastAsia="zh-CN"/>
              </w:rPr>
              <w:t>1</w:t>
            </w:r>
            <w:r>
              <w:rPr>
                <w:rFonts w:hint="eastAsia" w:ascii="仿宋" w:hAnsi="仿宋" w:eastAsia="仿宋" w:cs="仿宋"/>
                <w:b w:val="0"/>
                <w:bCs w:val="0"/>
                <w:sz w:val="20"/>
                <w:szCs w:val="20"/>
                <w:highlight w:val="none"/>
              </w:rPr>
              <w:t>分</w:t>
            </w:r>
            <w:r>
              <w:rPr>
                <w:rFonts w:hint="eastAsia" w:ascii="仿宋" w:hAnsi="仿宋" w:eastAsia="仿宋" w:cs="仿宋"/>
                <w:b w:val="0"/>
                <w:bCs w:val="0"/>
                <w:sz w:val="20"/>
                <w:szCs w:val="20"/>
                <w:highlight w:val="none"/>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sz w:val="20"/>
                <w:szCs w:val="20"/>
                <w:highlight w:val="none"/>
              </w:rPr>
              <w:t>没有或不提供相关证明文件的得0分。</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highlight w:val="none"/>
              </w:rPr>
            </w:pPr>
            <w:r>
              <w:rPr>
                <w:rFonts w:hint="eastAsia" w:ascii="仿宋" w:hAnsi="仿宋" w:eastAsia="仿宋" w:cs="仿宋"/>
                <w:b w:val="0"/>
                <w:bCs w:val="0"/>
                <w:sz w:val="20"/>
                <w:szCs w:val="20"/>
                <w:highlight w:val="none"/>
              </w:rPr>
              <w:t>最高得</w:t>
            </w:r>
            <w:r>
              <w:rPr>
                <w:rFonts w:hint="eastAsia" w:ascii="仿宋" w:hAnsi="仿宋" w:eastAsia="仿宋" w:cs="仿宋"/>
                <w:b w:val="0"/>
                <w:bCs w:val="0"/>
                <w:sz w:val="20"/>
                <w:szCs w:val="20"/>
                <w:highlight w:val="none"/>
                <w:lang w:val="en-US" w:eastAsia="zh-CN"/>
              </w:rPr>
              <w:t>3</w:t>
            </w:r>
            <w:r>
              <w:rPr>
                <w:rFonts w:hint="eastAsia" w:ascii="仿宋" w:hAnsi="仿宋" w:eastAsia="仿宋" w:cs="仿宋"/>
                <w:b w:val="0"/>
                <w:bCs w:val="0"/>
                <w:sz w:val="20"/>
                <w:szCs w:val="20"/>
                <w:highlight w:val="none"/>
              </w:rPr>
              <w:t>分</w:t>
            </w:r>
            <w:r>
              <w:rPr>
                <w:rFonts w:hint="eastAsia" w:ascii="仿宋" w:hAnsi="仿宋" w:eastAsia="仿宋" w:cs="仿宋"/>
                <w:b w:val="0"/>
                <w:bCs w:val="0"/>
                <w:sz w:val="20"/>
                <w:szCs w:val="20"/>
                <w:highlight w:val="none"/>
                <w:lang w:eastAsia="zh-CN"/>
              </w:rPr>
              <w:t>。</w:t>
            </w:r>
          </w:p>
          <w:p>
            <w:pPr>
              <w:pStyle w:val="3"/>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b w:val="0"/>
                <w:bCs w:val="0"/>
                <w:sz w:val="20"/>
                <w:szCs w:val="20"/>
                <w:highlight w:val="none"/>
              </w:rPr>
            </w:pPr>
            <w:r>
              <w:rPr>
                <w:rFonts w:hint="eastAsia" w:ascii="仿宋" w:hAnsi="仿宋" w:eastAsia="仿宋" w:cs="仿宋"/>
                <w:b w:val="0"/>
                <w:bCs w:val="0"/>
                <w:color w:val="000000"/>
                <w:kern w:val="2"/>
                <w:sz w:val="20"/>
                <w:szCs w:val="20"/>
                <w:highlight w:val="none"/>
                <w:lang w:val="en-US" w:eastAsia="zh-CN"/>
              </w:rPr>
              <w:t>注：</w:t>
            </w:r>
            <w:r>
              <w:rPr>
                <w:rFonts w:hint="eastAsia" w:ascii="仿宋" w:hAnsi="仿宋" w:eastAsia="仿宋" w:cs="仿宋"/>
                <w:b w:val="0"/>
                <w:bCs w:val="0"/>
                <w:sz w:val="20"/>
                <w:szCs w:val="20"/>
                <w:highlight w:val="none"/>
              </w:rPr>
              <w:t>须提供设备有效的购买发票或购买合同或</w:t>
            </w:r>
            <w:r>
              <w:rPr>
                <w:rFonts w:hint="eastAsia" w:ascii="仿宋" w:hAnsi="仿宋" w:eastAsia="仿宋" w:cs="仿宋"/>
                <w:b w:val="0"/>
                <w:bCs w:val="0"/>
                <w:sz w:val="20"/>
                <w:szCs w:val="20"/>
                <w:highlight w:val="none"/>
                <w:lang w:val="en-US" w:eastAsia="zh-CN"/>
              </w:rPr>
              <w:t>有效期内的</w:t>
            </w:r>
            <w:r>
              <w:rPr>
                <w:rFonts w:hint="eastAsia" w:ascii="仿宋" w:hAnsi="仿宋" w:eastAsia="仿宋" w:cs="仿宋"/>
                <w:b w:val="0"/>
                <w:bCs w:val="0"/>
                <w:sz w:val="20"/>
                <w:szCs w:val="20"/>
                <w:highlight w:val="none"/>
              </w:rPr>
              <w:t>租赁合同复印件，加盖</w:t>
            </w:r>
            <w:r>
              <w:rPr>
                <w:rFonts w:hint="eastAsia" w:ascii="仿宋" w:hAnsi="仿宋" w:eastAsia="仿宋" w:cs="仿宋"/>
                <w:b w:val="0"/>
                <w:bCs w:val="0"/>
                <w:sz w:val="20"/>
                <w:szCs w:val="20"/>
                <w:highlight w:val="none"/>
                <w:lang w:val="en-US" w:eastAsia="zh-CN"/>
              </w:rPr>
              <w:t>响应</w:t>
            </w:r>
            <w:r>
              <w:rPr>
                <w:rFonts w:hint="eastAsia" w:ascii="仿宋" w:hAnsi="仿宋" w:eastAsia="仿宋" w:cs="仿宋"/>
                <w:b w:val="0"/>
                <w:bCs w:val="0"/>
                <w:sz w:val="20"/>
                <w:szCs w:val="20"/>
                <w:highlight w:val="none"/>
              </w:rPr>
              <w:t>人公章。不清晰或未提供均不得分。非</w:t>
            </w:r>
            <w:r>
              <w:rPr>
                <w:rFonts w:hint="eastAsia" w:ascii="仿宋" w:hAnsi="仿宋" w:eastAsia="仿宋" w:cs="仿宋"/>
                <w:b w:val="0"/>
                <w:bCs w:val="0"/>
                <w:sz w:val="20"/>
                <w:szCs w:val="20"/>
                <w:highlight w:val="none"/>
                <w:lang w:val="en-US" w:eastAsia="zh-CN"/>
              </w:rPr>
              <w:t>响应</w:t>
            </w:r>
            <w:r>
              <w:rPr>
                <w:rFonts w:hint="eastAsia" w:ascii="仿宋" w:hAnsi="仿宋" w:eastAsia="仿宋" w:cs="仿宋"/>
                <w:b w:val="0"/>
                <w:bCs w:val="0"/>
                <w:sz w:val="20"/>
                <w:szCs w:val="20"/>
                <w:highlight w:val="none"/>
              </w:rPr>
              <w:t>人名义租赁或拥有的不得分。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团队人员</w:t>
            </w:r>
          </w:p>
        </w:tc>
        <w:tc>
          <w:tcPr>
            <w:tcW w:w="776"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trike w:val="0"/>
                <w:dstrike w:val="0"/>
                <w:sz w:val="20"/>
                <w:szCs w:val="20"/>
                <w:highlight w:val="none"/>
                <w:lang w:val="en-US" w:eastAsia="zh-CN"/>
              </w:rPr>
            </w:pPr>
            <w:r>
              <w:rPr>
                <w:rFonts w:hint="eastAsia" w:ascii="仿宋" w:hAnsi="仿宋" w:eastAsia="仿宋" w:cs="仿宋"/>
                <w:strike w:val="0"/>
                <w:dstrike w:val="0"/>
                <w:sz w:val="20"/>
                <w:szCs w:val="20"/>
                <w:highlight w:val="none"/>
                <w:lang w:val="en-US" w:eastAsia="zh-CN"/>
              </w:rPr>
              <w:t>11</w:t>
            </w:r>
          </w:p>
        </w:tc>
        <w:tc>
          <w:tcPr>
            <w:tcW w:w="689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val="en-US" w:eastAsia="zh-CN"/>
              </w:rPr>
              <w:t>①</w:t>
            </w:r>
            <w:r>
              <w:rPr>
                <w:rFonts w:hint="eastAsia" w:ascii="仿宋" w:hAnsi="仿宋" w:eastAsia="仿宋" w:cs="仿宋"/>
                <w:sz w:val="20"/>
                <w:szCs w:val="20"/>
                <w:highlight w:val="none"/>
                <w:lang w:eastAsia="zh-CN"/>
              </w:rPr>
              <w:t>拟投入项目经理（</w:t>
            </w:r>
            <w:r>
              <w:rPr>
                <w:rFonts w:hint="eastAsia" w:ascii="仿宋" w:hAnsi="仿宋" w:eastAsia="仿宋" w:cs="仿宋"/>
                <w:sz w:val="20"/>
                <w:szCs w:val="20"/>
                <w:highlight w:val="none"/>
                <w:lang w:val="en-US" w:eastAsia="zh-CN"/>
              </w:rPr>
              <w:t>不超过2人</w:t>
            </w:r>
            <w:r>
              <w:rPr>
                <w:rFonts w:hint="eastAsia" w:ascii="仿宋" w:hAnsi="仿宋" w:eastAsia="仿宋" w:cs="仿宋"/>
                <w:sz w:val="20"/>
                <w:szCs w:val="20"/>
                <w:highlight w:val="none"/>
                <w:lang w:eastAsia="zh-CN"/>
              </w:rPr>
              <w:t>）具有机电类中级工程师</w:t>
            </w:r>
            <w:r>
              <w:rPr>
                <w:rFonts w:hint="eastAsia" w:ascii="仿宋" w:hAnsi="仿宋" w:eastAsia="仿宋" w:cs="仿宋"/>
                <w:sz w:val="20"/>
                <w:szCs w:val="20"/>
                <w:highlight w:val="none"/>
                <w:lang w:val="en-US" w:eastAsia="zh-CN"/>
              </w:rPr>
              <w:t>及</w:t>
            </w:r>
            <w:r>
              <w:rPr>
                <w:rFonts w:hint="eastAsia" w:ascii="仿宋" w:hAnsi="仿宋" w:eastAsia="仿宋" w:cs="仿宋"/>
                <w:sz w:val="20"/>
                <w:szCs w:val="20"/>
                <w:highlight w:val="none"/>
                <w:lang w:eastAsia="zh-CN"/>
              </w:rPr>
              <w:t>以上职称，每1人得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lang w:eastAsia="zh-CN"/>
              </w:rPr>
              <w:t>分，最高得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lang w:eastAsia="zh-CN"/>
              </w:rPr>
              <w:t>分。（须提供证书复印件，</w:t>
            </w:r>
            <w:r>
              <w:rPr>
                <w:rFonts w:hint="eastAsia" w:ascii="仿宋" w:hAnsi="仿宋" w:eastAsia="仿宋" w:cs="仿宋"/>
                <w:sz w:val="20"/>
                <w:szCs w:val="20"/>
                <w:highlight w:val="none"/>
                <w:lang w:val="en-US" w:eastAsia="zh-CN"/>
              </w:rPr>
              <w:t>以及自2022年8月以来至今</w:t>
            </w:r>
            <w:r>
              <w:rPr>
                <w:rFonts w:hint="eastAsia" w:ascii="仿宋" w:hAnsi="仿宋" w:eastAsia="仿宋" w:cs="仿宋"/>
                <w:sz w:val="20"/>
                <w:szCs w:val="20"/>
                <w:highlight w:val="none"/>
                <w:lang w:eastAsia="zh-CN"/>
              </w:rPr>
              <w:t>任意1个月由</w:t>
            </w:r>
            <w:r>
              <w:rPr>
                <w:rFonts w:hint="eastAsia" w:ascii="仿宋" w:hAnsi="仿宋" w:eastAsia="仿宋" w:cs="仿宋"/>
                <w:sz w:val="20"/>
                <w:szCs w:val="20"/>
                <w:highlight w:val="none"/>
                <w:lang w:val="en-US" w:eastAsia="zh-CN"/>
              </w:rPr>
              <w:t>响应人</w:t>
            </w:r>
            <w:r>
              <w:rPr>
                <w:rFonts w:hint="eastAsia" w:ascii="仿宋" w:hAnsi="仿宋" w:eastAsia="仿宋" w:cs="仿宋"/>
                <w:sz w:val="20"/>
                <w:szCs w:val="20"/>
                <w:highlight w:val="none"/>
                <w:lang w:eastAsia="zh-CN"/>
              </w:rPr>
              <w:t>缴纳社保的证明材料，加盖</w:t>
            </w:r>
            <w:r>
              <w:rPr>
                <w:rFonts w:hint="eastAsia" w:ascii="仿宋" w:hAnsi="仿宋" w:eastAsia="仿宋" w:cs="仿宋"/>
                <w:sz w:val="20"/>
                <w:szCs w:val="20"/>
                <w:highlight w:val="none"/>
                <w:lang w:val="en-US" w:eastAsia="zh-CN"/>
              </w:rPr>
              <w:t>响应人</w:t>
            </w:r>
            <w:r>
              <w:rPr>
                <w:rFonts w:hint="eastAsia" w:ascii="仿宋" w:hAnsi="仿宋" w:eastAsia="仿宋" w:cs="仿宋"/>
                <w:sz w:val="20"/>
                <w:szCs w:val="20"/>
                <w:highlight w:val="none"/>
                <w:lang w:eastAsia="zh-CN"/>
              </w:rPr>
              <w:t xml:space="preserve">公章。） </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val="en-US" w:eastAsia="zh-CN"/>
              </w:rPr>
              <w:t>②</w:t>
            </w:r>
            <w:r>
              <w:rPr>
                <w:rFonts w:hint="eastAsia" w:ascii="仿宋" w:hAnsi="仿宋" w:eastAsia="仿宋" w:cs="仿宋"/>
                <w:sz w:val="20"/>
                <w:szCs w:val="20"/>
                <w:highlight w:val="none"/>
                <w:lang w:eastAsia="zh-CN"/>
              </w:rPr>
              <w:t>拟投入团队成员中（项目经理除外），具有《特种作业操作证》（作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业类别：制冷与空调作业）资质，每1人得</w:t>
            </w:r>
            <w:r>
              <w:rPr>
                <w:rFonts w:hint="eastAsia" w:ascii="仿宋" w:hAnsi="仿宋" w:eastAsia="仿宋" w:cs="仿宋"/>
                <w:sz w:val="20"/>
                <w:szCs w:val="20"/>
                <w:highlight w:val="none"/>
                <w:lang w:val="en-US" w:eastAsia="zh-CN"/>
              </w:rPr>
              <w:t>7</w:t>
            </w:r>
            <w:r>
              <w:rPr>
                <w:rFonts w:hint="eastAsia" w:ascii="仿宋" w:hAnsi="仿宋" w:eastAsia="仿宋" w:cs="仿宋"/>
                <w:sz w:val="20"/>
                <w:szCs w:val="20"/>
                <w:highlight w:val="none"/>
                <w:lang w:eastAsia="zh-CN"/>
              </w:rPr>
              <w:t>分，最高得</w:t>
            </w:r>
            <w:r>
              <w:rPr>
                <w:rFonts w:hint="eastAsia" w:ascii="仿宋" w:hAnsi="仿宋" w:eastAsia="仿宋" w:cs="仿宋"/>
                <w:sz w:val="20"/>
                <w:szCs w:val="20"/>
                <w:highlight w:val="none"/>
                <w:lang w:val="en-US" w:eastAsia="zh-CN"/>
              </w:rPr>
              <w:t>7</w:t>
            </w:r>
            <w:r>
              <w:rPr>
                <w:rFonts w:hint="eastAsia" w:ascii="仿宋" w:hAnsi="仿宋" w:eastAsia="仿宋" w:cs="仿宋"/>
                <w:sz w:val="20"/>
                <w:szCs w:val="20"/>
                <w:highlight w:val="none"/>
                <w:lang w:eastAsia="zh-CN"/>
              </w:rPr>
              <w:t>分。（须提供证书复印件，</w:t>
            </w:r>
            <w:r>
              <w:rPr>
                <w:rFonts w:hint="eastAsia" w:ascii="仿宋" w:hAnsi="仿宋" w:eastAsia="仿宋" w:cs="仿宋"/>
                <w:sz w:val="20"/>
                <w:szCs w:val="20"/>
                <w:highlight w:val="none"/>
                <w:lang w:val="en-US" w:eastAsia="zh-CN"/>
              </w:rPr>
              <w:t>以及自2022年8月以来至今</w:t>
            </w:r>
            <w:r>
              <w:rPr>
                <w:rFonts w:hint="eastAsia" w:ascii="仿宋" w:hAnsi="仿宋" w:eastAsia="仿宋" w:cs="仿宋"/>
                <w:sz w:val="20"/>
                <w:szCs w:val="20"/>
                <w:highlight w:val="none"/>
                <w:lang w:eastAsia="zh-CN"/>
              </w:rPr>
              <w:t>任意1个月由</w:t>
            </w:r>
            <w:r>
              <w:rPr>
                <w:rFonts w:hint="eastAsia" w:ascii="仿宋" w:hAnsi="仿宋" w:eastAsia="仿宋" w:cs="仿宋"/>
                <w:sz w:val="20"/>
                <w:szCs w:val="20"/>
                <w:highlight w:val="none"/>
                <w:lang w:val="en-US" w:eastAsia="zh-CN"/>
              </w:rPr>
              <w:t>响应人</w:t>
            </w:r>
            <w:r>
              <w:rPr>
                <w:rFonts w:hint="eastAsia" w:ascii="仿宋" w:hAnsi="仿宋" w:eastAsia="仿宋" w:cs="仿宋"/>
                <w:sz w:val="20"/>
                <w:szCs w:val="20"/>
                <w:highlight w:val="none"/>
                <w:lang w:eastAsia="zh-CN"/>
              </w:rPr>
              <w:t>缴纳社保的证明材料，加盖</w:t>
            </w:r>
            <w:r>
              <w:rPr>
                <w:rFonts w:hint="eastAsia" w:ascii="仿宋" w:hAnsi="仿宋" w:eastAsia="仿宋" w:cs="仿宋"/>
                <w:sz w:val="20"/>
                <w:szCs w:val="20"/>
                <w:highlight w:val="none"/>
                <w:lang w:val="en-US" w:eastAsia="zh-CN"/>
              </w:rPr>
              <w:t>响应人</w:t>
            </w:r>
            <w:r>
              <w:rPr>
                <w:rFonts w:hint="eastAsia" w:ascii="仿宋" w:hAnsi="仿宋" w:eastAsia="仿宋" w:cs="仿宋"/>
                <w:sz w:val="20"/>
                <w:szCs w:val="20"/>
                <w:highlight w:val="none"/>
                <w:lang w:eastAsia="zh-CN"/>
              </w:rPr>
              <w:t xml:space="preserve">公章。） </w:t>
            </w:r>
          </w:p>
        </w:tc>
      </w:tr>
    </w:tbl>
    <w:p>
      <w:pPr>
        <w:keepNext w:val="0"/>
        <w:keepLines w:val="0"/>
        <w:widowControl w:val="0"/>
        <w:numPr>
          <w:ilvl w:val="0"/>
          <w:numId w:val="13"/>
        </w:numPr>
        <w:suppressLineNumbers w:val="0"/>
        <w:autoSpaceDE w:val="0"/>
        <w:autoSpaceDN/>
        <w:adjustRightInd w:val="0"/>
        <w:snapToGrid w:val="0"/>
        <w:spacing w:before="0" w:beforeAutospacing="0" w:after="0" w:afterAutospacing="0" w:line="360" w:lineRule="exact"/>
        <w:ind w:left="0" w:right="0" w:firstLine="480" w:firstLineChars="200"/>
        <w:jc w:val="both"/>
        <w:rPr>
          <w:rFonts w:hint="eastAsia" w:ascii="仿宋" w:hAnsi="仿宋" w:eastAsia="仿宋" w:cs="仿宋"/>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firstLine="562"/>
        <w:jc w:val="center"/>
        <w:rPr>
          <w:rFonts w:hint="eastAsia" w:ascii="仿宋" w:hAnsi="仿宋" w:eastAsia="仿宋" w:cs="仿宋"/>
          <w:b/>
          <w:bCs/>
          <w:color w:val="000000"/>
          <w:kern w:val="2"/>
          <w:sz w:val="28"/>
          <w:szCs w:val="28"/>
          <w:highlight w:val="none"/>
          <w:lang w:val="en-US" w:eastAsia="zh-CN"/>
        </w:rPr>
      </w:pPr>
      <w:r>
        <w:rPr>
          <w:rFonts w:hint="eastAsia" w:ascii="仿宋" w:hAnsi="仿宋" w:eastAsia="仿宋" w:cs="仿宋"/>
          <w:b/>
          <w:bCs/>
          <w:color w:val="000000"/>
          <w:kern w:val="2"/>
          <w:sz w:val="28"/>
          <w:szCs w:val="28"/>
          <w:highlight w:val="none"/>
          <w:lang w:val="en-US" w:eastAsia="zh-CN"/>
        </w:rPr>
        <w:t>技术评审表（41分）</w:t>
      </w:r>
    </w:p>
    <w:tbl>
      <w:tblPr>
        <w:tblStyle w:val="24"/>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649"/>
        <w:gridCol w:w="7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szCs w:val="20"/>
                <w:vertAlign w:val="baseline"/>
                <w:lang w:val="en-US" w:eastAsia="zh-CN"/>
              </w:rPr>
            </w:pPr>
            <w:r>
              <w:rPr>
                <w:rFonts w:hint="eastAsia" w:ascii="仿宋" w:hAnsi="仿宋" w:eastAsia="仿宋" w:cs="仿宋"/>
                <w:b/>
                <w:bCs/>
                <w:sz w:val="20"/>
                <w:szCs w:val="20"/>
              </w:rPr>
              <w:t>评审内容</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bCs/>
                <w:sz w:val="20"/>
                <w:szCs w:val="20"/>
              </w:rPr>
            </w:pPr>
            <w:r>
              <w:rPr>
                <w:rFonts w:hint="eastAsia" w:ascii="仿宋" w:hAnsi="仿宋" w:eastAsia="仿宋" w:cs="仿宋"/>
                <w:b/>
                <w:bCs/>
                <w:sz w:val="20"/>
                <w:szCs w:val="20"/>
              </w:rPr>
              <w:t>分值</w:t>
            </w:r>
          </w:p>
        </w:tc>
        <w:tc>
          <w:tcPr>
            <w:tcW w:w="7477"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高效过滤器实物样品的比较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sz w:val="20"/>
                <w:szCs w:val="20"/>
                <w:vertAlign w:val="baseline"/>
                <w:lang w:val="en-US" w:eastAsia="zh-CN"/>
              </w:rPr>
            </w:pPr>
            <w:r>
              <w:rPr>
                <w:rFonts w:hint="eastAsia" w:ascii="仿宋" w:hAnsi="仿宋" w:eastAsia="仿宋" w:cs="仿宋"/>
                <w:sz w:val="16"/>
                <w:szCs w:val="16"/>
                <w:vertAlign w:val="baseline"/>
                <w:lang w:val="en-US" w:eastAsia="zh-CN"/>
              </w:rPr>
              <w:t>（注：此项对供应商递交的样品（非检测报告）进行现场评审，不提供样品的不得分。）</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3</w:t>
            </w:r>
          </w:p>
        </w:tc>
        <w:tc>
          <w:tcPr>
            <w:tcW w:w="7477"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lang w:eastAsia="zh-CN"/>
              </w:rPr>
              <w:t>提供的</w:t>
            </w:r>
            <w:r>
              <w:rPr>
                <w:rFonts w:hint="eastAsia" w:ascii="仿宋" w:hAnsi="仿宋" w:eastAsia="仿宋" w:cs="仿宋"/>
                <w:sz w:val="20"/>
                <w:szCs w:val="20"/>
                <w:highlight w:val="none"/>
                <w:lang w:val="en-US" w:eastAsia="zh-CN"/>
              </w:rPr>
              <w:t>高</w:t>
            </w:r>
            <w:r>
              <w:rPr>
                <w:rFonts w:hint="eastAsia" w:ascii="仿宋" w:hAnsi="仿宋" w:eastAsia="仿宋" w:cs="仿宋"/>
                <w:sz w:val="20"/>
                <w:szCs w:val="20"/>
                <w:highlight w:val="none"/>
                <w:lang w:eastAsia="zh-CN"/>
              </w:rPr>
              <w:t>效过滤器</w:t>
            </w:r>
            <w:r>
              <w:rPr>
                <w:rFonts w:hint="eastAsia" w:ascii="仿宋" w:hAnsi="仿宋" w:eastAsia="仿宋" w:cs="仿宋"/>
                <w:sz w:val="20"/>
                <w:szCs w:val="20"/>
                <w:highlight w:val="none"/>
                <w:lang w:val="en-US" w:eastAsia="zh-CN"/>
              </w:rPr>
              <w:t>实物</w:t>
            </w:r>
            <w:r>
              <w:rPr>
                <w:rFonts w:hint="eastAsia" w:ascii="仿宋" w:hAnsi="仿宋" w:eastAsia="仿宋" w:cs="仿宋"/>
                <w:sz w:val="20"/>
                <w:szCs w:val="20"/>
                <w:highlight w:val="none"/>
                <w:lang w:eastAsia="zh-CN"/>
              </w:rPr>
              <w:t>样品进行评分：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铝框表面平整、整体牢固，滤材无破损、无脏污，密封胶无接缝，密封条接口平整、无缝隙的得3分。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铝框表面平整，有轻微晃动变形，滤材无破损、无脏污，密封胶无接缝，密封条接口平整、无缝隙的得2分。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铝框表面平整，有较大晃动变形，滤材完整无破损,无脏污，密封胶无接缝，密封条接口平整、无缝隙的得1分。</w:t>
            </w:r>
          </w:p>
          <w:p>
            <w:pPr>
              <w:keepNext w:val="0"/>
              <w:keepLines w:val="0"/>
              <w:suppressLineNumbers w:val="0"/>
              <w:spacing w:before="0" w:beforeAutospacing="0" w:after="0" w:afterAutospacing="0"/>
              <w:ind w:left="0" w:right="0"/>
              <w:jc w:val="left"/>
              <w:rPr>
                <w:rFonts w:hint="default" w:ascii="仿宋" w:hAnsi="仿宋" w:eastAsia="仿宋" w:cs="仿宋"/>
                <w:sz w:val="20"/>
                <w:szCs w:val="20"/>
                <w:lang w:val="en-US" w:eastAsia="zh-CN"/>
              </w:rPr>
            </w:pPr>
            <w:r>
              <w:rPr>
                <w:rFonts w:hint="eastAsia" w:ascii="仿宋" w:hAnsi="仿宋" w:eastAsia="仿宋" w:cs="仿宋"/>
                <w:sz w:val="20"/>
                <w:szCs w:val="20"/>
                <w:highlight w:val="none"/>
                <w:lang w:eastAsia="zh-CN"/>
              </w:rPr>
              <w:t>其余的不得分。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中效过滤器实物样品的比较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rPr>
            </w:pPr>
            <w:r>
              <w:rPr>
                <w:rFonts w:hint="eastAsia" w:ascii="仿宋" w:hAnsi="仿宋" w:eastAsia="仿宋" w:cs="仿宋"/>
                <w:sz w:val="16"/>
                <w:szCs w:val="16"/>
                <w:vertAlign w:val="baseline"/>
                <w:lang w:val="en-US" w:eastAsia="zh-CN"/>
              </w:rPr>
              <w:t>（注：此项对供应商递交的样品（非检测报告）进行现场评审，不提供样品的不得分。）</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w:t>
            </w:r>
          </w:p>
        </w:tc>
        <w:tc>
          <w:tcPr>
            <w:tcW w:w="7477"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lang w:eastAsia="zh-CN"/>
              </w:rPr>
              <w:t>提供的中效过滤器</w:t>
            </w:r>
            <w:r>
              <w:rPr>
                <w:rFonts w:hint="eastAsia" w:ascii="仿宋" w:hAnsi="仿宋" w:eastAsia="仿宋" w:cs="仿宋"/>
                <w:sz w:val="20"/>
                <w:szCs w:val="20"/>
                <w:highlight w:val="none"/>
                <w:lang w:val="en-US" w:eastAsia="zh-CN"/>
              </w:rPr>
              <w:t>实物</w:t>
            </w:r>
            <w:r>
              <w:rPr>
                <w:rFonts w:hint="eastAsia" w:ascii="仿宋" w:hAnsi="仿宋" w:eastAsia="仿宋" w:cs="仿宋"/>
                <w:sz w:val="20"/>
                <w:szCs w:val="20"/>
                <w:highlight w:val="none"/>
                <w:lang w:eastAsia="zh-CN"/>
              </w:rPr>
              <w:t>样品进行评分：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铝框表面平整、整体牢固，滤材无破损、无脏污，密封胶无接缝，密封条接口平整、无缝隙的得3分。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铝框表面平整，有轻微晃动变形，滤材无破损、无脏污，密封胶无接缝，密封条接口平整、无缝隙的得2分。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铝框表面平整，有较大晃动变形，滤材完整无破损,无脏污，密封胶无接缝，密封条接口平整、无缝隙的得1分。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eastAsia="zh-CN"/>
              </w:rPr>
            </w:pPr>
            <w:r>
              <w:rPr>
                <w:rFonts w:hint="eastAsia" w:ascii="仿宋" w:hAnsi="仿宋" w:eastAsia="仿宋" w:cs="仿宋"/>
                <w:sz w:val="20"/>
                <w:szCs w:val="20"/>
                <w:highlight w:val="none"/>
                <w:lang w:eastAsia="zh-CN"/>
              </w:rPr>
              <w:t>其余的不得分。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低效过滤器实物样品的比较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0"/>
                <w:szCs w:val="20"/>
              </w:rPr>
            </w:pPr>
            <w:r>
              <w:rPr>
                <w:rFonts w:hint="eastAsia" w:ascii="仿宋" w:hAnsi="仿宋" w:eastAsia="仿宋" w:cs="仿宋"/>
                <w:sz w:val="16"/>
                <w:szCs w:val="16"/>
                <w:vertAlign w:val="baseline"/>
                <w:lang w:val="en-US" w:eastAsia="zh-CN"/>
              </w:rPr>
              <w:t>（注：此项对供应商递交的样品（非检测报告）进行现场评审，不提供样品的不得分。）</w:t>
            </w:r>
          </w:p>
        </w:tc>
        <w:tc>
          <w:tcPr>
            <w:tcW w:w="64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3</w:t>
            </w:r>
          </w:p>
        </w:tc>
        <w:tc>
          <w:tcPr>
            <w:tcW w:w="7477"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lang w:eastAsia="zh-CN"/>
              </w:rPr>
              <w:t>提供的</w:t>
            </w:r>
            <w:r>
              <w:rPr>
                <w:rFonts w:hint="eastAsia" w:ascii="仿宋" w:hAnsi="仿宋" w:eastAsia="仿宋" w:cs="仿宋"/>
                <w:sz w:val="20"/>
                <w:szCs w:val="20"/>
                <w:highlight w:val="none"/>
                <w:lang w:val="en-US" w:eastAsia="zh-CN"/>
              </w:rPr>
              <w:t>低</w:t>
            </w:r>
            <w:r>
              <w:rPr>
                <w:rFonts w:hint="eastAsia" w:ascii="仿宋" w:hAnsi="仿宋" w:eastAsia="仿宋" w:cs="仿宋"/>
                <w:sz w:val="20"/>
                <w:szCs w:val="20"/>
                <w:highlight w:val="none"/>
                <w:lang w:eastAsia="zh-CN"/>
              </w:rPr>
              <w:t>效过滤器</w:t>
            </w:r>
            <w:r>
              <w:rPr>
                <w:rFonts w:hint="eastAsia" w:ascii="仿宋" w:hAnsi="仿宋" w:eastAsia="仿宋" w:cs="仿宋"/>
                <w:sz w:val="20"/>
                <w:szCs w:val="20"/>
                <w:highlight w:val="none"/>
                <w:lang w:val="en-US" w:eastAsia="zh-CN"/>
              </w:rPr>
              <w:t>实物</w:t>
            </w:r>
            <w:r>
              <w:rPr>
                <w:rFonts w:hint="eastAsia" w:ascii="仿宋" w:hAnsi="仿宋" w:eastAsia="仿宋" w:cs="仿宋"/>
                <w:sz w:val="20"/>
                <w:szCs w:val="20"/>
                <w:highlight w:val="none"/>
                <w:lang w:eastAsia="zh-CN"/>
              </w:rPr>
              <w:t>样品进行评分：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铝框表面平整、整体牢固，滤材无破损、无脏污，密封胶无接缝，密封条接口平整、无缝隙的得3分。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铝框表面平整，有轻微晃动变形，滤材无破损、无脏污，密封胶无接缝，密封条接口平整、无缝隙的得2分。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铝框表面平整，有较大晃动变形，滤材完整无破损,无脏污，密封胶无接缝，密封条接口平整、无缝隙的得1分。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eastAsia="zh-CN"/>
              </w:rPr>
            </w:pPr>
            <w:r>
              <w:rPr>
                <w:rFonts w:hint="eastAsia" w:ascii="仿宋" w:hAnsi="仿宋" w:eastAsia="仿宋" w:cs="仿宋"/>
                <w:sz w:val="20"/>
                <w:szCs w:val="20"/>
                <w:highlight w:val="none"/>
                <w:lang w:eastAsia="zh-CN"/>
              </w:rPr>
              <w:t>其余的不得分。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rPr>
              <w:t>空气过滤器技术参数响应程度</w:t>
            </w:r>
          </w:p>
        </w:tc>
        <w:tc>
          <w:tcPr>
            <w:tcW w:w="64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lang w:val="en-US"/>
              </w:rPr>
            </w:pPr>
            <w:r>
              <w:rPr>
                <w:rFonts w:hint="eastAsia" w:ascii="仿宋" w:hAnsi="仿宋" w:eastAsia="仿宋" w:cs="仿宋"/>
                <w:sz w:val="20"/>
                <w:szCs w:val="20"/>
                <w:lang w:val="en-US" w:eastAsia="zh-CN"/>
              </w:rPr>
              <w:t>14</w:t>
            </w:r>
          </w:p>
        </w:tc>
        <w:tc>
          <w:tcPr>
            <w:tcW w:w="7477"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对比选文件第二章用户需求书“四、各规格空气过滤器技术参数及要求”中“风口金属网空气过滤器、折叠式空气过滤器、袋式空气过滤器、亚高效空气过滤器、大风量高效空气过滤器、无隔板空气过滤器、有隔板高效过滤器”7个产品的响应程度进行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每一个产品的参数完全满足技术参数要求，得2分，最高得14分。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vertAlign w:val="baseline"/>
                <w:lang w:val="en-US" w:eastAsia="zh-CN"/>
              </w:rPr>
            </w:pPr>
            <w:r>
              <w:rPr>
                <w:rFonts w:hint="eastAsia" w:ascii="仿宋" w:hAnsi="仿宋" w:eastAsia="仿宋" w:cs="仿宋"/>
                <w:b w:val="0"/>
                <w:bCs w:val="0"/>
                <w:sz w:val="20"/>
                <w:szCs w:val="20"/>
                <w:highlight w:val="none"/>
              </w:rPr>
              <w:t>注：</w:t>
            </w:r>
            <w:r>
              <w:rPr>
                <w:rFonts w:hint="eastAsia" w:ascii="仿宋" w:hAnsi="仿宋" w:eastAsia="仿宋" w:cs="仿宋"/>
                <w:sz w:val="20"/>
                <w:szCs w:val="20"/>
                <w:lang w:val="en-US" w:eastAsia="zh-CN"/>
              </w:rPr>
              <w:t>须提供产品彩页或厂家使用说明书或检验检测报告或出厂合格证等能完整体现产品技术参数的证明材料，加盖供应商公章。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lang w:val="en-US" w:eastAsia="zh-CN"/>
              </w:rPr>
              <w:t>产品可靠性</w:t>
            </w:r>
          </w:p>
        </w:tc>
        <w:tc>
          <w:tcPr>
            <w:tcW w:w="64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highlight w:val="none"/>
                <w:lang w:val="en-US"/>
              </w:rPr>
            </w:pPr>
            <w:r>
              <w:rPr>
                <w:rFonts w:hint="eastAsia" w:ascii="仿宋" w:hAnsi="仿宋" w:eastAsia="仿宋" w:cs="仿宋"/>
                <w:sz w:val="20"/>
                <w:szCs w:val="20"/>
                <w:highlight w:val="none"/>
                <w:lang w:val="en-US" w:eastAsia="zh-CN"/>
              </w:rPr>
              <w:t>6</w:t>
            </w:r>
          </w:p>
        </w:tc>
        <w:tc>
          <w:tcPr>
            <w:tcW w:w="7477"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技术水平在同类产品中领先，技术成熟性、设备可靠性强，明显优于同类产品的得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技术水平在同类产品中属于中等，技术成熟性、设备可靠性较好的得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 xml:space="preserve">分； </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rPr>
              <w:t>技术水平在同类产品中较落后，技术成熟性、设备可靠性一般的得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分</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 xml:space="preserve"> </w:t>
            </w: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安装服务方案</w:t>
            </w:r>
          </w:p>
        </w:tc>
        <w:tc>
          <w:tcPr>
            <w:tcW w:w="64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6</w:t>
            </w:r>
          </w:p>
        </w:tc>
        <w:tc>
          <w:tcPr>
            <w:tcW w:w="7477"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提供的安装服务方案（包括但不限于进入洁净区人员着装方案、过滤器更换方案、检测方案等）进行评审：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安装调试及验收方案具体、详细、可行，有利于项目实施的得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安装调试及验收方案较具体、较详细、可行，较有利于项目实施的得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 xml:space="preserve">分； </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安装调试及验收方案一般、较详细、可行性一般，利于项目实施的得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 xml:space="preserve">分； </w:t>
            </w: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售后服务方案</w:t>
            </w:r>
          </w:p>
        </w:tc>
        <w:tc>
          <w:tcPr>
            <w:tcW w:w="64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6</w:t>
            </w:r>
          </w:p>
        </w:tc>
        <w:tc>
          <w:tcPr>
            <w:tcW w:w="7477"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包括但不限于服务承诺、应急预案、突发事件的处理措施、退换货方案等</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进行评审：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提供的售后服务方案及退换货方案详细，解决问题快速，科学性、服务便利程度、合理性高，退换手续制度完善合理，服务承诺优于采购需求，得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提供的售后服务方案及退换货方案较详细，科学性、服务便利程度、合理性较高，退换手续制度较完善，服务承诺满足采购需求，得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提供的售后服务方案及退换货方案不详细，服务便利程度及合理性较低，退换手续流程不够便捷，服务承诺低于采购需求，得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r>
    </w:tbl>
    <w:p>
      <w:pPr>
        <w:pStyle w:val="29"/>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本项目统一采用低价优先法计算，以</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作为价格评分的评审依据。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满足比选文件要求且</w:t>
      </w:r>
      <w:r>
        <w:rPr>
          <w:rFonts w:hint="eastAsia" w:ascii="仿宋" w:hAnsi="仿宋" w:eastAsia="仿宋" w:cs="仿宋"/>
          <w:color w:val="000000"/>
          <w:sz w:val="24"/>
          <w:szCs w:val="24"/>
          <w:highlight w:val="none"/>
          <w:u w:val="single"/>
          <w:lang w:val="en-US" w:eastAsia="zh-CN"/>
        </w:rPr>
        <w:t>（1-响应下浮率）</w:t>
      </w:r>
      <w:r>
        <w:rPr>
          <w:rFonts w:hint="eastAsia" w:ascii="仿宋" w:hAnsi="仿宋" w:eastAsia="仿宋" w:cs="仿宋"/>
          <w:color w:val="000000"/>
          <w:sz w:val="24"/>
          <w:szCs w:val="24"/>
          <w:highlight w:val="none"/>
          <w:lang w:val="en-US" w:eastAsia="zh-CN"/>
        </w:rPr>
        <w:t>最低的价格为评分基准价，价格得分＝（评分基准价/响应报价）*30，保留两位小数）。</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T ＋ M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T      某个响应人的技术评审得分；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      某个响应人的商务评审得分；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w:t>
      </w:r>
      <w:r>
        <w:rPr>
          <w:rFonts w:hint="eastAsia" w:ascii="仿宋" w:hAnsi="仿宋" w:eastAsia="仿宋" w:cs="仿宋"/>
          <w:color w:val="000000"/>
          <w:sz w:val="24"/>
          <w:szCs w:val="24"/>
          <w:highlight w:val="none"/>
          <w:lang w:val="en-US" w:eastAsia="zh-CN"/>
        </w:rPr>
        <w:t>T</w:t>
      </w:r>
      <w:r>
        <w:rPr>
          <w:rFonts w:hint="eastAsia" w:ascii="仿宋" w:hAnsi="仿宋" w:eastAsia="仿宋" w:cs="仿宋"/>
          <w:color w:val="000000"/>
          <w:sz w:val="24"/>
          <w:szCs w:val="24"/>
          <w:highlight w:val="none"/>
        </w:rPr>
        <w:t>、M均为所有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报价相同的，按照技术部分得分（由高到低）顺序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医院官方网站的采购专栏</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w:t>
      </w:r>
      <w:r>
        <w:rPr>
          <w:rFonts w:hint="eastAsia" w:ascii="仿宋" w:hAnsi="仿宋" w:eastAsia="仿宋" w:cs="仿宋"/>
          <w:color w:val="000000"/>
          <w:sz w:val="24"/>
          <w:szCs w:val="24"/>
          <w:highlight w:val="none"/>
          <w:lang w:eastAsia="zh-CN"/>
        </w:rPr>
        <w:t>比选文件</w:t>
      </w:r>
      <w:r>
        <w:rPr>
          <w:rFonts w:hint="eastAsia" w:ascii="仿宋" w:hAnsi="仿宋" w:eastAsia="仿宋" w:cs="仿宋"/>
          <w:color w:val="000000"/>
          <w:sz w:val="24"/>
          <w:szCs w:val="24"/>
          <w:highlight w:val="none"/>
        </w:rPr>
        <w:t>、采购过程、中标或者成交结果使自己的权益受到损害的，可以在知道或者应知其权益受到损害之日起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 xml:space="preserve">协助答复质疑。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29"/>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质疑接收机构名称：中山大学孙逸仙纪念医院纪检监察部、招投标与采购管理办公室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质疑接收机构地址：广州市</w:t>
      </w:r>
      <w:r>
        <w:rPr>
          <w:rFonts w:hint="eastAsia" w:ascii="仿宋" w:hAnsi="仿宋" w:eastAsia="仿宋" w:cs="仿宋"/>
          <w:sz w:val="24"/>
          <w:szCs w:val="24"/>
          <w:highlight w:val="none"/>
          <w:lang w:val="en-US" w:eastAsia="zh-CN"/>
        </w:rPr>
        <w:t>越秀区</w:t>
      </w:r>
      <w:r>
        <w:rPr>
          <w:rFonts w:hint="eastAsia" w:ascii="仿宋" w:hAnsi="仿宋" w:eastAsia="仿宋" w:cs="仿宋"/>
          <w:sz w:val="24"/>
          <w:szCs w:val="24"/>
          <w:highlight w:val="none"/>
        </w:rPr>
        <w:t>沿江西路107号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广州市越秀区长堤大马路171号一方长堤健康产业中心（原威力斯大楼）907室</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质疑接收机构电话：020-81332501、020-81338035（工作时间：8：00-12:00,14:30-17：30）</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供应商自成交通知书发出之日起三十日内，按比选文件要求和成交供应商响应文件承诺签订采购合同，但不得超出比选文件和成交供应商响应文件的范围、也不得再行订立背离合同实质性内容的其他协议。</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8"/>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合同参考文本</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2"/>
        <w:rPr>
          <w:rFonts w:hint="eastAsia" w:ascii="仿宋" w:hAnsi="仿宋" w:eastAsia="仿宋" w:cs="仿宋"/>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rPr>
        <w:t xml:space="preserve">        (项目)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货物</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3"/>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9"/>
        <w:ind w:firstLine="0" w:firstLineChars="0"/>
        <w:rPr>
          <w:rFonts w:hint="eastAsia" w:ascii="仿宋_GB2312" w:eastAsia="仿宋_GB2312" w:cs="仿宋_GB2312"/>
          <w:b/>
          <w:color w:val="000000"/>
          <w:sz w:val="28"/>
          <w:szCs w:val="28"/>
          <w:highlight w:val="none"/>
        </w:rPr>
      </w:pPr>
    </w:p>
    <w:p>
      <w:pPr>
        <w:pStyle w:val="29"/>
        <w:ind w:firstLine="0" w:firstLineChars="0"/>
        <w:rPr>
          <w:rFonts w:hint="eastAsia" w:ascii="仿宋_GB2312" w:eastAsia="仿宋_GB2312" w:cs="仿宋_GB2312"/>
          <w:b/>
          <w:color w:val="000000"/>
          <w:sz w:val="28"/>
          <w:szCs w:val="28"/>
          <w:highlight w:val="none"/>
        </w:rPr>
      </w:pPr>
    </w:p>
    <w:p>
      <w:pPr>
        <w:pStyle w:val="29"/>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spacing w:beforeAutospacing="1"/>
        <w:jc w:val="center"/>
        <w:rPr>
          <w:rFonts w:hint="eastAsia" w:ascii="仿宋_GB2312" w:eastAsia="仿宋_GB2312" w:cs="仿宋_GB2312"/>
          <w:b/>
          <w:color w:val="000000"/>
          <w:sz w:val="30"/>
          <w:szCs w:val="30"/>
          <w:highlight w:val="none"/>
        </w:rPr>
      </w:pPr>
      <w:r>
        <w:rPr>
          <w:rFonts w:hint="eastAsia" w:ascii="华文中宋" w:hAnsi="华文中宋" w:eastAsia="华文中宋" w:cs="华文中宋"/>
          <w:b/>
          <w:color w:val="000000"/>
          <w:sz w:val="32"/>
          <w:szCs w:val="32"/>
          <w:highlight w:val="none"/>
        </w:rPr>
        <w:t>中山大学孙逸仙纪念医院合同</w:t>
      </w:r>
    </w:p>
    <w:p>
      <w:pPr>
        <w:spacing w:beforeAutospacing="1"/>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合同编号：</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sz w:val="24"/>
          <w:szCs w:val="24"/>
          <w:highlight w:val="none"/>
        </w:rPr>
        <w:t>甲方（</w:t>
      </w:r>
      <w:r>
        <w:rPr>
          <w:rFonts w:hint="eastAsia" w:ascii="仿宋" w:hAnsi="仿宋" w:eastAsia="仿宋" w:cs="仿宋"/>
          <w:color w:val="000000" w:themeColor="text1"/>
          <w:sz w:val="24"/>
          <w:szCs w:val="24"/>
          <w:highlight w:val="none"/>
          <w14:textFill>
            <w14:solidFill>
              <w14:schemeClr w14:val="tx1"/>
            </w14:solidFill>
          </w14:textFill>
        </w:rPr>
        <w:t>采购方）：中山大学孙逸仙纪念医院</w:t>
      </w:r>
    </w:p>
    <w:p>
      <w:pPr>
        <w:spacing w:beforeAutospacing="1"/>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乙方（成交方）：</w:t>
      </w:r>
    </w:p>
    <w:p>
      <w:pPr>
        <w:spacing w:beforeAutospacing="1"/>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根据《中华人民共和国民法典》及中山大学孙逸仙纪念医院南北院区及南海精准免疫转化创新中心洁净空调滤网采购项目（项目编号：</w:t>
      </w:r>
      <w:r>
        <w:rPr>
          <w:rFonts w:hint="eastAsia" w:ascii="仿宋" w:hAnsi="仿宋" w:eastAsia="仿宋" w:cs="仿宋"/>
          <w:color w:val="000000" w:themeColor="text1"/>
          <w:sz w:val="24"/>
          <w:szCs w:val="24"/>
          <w:highlight w:val="none"/>
          <w:lang w:val="en-US" w:eastAsia="zh-CN"/>
          <w14:textFill>
            <w14:solidFill>
              <w14:schemeClr w14:val="tx1"/>
            </w14:solidFill>
          </w14:textFill>
        </w:rPr>
        <w:t>ZCB-20230xx</w:t>
      </w:r>
      <w:r>
        <w:rPr>
          <w:rFonts w:hint="eastAsia" w:ascii="仿宋" w:hAnsi="仿宋" w:eastAsia="仿宋" w:cs="仿宋"/>
          <w:color w:val="000000" w:themeColor="text1"/>
          <w:sz w:val="24"/>
          <w:szCs w:val="24"/>
          <w:highlight w:val="none"/>
          <w14:textFill>
            <w14:solidFill>
              <w14:schemeClr w14:val="tx1"/>
            </w14:solidFill>
          </w14:textFill>
        </w:rPr>
        <w:t xml:space="preserve">）及采购结果的要求，甲方向乙方订购下列货物及其服务。为明确双方责任和权利，甲乙双方经商议后特签订本合同，共同遵守。具体条款如下: </w:t>
      </w:r>
    </w:p>
    <w:p>
      <w:pPr>
        <w:keepNext w:val="0"/>
        <w:keepLines w:val="0"/>
        <w:pageBreakBefore w:val="0"/>
        <w:widowControl w:val="0"/>
        <w:numPr>
          <w:ilvl w:val="0"/>
          <w:numId w:val="16"/>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采购内容</w:t>
      </w:r>
      <w:r>
        <w:rPr>
          <w:rFonts w:hint="eastAsia" w:ascii="仿宋" w:hAnsi="仿宋" w:eastAsia="仿宋" w:cs="仿宋"/>
          <w:color w:val="000000" w:themeColor="text1"/>
          <w:sz w:val="24"/>
          <w:szCs w:val="24"/>
          <w:highlight w:val="none"/>
          <w:lang w:val="en-US" w:eastAsia="zh-CN"/>
          <w14:textFill>
            <w14:solidFill>
              <w14:schemeClr w14:val="tx1"/>
            </w14:solidFill>
          </w14:textFill>
        </w:rPr>
        <w:t>及合同单价</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1.乙方负责向甲方供应下表中所列产品，详见附件货物清单。</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具体品牌</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规格等</w:t>
      </w:r>
      <w:r>
        <w:rPr>
          <w:rFonts w:hint="eastAsia" w:ascii="仿宋" w:hAnsi="仿宋" w:eastAsia="仿宋" w:cs="仿宋"/>
          <w:color w:val="000000" w:themeColor="text1"/>
          <w:sz w:val="24"/>
          <w:szCs w:val="24"/>
          <w:highlight w:val="none"/>
          <w:lang w:val="en-US" w:eastAsia="zh-CN"/>
          <w14:textFill>
            <w14:solidFill>
              <w14:schemeClr w14:val="tx1"/>
            </w14:solidFill>
          </w14:textFill>
        </w:rPr>
        <w:t>须</w:t>
      </w:r>
      <w:r>
        <w:rPr>
          <w:rFonts w:hint="eastAsia" w:ascii="仿宋" w:hAnsi="仿宋" w:eastAsia="仿宋" w:cs="仿宋"/>
          <w:color w:val="000000" w:themeColor="text1"/>
          <w:sz w:val="24"/>
          <w:szCs w:val="24"/>
          <w:highlight w:val="none"/>
          <w14:textFill>
            <w14:solidFill>
              <w14:schemeClr w14:val="tx1"/>
            </w14:solidFill>
          </w14:textFill>
        </w:rPr>
        <w:t>与</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样品相符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且以甲方</w:t>
      </w:r>
      <w:r>
        <w:rPr>
          <w:rFonts w:hint="eastAsia" w:ascii="仿宋" w:hAnsi="仿宋" w:eastAsia="仿宋" w:cs="仿宋"/>
          <w:color w:val="000000" w:themeColor="text1"/>
          <w:sz w:val="24"/>
          <w:szCs w:val="24"/>
          <w:highlight w:val="none"/>
          <w14:textFill>
            <w14:solidFill>
              <w14:schemeClr w14:val="tx1"/>
            </w14:solidFill>
          </w14:textFill>
        </w:rPr>
        <w:t>确认</w:t>
      </w:r>
      <w:r>
        <w:rPr>
          <w:rFonts w:hint="eastAsia" w:ascii="仿宋" w:hAnsi="仿宋" w:eastAsia="仿宋" w:cs="仿宋"/>
          <w:color w:val="000000" w:themeColor="text1"/>
          <w:sz w:val="24"/>
          <w:szCs w:val="24"/>
          <w:highlight w:val="none"/>
          <w:lang w:val="en-US" w:eastAsia="zh-CN"/>
          <w14:textFill>
            <w14:solidFill>
              <w14:schemeClr w14:val="tx1"/>
            </w14:solidFill>
          </w14:textFill>
        </w:rPr>
        <w:t>后的</w:t>
      </w:r>
      <w:r>
        <w:rPr>
          <w:rFonts w:hint="eastAsia" w:ascii="仿宋" w:hAnsi="仿宋" w:eastAsia="仿宋" w:cs="仿宋"/>
          <w:color w:val="000000" w:themeColor="text1"/>
          <w:sz w:val="24"/>
          <w:szCs w:val="24"/>
          <w:highlight w:val="none"/>
          <w14:textFill>
            <w14:solidFill>
              <w14:schemeClr w14:val="tx1"/>
            </w14:solidFill>
          </w14:textFill>
        </w:rPr>
        <w:t>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合同单价为供货期内的固定价格，不随市场行情改动</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合同单价</w:t>
      </w:r>
      <w:r>
        <w:rPr>
          <w:rFonts w:hint="eastAsia" w:ascii="仿宋" w:hAnsi="仿宋" w:eastAsia="仿宋" w:cs="仿宋"/>
          <w:color w:val="000000" w:themeColor="text1"/>
          <w:sz w:val="24"/>
          <w:szCs w:val="24"/>
          <w:highlight w:val="none"/>
          <w14:textFill>
            <w14:solidFill>
              <w14:schemeClr w14:val="tx1"/>
            </w14:solidFill>
          </w14:textFill>
        </w:rPr>
        <w:t>包括但不限于货物价格、包装费、安装费、检测费、保险费、运输费、备品备件专用工具费、装卸费、搬运费、二次搬运费、保管费、就位费、验收费、培训费、售后服务费、综合费率、总利润、税金等、施工中可能发生的一切费用。</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4.附件货物清单所列</w:t>
      </w:r>
      <w:r>
        <w:rPr>
          <w:rFonts w:hint="eastAsia" w:ascii="仿宋" w:hAnsi="仿宋" w:eastAsia="仿宋" w:cs="仿宋"/>
          <w:color w:val="000000" w:themeColor="text1"/>
          <w:sz w:val="24"/>
          <w:szCs w:val="24"/>
          <w:highlight w:val="none"/>
          <w14:textFill>
            <w14:solidFill>
              <w14:schemeClr w14:val="tx1"/>
            </w14:solidFill>
          </w14:textFill>
        </w:rPr>
        <w:t>数量为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计划</w:t>
      </w:r>
      <w:r>
        <w:rPr>
          <w:rFonts w:hint="eastAsia" w:ascii="仿宋" w:hAnsi="仿宋" w:eastAsia="仿宋" w:cs="仿宋"/>
          <w:color w:val="000000" w:themeColor="text1"/>
          <w:sz w:val="24"/>
          <w:szCs w:val="24"/>
          <w:highlight w:val="none"/>
          <w14:textFill>
            <w14:solidFill>
              <w14:schemeClr w14:val="tx1"/>
            </w14:solidFill>
          </w14:textFill>
        </w:rPr>
        <w:t>采购数量，实际采购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品种</w:t>
      </w:r>
      <w:r>
        <w:rPr>
          <w:rFonts w:hint="eastAsia" w:ascii="仿宋" w:hAnsi="仿宋" w:eastAsia="仿宋" w:cs="仿宋"/>
          <w:color w:val="000000" w:themeColor="text1"/>
          <w:sz w:val="24"/>
          <w:szCs w:val="24"/>
          <w:highlight w:val="none"/>
          <w14:textFill>
            <w14:solidFill>
              <w14:schemeClr w14:val="tx1"/>
            </w14:solidFill>
          </w14:textFill>
        </w:rPr>
        <w:t>和结算数量以双方共同确认的为准。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合同暂定价</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w:t>
      </w:r>
      <w:r>
        <w:rPr>
          <w:rFonts w:hint="eastAsia" w:ascii="仿宋" w:hAnsi="仿宋" w:eastAsia="仿宋" w:cs="仿宋"/>
          <w:color w:val="000000" w:themeColor="text1"/>
          <w:sz w:val="24"/>
          <w:szCs w:val="24"/>
          <w:highlight w:val="none"/>
          <w:lang w:val="en-US" w:eastAsia="zh-CN"/>
          <w14:textFill>
            <w14:solidFill>
              <w14:schemeClr w14:val="tx1"/>
            </w14:solidFill>
          </w14:textFill>
        </w:rPr>
        <w:t>暂定价</w:t>
      </w:r>
      <w:r>
        <w:rPr>
          <w:rFonts w:hint="eastAsia" w:ascii="仿宋" w:hAnsi="仿宋" w:eastAsia="仿宋" w:cs="仿宋"/>
          <w:color w:val="000000" w:themeColor="text1"/>
          <w:sz w:val="24"/>
          <w:szCs w:val="24"/>
          <w:highlight w:val="none"/>
          <w14:textFill>
            <w14:solidFill>
              <w14:schemeClr w14:val="tx1"/>
            </w14:solidFill>
          </w14:textFill>
        </w:rPr>
        <w:t>为(大写)：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元，即￥</w:t>
      </w:r>
      <w:r>
        <w:rPr>
          <w:rFonts w:hint="eastAsia" w:ascii="仿宋" w:hAnsi="仿宋" w:eastAsia="仿宋" w:cs="仿宋"/>
          <w:i w:val="0"/>
          <w:iCs w:val="0"/>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依据合同所签订的单价</w:t>
      </w:r>
      <w:r>
        <w:rPr>
          <w:rFonts w:hint="eastAsia" w:ascii="仿宋" w:hAnsi="仿宋" w:eastAsia="仿宋" w:cs="仿宋"/>
          <w:color w:val="000000" w:themeColor="text1"/>
          <w:sz w:val="24"/>
          <w:szCs w:val="24"/>
          <w:highlight w:val="none"/>
          <w:lang w:val="en-US" w:eastAsia="zh-CN"/>
          <w14:textFill>
            <w14:solidFill>
              <w14:schemeClr w14:val="tx1"/>
            </w14:solidFill>
          </w14:textFill>
        </w:rPr>
        <w:t>和</w:t>
      </w:r>
      <w:r>
        <w:rPr>
          <w:rFonts w:hint="eastAsia" w:ascii="仿宋" w:hAnsi="仿宋" w:eastAsia="仿宋" w:cs="仿宋"/>
          <w:color w:val="000000" w:themeColor="text1"/>
          <w:sz w:val="24"/>
          <w:szCs w:val="24"/>
          <w:highlight w:val="none"/>
          <w14:textFill>
            <w14:solidFill>
              <w14:schemeClr w14:val="tx1"/>
            </w14:solidFill>
          </w14:textFill>
        </w:rPr>
        <w:t>实际供货</w:t>
      </w:r>
      <w:r>
        <w:rPr>
          <w:rFonts w:hint="eastAsia" w:ascii="仿宋" w:hAnsi="仿宋" w:eastAsia="仿宋" w:cs="仿宋"/>
          <w:color w:val="000000" w:themeColor="text1"/>
          <w:sz w:val="24"/>
          <w:szCs w:val="24"/>
          <w:highlight w:val="none"/>
          <w:lang w:val="en-US" w:eastAsia="zh-CN"/>
          <w14:textFill>
            <w14:solidFill>
              <w14:schemeClr w14:val="tx1"/>
            </w14:solidFill>
          </w14:textFill>
        </w:rPr>
        <w:t>品种、数</w:t>
      </w:r>
      <w:r>
        <w:rPr>
          <w:rFonts w:hint="eastAsia" w:ascii="仿宋" w:hAnsi="仿宋" w:eastAsia="仿宋" w:cs="仿宋"/>
          <w:color w:val="000000" w:themeColor="text1"/>
          <w:sz w:val="24"/>
          <w:szCs w:val="24"/>
          <w:highlight w:val="none"/>
          <w14:textFill>
            <w14:solidFill>
              <w14:schemeClr w14:val="tx1"/>
            </w14:solidFill>
          </w14:textFill>
        </w:rPr>
        <w:t>量</w:t>
      </w:r>
      <w:r>
        <w:rPr>
          <w:rFonts w:hint="eastAsia" w:ascii="仿宋" w:hAnsi="仿宋" w:eastAsia="仿宋" w:cs="仿宋"/>
          <w:color w:val="000000" w:themeColor="text1"/>
          <w:sz w:val="24"/>
          <w:szCs w:val="24"/>
          <w:highlight w:val="none"/>
          <w:lang w:val="en-US" w:eastAsia="zh-CN"/>
          <w14:textFill>
            <w14:solidFill>
              <w14:schemeClr w14:val="tx1"/>
            </w14:solidFill>
          </w14:textFill>
        </w:rPr>
        <w:t>办理</w:t>
      </w:r>
      <w:r>
        <w:rPr>
          <w:rFonts w:hint="eastAsia" w:ascii="仿宋" w:hAnsi="仿宋" w:eastAsia="仿宋" w:cs="仿宋"/>
          <w:color w:val="000000" w:themeColor="text1"/>
          <w:sz w:val="24"/>
          <w:szCs w:val="24"/>
          <w:highlight w:val="none"/>
          <w14:textFill>
            <w14:solidFill>
              <w14:schemeClr w14:val="tx1"/>
            </w14:solidFill>
          </w14:textFill>
        </w:rPr>
        <w:t>结算</w:t>
      </w:r>
      <w:r>
        <w:rPr>
          <w:rFonts w:hint="eastAsia" w:ascii="仿宋" w:hAnsi="仿宋" w:eastAsia="仿宋" w:cs="仿宋"/>
          <w:color w:val="000000" w:themeColor="text1"/>
          <w:sz w:val="24"/>
          <w:szCs w:val="24"/>
          <w:highlight w:val="none"/>
          <w:lang w:val="en-US" w:eastAsia="zh-CN"/>
          <w14:textFill>
            <w14:solidFill>
              <w14:schemeClr w14:val="tx1"/>
            </w14:solidFill>
          </w14:textFill>
        </w:rPr>
        <w:t>手续</w:t>
      </w:r>
      <w:r>
        <w:rPr>
          <w:rFonts w:hint="eastAsia" w:ascii="仿宋" w:hAnsi="仿宋" w:eastAsia="仿宋" w:cs="仿宋"/>
          <w:color w:val="000000" w:themeColor="text1"/>
          <w:sz w:val="24"/>
          <w:szCs w:val="24"/>
          <w:highlight w:val="none"/>
          <w14:textFill>
            <w14:solidFill>
              <w14:schemeClr w14:val="tx1"/>
            </w14:solidFill>
          </w14:textFill>
        </w:rPr>
        <w:t>。</w:t>
      </w:r>
    </w:p>
    <w:p>
      <w:pPr>
        <w:pStyle w:val="7"/>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、质量标准</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必须承诺提供厂商原装、全新的、符合用户提出的有关质量标准的货物。</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货物必须符合国家各种标准及规范，以及本项目用户需求的质量要求和技术指标与出厂标准；若无国家标准则必须符合或优于行业标准。</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所提供的货物必须是经检验合格的，并与响应时承诺的质量相一致。同时，</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须提供所供货物的出厂检测报告。</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对于影响货物正常工作的必要组成部分，无论在技术规范中指出与否，</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都应提供并在响应文件中明确列出。</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由</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负责按国家相关标准进行货物包装，设备的包装均应有良好的防湿、防锈、防潮、防雨、防腐及防碰撞的措施。所有货物在开箱检验时必须完好，无破损，配置与装箱单相符。凡由于包装不良造成的损失和由此产生的费用均由</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承担。</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因产品的质量问题发生争议，由广东省或广州市质检部门进行质量鉴定。</w:t>
      </w:r>
      <w:r>
        <w:rPr>
          <w:rFonts w:hint="eastAsia" w:ascii="仿宋" w:hAnsi="仿宋" w:eastAsia="仿宋" w:cs="仿宋"/>
          <w:color w:val="000000" w:themeColor="text1"/>
          <w:sz w:val="24"/>
          <w:szCs w:val="24"/>
          <w:highlight w:val="none"/>
          <w:lang w:val="en-US" w:eastAsia="zh-CN"/>
          <w14:textFill>
            <w14:solidFill>
              <w14:schemeClr w14:val="tx1"/>
            </w14:solidFill>
          </w14:textFill>
        </w:rPr>
        <w:t>双方</w:t>
      </w:r>
      <w:r>
        <w:rPr>
          <w:rFonts w:hint="eastAsia" w:ascii="仿宋" w:hAnsi="仿宋" w:eastAsia="仿宋" w:cs="仿宋"/>
          <w:color w:val="000000" w:themeColor="text1"/>
          <w:sz w:val="24"/>
          <w:szCs w:val="24"/>
          <w:highlight w:val="none"/>
          <w14:textFill>
            <w14:solidFill>
              <w14:schemeClr w14:val="tx1"/>
            </w14:solidFill>
          </w14:textFill>
        </w:rPr>
        <w:t>认为有需要，可以共同提出或分别提出质量鉴定，广东省质检部门与广州市质检部门的鉴定结论不一致的，以广东省质检部门的鉴定结论为准。产品符合质量标准的，鉴定费由</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承担；产品不符合质量标准的，鉴定费由</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承担。</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7.各规格空气过滤器的技术参数及要求按照本项目用户需求书第四大点要求执行。</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包装、保险及发运、保管要求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1.空气过滤器的包装应是制造商原厂包装，其包装均应有良好的防湿、防锈、防潮、防雨、防腐及防碰撞的措施。凡由于包装不良造成的损失和由此产生的费用均由乙方承担。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2.乙方负责将空气过滤器货物到现场过程中的全部运输，包括装卸车、货物现场的搬运。</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3.乙方负责提供各类空气过滤器装箱清单，甲方按装箱清单验收货物。</w:t>
      </w:r>
    </w:p>
    <w:p>
      <w:pPr>
        <w:pStyle w:val="7"/>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auto"/>
          <w:sz w:val="24"/>
          <w:szCs w:val="24"/>
          <w:highlight w:val="none"/>
        </w:rPr>
        <w:t>货物交付甲方验收合格之前的保管责任及毁损灭失等风险</w:t>
      </w:r>
      <w:r>
        <w:rPr>
          <w:rFonts w:hint="eastAsia" w:ascii="仿宋" w:hAnsi="仿宋" w:eastAsia="仿宋" w:cs="仿宋"/>
          <w:color w:val="auto"/>
          <w:sz w:val="24"/>
          <w:szCs w:val="24"/>
          <w:highlight w:val="none"/>
          <w:lang w:val="en-US" w:eastAsia="zh-CN"/>
        </w:rPr>
        <w:t>及相关费用</w:t>
      </w:r>
      <w:r>
        <w:rPr>
          <w:rFonts w:hint="eastAsia" w:ascii="仿宋" w:hAnsi="仿宋" w:eastAsia="仿宋" w:cs="仿宋"/>
          <w:color w:val="auto"/>
          <w:sz w:val="24"/>
          <w:szCs w:val="24"/>
          <w:highlight w:val="none"/>
        </w:rPr>
        <w:t>由乙方承担，乙方应及时安排</w:t>
      </w:r>
      <w:r>
        <w:rPr>
          <w:rFonts w:hint="eastAsia" w:ascii="仿宋" w:hAnsi="仿宋" w:eastAsia="仿宋" w:cs="仿宋"/>
          <w:color w:val="auto"/>
          <w:sz w:val="24"/>
          <w:szCs w:val="24"/>
          <w:highlight w:val="none"/>
          <w:lang w:val="en-US" w:eastAsia="zh-CN"/>
        </w:rPr>
        <w:t>更换</w:t>
      </w:r>
      <w:r>
        <w:rPr>
          <w:rFonts w:hint="eastAsia" w:ascii="仿宋" w:hAnsi="仿宋" w:eastAsia="仿宋" w:cs="仿宋"/>
          <w:color w:val="auto"/>
          <w:sz w:val="24"/>
          <w:szCs w:val="24"/>
          <w:highlight w:val="none"/>
        </w:rPr>
        <w:t>。货物交付甲方验收合格之后的责任由甲方承担，由于甲方保管不当造成的质量问题，乙方亦应负责修理，费用由甲方负担。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5.货物在系统安装调试验收合格前的保险由乙方负责，乙方负责其派出的现场服务人员人身意外保险。</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6.各院区空气过滤器至甲方指定的使用现场的包装、保险及发运等环节和费用均由乙方负责。</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auto"/>
          <w:sz w:val="24"/>
          <w:szCs w:val="24"/>
          <w:highlight w:val="none"/>
          <w:lang w:val="en-US" w:eastAsia="zh-CN"/>
        </w:rPr>
        <w:t>五、</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交货时间、地点</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1.交货期：按既定更换频率或每次接到甲方通知后15日历日内送货至甲方指定地点并安装验收合格。</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 xml:space="preserve">2.交货地点：甲方指定地点。 </w:t>
      </w:r>
    </w:p>
    <w:p>
      <w:pPr>
        <w:pStyle w:val="7"/>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乙方保证合同项下提供的设备不侵犯任何第三方的专利、商标或版权。否则，乙方须承担对第三方的专利或版权的侵权责任并承担因此而发生的所有费用。</w:t>
      </w:r>
    </w:p>
    <w:p>
      <w:pPr>
        <w:pStyle w:val="7"/>
        <w:keepNext w:val="0"/>
        <w:keepLines w:val="0"/>
        <w:pageBreakBefore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货物的验收</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1．采购标的需执行的国家标准：中华人民共和国国家标准《空气过滤器》（GB/T 14295-2019）。</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2．所有过滤器的拆箱、安装、调试等各项工作由乙方负责，但需在甲方指定人员的参与下进行。调试的原始记录须经各方签字后作为验收的文件之一。</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3．所有过滤器在开箱时应完好，无破损。数量、质量及性能不低于本比选文件中提出的要求。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4．验收由甲乙双方及相关人员依国家有关标准、合同及有关附件要求进行。</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验收（履约）标准：乙方所供货物应符合中华人民共和国国家安全质量标准、环保标准或行业标准；符合比选文件和响应承诺中甲方认可的参数及各项要求。验收标准以乙方响应样品和响应文件为准，如发现所交付的货物有短装、次品、损坏或其它不符合本合同规定之情形者，甲方应作现场记录，或由双方签署备忘录。此现场记录或备忘录可用作补充和更换损坏、缺失部件的有效证据。由此产生的有关费用由乙方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七</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质量保证要求</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.乙方</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无偿提供基本操作培训和常见故障排除培训（≥1次/年）。</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2.所有货物保修服务方式均为乙方上门保修，即由乙方派员到货物使用现场维修，由此产生的一切费用均由乙方承担。</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本项目货物为易耗品，按需供货并更换，故所有规格自更换之日起至下一次更换时，此时间段为该型号货物的质保期。质保期内出现的非人为因素导致的货物功能丧失、破损等质量问题，乙方须及时免费更换并整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八、服务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要求</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lang w:eastAsia="zh-CN"/>
          <w14:textFill>
            <w14:solidFill>
              <w14:schemeClr w14:val="tx1"/>
            </w14:solidFill>
          </w14:textFill>
        </w:rPr>
        <w:t>乙方应派员到甲方指定地点配合工作。</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2.乙方应</w:t>
      </w:r>
      <w:r>
        <w:rPr>
          <w:rFonts w:hint="eastAsia" w:ascii="仿宋" w:hAnsi="仿宋" w:eastAsia="仿宋" w:cs="仿宋"/>
          <w:color w:val="000000" w:themeColor="text1"/>
          <w:sz w:val="24"/>
          <w:szCs w:val="24"/>
          <w:highlight w:val="none"/>
          <w:lang w:eastAsia="zh-CN"/>
          <w14:textFill>
            <w14:solidFill>
              <w14:schemeClr w14:val="tx1"/>
            </w14:solidFill>
          </w14:textFill>
        </w:rPr>
        <w:t>配合甲方及有关单位，按甲方提供的合同执行进度计划</w:t>
      </w:r>
      <w:r>
        <w:rPr>
          <w:rFonts w:hint="eastAsia" w:ascii="仿宋" w:hAnsi="仿宋" w:eastAsia="仿宋" w:cs="仿宋"/>
          <w:color w:val="000000" w:themeColor="text1"/>
          <w:sz w:val="24"/>
          <w:szCs w:val="24"/>
          <w:highlight w:val="none"/>
          <w:lang w:val="en-US" w:eastAsia="zh-CN"/>
          <w14:textFill>
            <w14:solidFill>
              <w14:schemeClr w14:val="tx1"/>
            </w14:solidFill>
          </w14:textFill>
        </w:rPr>
        <w:t>完成本项目的货物及相关服务</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3.过滤器更换周期、安装调试要求、检测要求</w:t>
      </w:r>
      <w:r>
        <w:rPr>
          <w:rFonts w:hint="eastAsia" w:ascii="仿宋" w:hAnsi="仿宋" w:eastAsia="仿宋" w:cs="仿宋"/>
          <w:color w:val="auto"/>
          <w:sz w:val="24"/>
          <w:szCs w:val="24"/>
          <w:highlight w:val="none"/>
          <w:lang w:val="en-US" w:eastAsia="zh-CN"/>
        </w:rPr>
        <w:t>按照本项目用户需求书第六大点“服务要求”执行。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九</w:t>
      </w:r>
      <w:r>
        <w:rPr>
          <w:rFonts w:hint="eastAsia" w:ascii="仿宋" w:hAnsi="仿宋" w:eastAsia="仿宋" w:cs="仿宋"/>
          <w:color w:val="000000" w:themeColor="text1"/>
          <w:sz w:val="24"/>
          <w:szCs w:val="24"/>
          <w:highlight w:val="none"/>
          <w14:textFill>
            <w14:solidFill>
              <w14:schemeClr w14:val="tx1"/>
            </w14:solidFill>
          </w14:textFill>
        </w:rPr>
        <w:t>、结算方式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根据成交单价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[对应品种货物的单价限价×（1-成交下浮率）]</w:t>
      </w:r>
      <w:r>
        <w:rPr>
          <w:rFonts w:hint="eastAsia" w:ascii="仿宋" w:hAnsi="仿宋" w:eastAsia="仿宋" w:cs="仿宋"/>
          <w:color w:val="000000" w:themeColor="text1"/>
          <w:sz w:val="24"/>
          <w:szCs w:val="24"/>
          <w:highlight w:val="none"/>
          <w14:textFill>
            <w14:solidFill>
              <w14:schemeClr w14:val="tx1"/>
            </w14:solidFill>
          </w14:textFill>
        </w:rPr>
        <w:t>，按</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需求的实际品种数量采购及办理合同结算手续。</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按照</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要求将所有货物送达并安装至指定地点，货物</w:t>
      </w:r>
      <w:r>
        <w:rPr>
          <w:rFonts w:hint="eastAsia" w:ascii="仿宋" w:hAnsi="仿宋" w:eastAsia="仿宋" w:cs="仿宋"/>
          <w:color w:val="000000" w:themeColor="text1"/>
          <w:sz w:val="24"/>
          <w:szCs w:val="24"/>
          <w:highlight w:val="none"/>
          <w:lang w:val="en-US" w:eastAsia="zh-CN"/>
          <w14:textFill>
            <w14:solidFill>
              <w14:schemeClr w14:val="tx1"/>
            </w14:solidFill>
          </w14:textFill>
        </w:rPr>
        <w:t>品种和</w:t>
      </w:r>
      <w:r>
        <w:rPr>
          <w:rFonts w:hint="eastAsia" w:ascii="仿宋" w:hAnsi="仿宋" w:eastAsia="仿宋" w:cs="仿宋"/>
          <w:color w:val="000000" w:themeColor="text1"/>
          <w:sz w:val="24"/>
          <w:szCs w:val="24"/>
          <w:highlight w:val="none"/>
          <w14:textFill>
            <w14:solidFill>
              <w14:schemeClr w14:val="tx1"/>
            </w14:solidFill>
          </w14:textFill>
        </w:rPr>
        <w:t>数量以</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验收合格为准。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3．每季度按实结算货款，根据上一季度送货的品种和数量，按成交单价</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[对应品种货物的单价限价×（1-成交下浮率）]</w:t>
      </w:r>
      <w:r>
        <w:rPr>
          <w:rFonts w:hint="eastAsia" w:ascii="仿宋" w:hAnsi="仿宋" w:eastAsia="仿宋" w:cs="仿宋"/>
          <w:color w:val="000000" w:themeColor="text1"/>
          <w:sz w:val="24"/>
          <w:szCs w:val="24"/>
          <w:highlight w:val="none"/>
          <w14:textFill>
            <w14:solidFill>
              <w14:schemeClr w14:val="tx1"/>
            </w14:solidFill>
          </w14:textFill>
        </w:rPr>
        <w:t>结算。</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于每季度结束后的次月10日前凭正式发票及经</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确认的送货清单，向</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提出付款申请。</w:t>
      </w:r>
      <w:r>
        <w:rPr>
          <w:rFonts w:hint="eastAsia" w:ascii="仿宋" w:hAnsi="仿宋" w:eastAsia="仿宋" w:cs="仿宋"/>
          <w:color w:val="000000" w:themeColor="text1"/>
          <w:sz w:val="24"/>
          <w:szCs w:val="24"/>
          <w:highlight w:val="none"/>
          <w:lang w:eastAsia="zh-CN"/>
          <w14:textFill>
            <w14:solidFill>
              <w14:schemeClr w14:val="tx1"/>
            </w14:solidFill>
          </w14:textFill>
        </w:rPr>
        <w:t>甲方</w:t>
      </w:r>
      <w:r>
        <w:rPr>
          <w:rFonts w:hint="eastAsia" w:ascii="仿宋" w:hAnsi="仿宋" w:eastAsia="仿宋" w:cs="仿宋"/>
          <w:color w:val="000000" w:themeColor="text1"/>
          <w:sz w:val="24"/>
          <w:szCs w:val="24"/>
          <w:highlight w:val="none"/>
          <w14:textFill>
            <w14:solidFill>
              <w14:schemeClr w14:val="tx1"/>
            </w14:solidFill>
          </w14:textFill>
        </w:rPr>
        <w:t>收到申请审核无误后60日内向</w:t>
      </w:r>
      <w:r>
        <w:rPr>
          <w:rFonts w:hint="eastAsia" w:ascii="仿宋" w:hAnsi="仿宋" w:eastAsia="仿宋" w:cs="仿宋"/>
          <w:color w:val="000000" w:themeColor="text1"/>
          <w:sz w:val="24"/>
          <w:szCs w:val="24"/>
          <w:highlight w:val="none"/>
          <w:lang w:eastAsia="zh-CN"/>
          <w14:textFill>
            <w14:solidFill>
              <w14:schemeClr w14:val="tx1"/>
            </w14:solidFill>
          </w14:textFill>
        </w:rPr>
        <w:t>乙方</w:t>
      </w:r>
      <w:r>
        <w:rPr>
          <w:rFonts w:hint="eastAsia" w:ascii="仿宋" w:hAnsi="仿宋" w:eastAsia="仿宋" w:cs="仿宋"/>
          <w:color w:val="000000" w:themeColor="text1"/>
          <w:sz w:val="24"/>
          <w:szCs w:val="24"/>
          <w:highlight w:val="none"/>
          <w14:textFill>
            <w14:solidFill>
              <w14:schemeClr w14:val="tx1"/>
            </w14:solidFill>
          </w14:textFill>
        </w:rPr>
        <w:t>支付结算款项。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付款方式：采用支票、银行汇付（含电汇）等形式。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w:t>
      </w:r>
      <w:r>
        <w:rPr>
          <w:rFonts w:hint="eastAsia" w:ascii="仿宋" w:hAnsi="仿宋" w:eastAsia="仿宋" w:cs="仿宋"/>
          <w:color w:val="000000" w:themeColor="text1"/>
          <w:sz w:val="24"/>
          <w:szCs w:val="24"/>
          <w:highlight w:val="none"/>
          <w14:textFill>
            <w14:solidFill>
              <w14:schemeClr w14:val="tx1"/>
            </w14:solidFill>
          </w14:textFill>
        </w:rPr>
        <w:t>、履约保证金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1.乙方在合同签署后15个工作日内向甲方支付履约保证金人民币叁万元整（¥30000.00），逾期不缴纳视为放弃此次供货协议，乙方将承担所有责任后果。</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2.履约保证金用于补偿甲方因乙方不能完成其合同义务而蒙受的损失。 </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3.履约保证金采用非现金形式提交</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4.供货期结束后或双方协商解除合同后，</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甲方收到乙方退还履约保证金申请之日起30个工作日内一次性无息退还乙方</w:t>
      </w:r>
      <w:r>
        <w:rPr>
          <w:rFonts w:hint="eastAsia" w:ascii="仿宋" w:hAnsi="仿宋" w:eastAsia="仿宋" w:cs="仿宋"/>
          <w:color w:val="000000" w:themeColor="text1"/>
          <w:sz w:val="24"/>
          <w:szCs w:val="24"/>
          <w:highlight w:val="none"/>
          <w14:textFill>
            <w14:solidFill>
              <w14:schemeClr w14:val="tx1"/>
            </w14:solidFill>
          </w14:textFill>
        </w:rPr>
        <w:t>。</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下列任何一种情况发生时，甲方有权不予退还履约保证金：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①有明显证据证明乙方未完全履行本合同约定的；</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②乙方有明显过错致甲方造成损失的。</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十一</w:t>
      </w:r>
      <w:r>
        <w:rPr>
          <w:rFonts w:hint="eastAsia" w:ascii="仿宋" w:hAnsi="仿宋" w:eastAsia="仿宋" w:cs="仿宋"/>
          <w:color w:val="000000" w:themeColor="text1"/>
          <w:sz w:val="24"/>
          <w:szCs w:val="24"/>
          <w:highlight w:val="none"/>
          <w14:textFill>
            <w14:solidFill>
              <w14:schemeClr w14:val="tx1"/>
            </w14:solidFill>
          </w14:textFill>
        </w:rPr>
        <w:t>、双方责任</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1.甲方有按时与乙方结算货款的义务。</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2.乙方逾期交货或交货少于合同规定的，如甲方仍然需要的，乙方应如数补交，并向甲方偿付逾期货或少交部分货物总值的15％的违约金；如甲方不需要的，除不予以结算该批次货品以外，乙方应按逾期或少交部分货款总值50％的违约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乙方交付的货品规格、型号、技术参数与响应文件或比选文件不符时，甲方有权拒收且不予以结算，并且乙方需向甲方偿付不合格货物总值的50％的违约金。一批次送货5个品种货物出现这类情况的和单一品种每月累计出现3次这类情况的，按违约处理，甲方有权终止合同，不予退还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4.若乙方不供应甲方指定型号、规格、技术指标的货物，提出书面申请要更换成其他型号、规格和技术指标货物的，但经甲方证实指定型号、规格和技术指标的货物在市场上是有充裕货源的，此类情况出现3次及以上，按违约处理，甲方有权终止合同，不予退还履约保证金。</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5.甲方在收货时或在使用货品过程明确指出乙方供货质量与比选文件及响应文件不符的，乙方应无条件退换。乙方对于出现不符合质量、服务标准的产品实行包退包换；乙方须于接到甲方通知的1个工作日内，派专业人员上门服务，在3个工作日内保证按要求完成更换等服务。</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6.双方在货物质量上存在异议且协商不成时，经第三方检测机构鉴定乙方所供货品确为伪劣商品或不符合比选文件要求的，甲方有权拒收，乙方需向甲方偿付不合格货物总值的三倍违约金；情节严重的，甲方有权终止合同，不予退还履约保证金，乙方应承担货品的检测费用及违约费用并负一切法律责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7.乙方工作人员须服从甲方的管理，保持良好的服务态度、服务质量，不能与甲方工作人员、患者或家属等人员发生口角冲突、打架等情况，供货期内出现1次扣罚500元、出现第2次扣罚5000元、此类情况出现3次及以上的，甲方有权终止合同并不予退还履约保证金。</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8.乙方转包或分包本项目的，按违约处理，甲方有权终止合同，不予退还履约保证金，乙方承担一切违约责任。</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9.其它违约责任按合同其他条款约定及《中华人民共和国民法典》规定处理。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color w:val="000000" w:themeColor="text1"/>
          <w:sz w:val="24"/>
          <w:szCs w:val="24"/>
          <w:highlight w:val="none"/>
          <w14:textFill>
            <w14:solidFill>
              <w14:schemeClr w14:val="tx1"/>
            </w14:solidFill>
          </w14:textFill>
        </w:rPr>
        <w:t>、不可抗力</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不可抗力指战争、洪水、台风、地震等或其它双方认定的不可抗力事件。</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任何一方由于不可抗力影响合同执行时，发生不可抗力一方应尽快将事故通知另一方。在此情况下，乙方仍然有责任采取必要的措施加速供货，双方应通过友好协商解决本合同的执行问题。</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color w:val="000000" w:themeColor="text1"/>
          <w:sz w:val="24"/>
          <w:szCs w:val="24"/>
          <w:highlight w:val="none"/>
          <w14:textFill>
            <w14:solidFill>
              <w14:schemeClr w14:val="tx1"/>
            </w14:solidFill>
          </w14:textFill>
        </w:rPr>
        <w:t>、争议的解决方式</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合同执行过程中发生的任何争议，如双方不能通过友好协商解决，甲、乙双方一致同意向甲方所在地人民法院提起诉讼。诉讼过程中，除双方有争议的部分外，本合同其他部分仍然有效，双方应继续履行。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十四</w:t>
      </w:r>
      <w:r>
        <w:rPr>
          <w:rFonts w:hint="eastAsia" w:ascii="仿宋" w:hAnsi="仿宋" w:eastAsia="仿宋" w:cs="仿宋"/>
          <w:color w:val="000000" w:themeColor="text1"/>
          <w:sz w:val="24"/>
          <w:szCs w:val="24"/>
          <w:highlight w:val="none"/>
          <w14:textFill>
            <w14:solidFill>
              <w14:schemeClr w14:val="tx1"/>
            </w14:solidFill>
          </w14:textFill>
        </w:rPr>
        <w:t>、合同解除与终止</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如果一方违反合同，并在收到对方违约通知书后30天内仍未能改正违约情形的，另一方可立即终止本合同。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如因法律法规或监管政策变化致使本合同无法继续履行，双方均可解除合同且无需因此向对方负赔偿责任。</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14:textFill>
            <w14:solidFill>
              <w14:schemeClr w14:val="tx1"/>
            </w14:solidFill>
          </w14:textFill>
        </w:rPr>
        <w:t>、合同补充和修改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1.在合同有效期内，甲乙双方须严格执行合同，原则上双方不得随意调价或变动合同内容。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2.对合同其他条款作任何改动或增加补充条款，均须由甲乙双方签订书面补充协议。</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十</w:t>
      </w:r>
      <w:r>
        <w:rPr>
          <w:rFonts w:hint="eastAsia" w:ascii="仿宋" w:hAnsi="仿宋" w:eastAsia="仿宋" w:cs="仿宋"/>
          <w:color w:val="000000" w:themeColor="text1"/>
          <w:sz w:val="24"/>
          <w:szCs w:val="24"/>
          <w:highlight w:val="none"/>
          <w:lang w:val="en-US" w:eastAsia="zh-CN"/>
          <w14:textFill>
            <w14:solidFill>
              <w14:schemeClr w14:val="tx1"/>
            </w14:solidFill>
          </w14:textFill>
        </w:rPr>
        <w:t>六</w:t>
      </w:r>
      <w:r>
        <w:rPr>
          <w:rFonts w:hint="eastAsia" w:ascii="仿宋" w:hAnsi="仿宋" w:eastAsia="仿宋" w:cs="仿宋"/>
          <w:color w:val="000000" w:themeColor="text1"/>
          <w:sz w:val="24"/>
          <w:szCs w:val="24"/>
          <w:highlight w:val="none"/>
          <w14:textFill>
            <w14:solidFill>
              <w14:schemeClr w14:val="tx1"/>
            </w14:solidFill>
          </w14:textFill>
        </w:rPr>
        <w:t>、其它约定事项</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1.合同生效后，除不可抗力或国家政策变更外，不得无故解除和变更合同。</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2.本合同一式  份，甲方执叁份，乙方执   份，具有同等法律效力。合同自双方法定代表人或授权代表签字、单位加盖公章之日起生效。</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3.本项目的比选文件、成交响应文件、成交通知书、附件等均为合同的组成部分。</w:t>
      </w: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line="360" w:lineRule="exact"/>
        <w:ind w:firstLine="480" w:firstLineChars="200"/>
        <w:jc w:val="left"/>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附件：货物清单</w:t>
      </w:r>
    </w:p>
    <w:p>
      <w:pPr>
        <w:rPr>
          <w:rFonts w:hint="eastAsia" w:ascii="仿宋_GB2312" w:hAnsi="宋体" w:eastAsia="仿宋_GB2312"/>
          <w:b/>
          <w:bCs/>
          <w:szCs w:val="21"/>
        </w:rPr>
      </w:pPr>
    </w:p>
    <w:p>
      <w:pPr>
        <w:rPr>
          <w:rFonts w:hint="eastAsia" w:ascii="仿宋_GB2312" w:hAnsi="宋体" w:eastAsia="仿宋_GB2312"/>
          <w:b/>
          <w:bCs/>
          <w:szCs w:val="21"/>
        </w:rPr>
      </w:pP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甲方：中山大学孙逸仙纪念医院             乙方: </w:t>
      </w:r>
    </w:p>
    <w:p>
      <w:pPr>
        <w:adjustRightInd w:val="0"/>
        <w:snapToGrid w:val="0"/>
        <w:spacing w:line="432" w:lineRule="auto"/>
        <w:ind w:left="5220" w:leftChars="200" w:hanging="4800" w:hangingChars="20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地址：广州市越秀区沿江西路107号         地址：   </w:t>
      </w: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                             法定代表人：</w:t>
      </w:r>
    </w:p>
    <w:p>
      <w:pPr>
        <w:adjustRightInd w:val="0"/>
        <w:snapToGrid w:val="0"/>
        <w:spacing w:line="432" w:lineRule="auto"/>
        <w:ind w:firstLine="42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委托代理人：                             委托代理人：</w:t>
      </w:r>
    </w:p>
    <w:p>
      <w:pPr>
        <w:adjustRightInd w:val="0"/>
        <w:snapToGrid w:val="0"/>
        <w:spacing w:line="432" w:lineRule="auto"/>
        <w:ind w:firstLine="480" w:firstLineChars="200"/>
        <w:rPr>
          <w:rFonts w:hint="eastAsia" w:ascii="仿宋" w:hAnsi="仿宋" w:eastAsia="仿宋" w:cs="仿宋"/>
          <w:color w:val="000000"/>
          <w:sz w:val="24"/>
          <w:szCs w:val="24"/>
          <w:highlight w:val="none"/>
        </w:rPr>
      </w:pPr>
      <w:r>
        <w:rPr>
          <w:rFonts w:hint="eastAsia" w:ascii="仿宋" w:hAnsi="仿宋" w:eastAsia="仿宋" w:cs="仿宋"/>
          <w:color w:val="000000" w:themeColor="text1"/>
          <w:sz w:val="24"/>
          <w:szCs w:val="24"/>
          <w:highlight w:val="none"/>
          <w14:textFill>
            <w14:solidFill>
              <w14:schemeClr w14:val="tx1"/>
            </w14:solidFill>
          </w14:textFill>
        </w:rPr>
        <w:t xml:space="preserve">盖章：                       </w:t>
      </w:r>
      <w:r>
        <w:rPr>
          <w:rFonts w:hint="eastAsia" w:ascii="仿宋" w:hAnsi="仿宋" w:eastAsia="仿宋" w:cs="仿宋"/>
          <w:color w:val="000000"/>
          <w:sz w:val="24"/>
          <w:szCs w:val="24"/>
          <w:highlight w:val="none"/>
        </w:rPr>
        <w:t xml:space="preserve">            盖章：</w:t>
      </w:r>
    </w:p>
    <w:p>
      <w:pPr>
        <w:adjustRightInd w:val="0"/>
        <w:snapToGrid w:val="0"/>
        <w:spacing w:line="432"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日期：                                   日期：</w:t>
      </w:r>
    </w:p>
    <w:p/>
    <w:p>
      <w:pPr>
        <w:pStyle w:val="2"/>
      </w:pPr>
    </w:p>
    <w:p>
      <w:pPr>
        <w:pStyle w:val="2"/>
        <w:rPr>
          <w:rFonts w:hint="eastAsia"/>
          <w:lang w:val="en-US" w:eastAsia="zh-CN"/>
        </w:rPr>
      </w:pPr>
    </w:p>
    <w:p>
      <w:pPr>
        <w:pStyle w:val="2"/>
        <w:rPr>
          <w:rFonts w:hint="eastAsia" w:ascii="仿宋" w:hAnsi="仿宋" w:eastAsia="仿宋" w:cs="仿宋"/>
          <w:sz w:val="28"/>
          <w:szCs w:val="21"/>
          <w:lang w:val="en-US" w:eastAsia="zh-CN"/>
        </w:rPr>
      </w:pPr>
      <w:r>
        <w:rPr>
          <w:rFonts w:hint="eastAsia" w:ascii="仿宋" w:hAnsi="仿宋" w:eastAsia="仿宋" w:cs="仿宋"/>
          <w:sz w:val="28"/>
          <w:szCs w:val="21"/>
          <w:lang w:val="en-US" w:eastAsia="zh-CN"/>
        </w:rPr>
        <w:t>附件：</w:t>
      </w:r>
    </w:p>
    <w:p>
      <w:pPr>
        <w:pStyle w:val="2"/>
        <w:jc w:val="center"/>
        <w:rPr>
          <w:rFonts w:hint="eastAsia" w:ascii="仿宋" w:hAnsi="仿宋" w:eastAsia="仿宋" w:cs="仿宋"/>
          <w:b/>
          <w:bCs w:val="0"/>
          <w:sz w:val="28"/>
          <w:szCs w:val="21"/>
          <w:lang w:val="en-US" w:eastAsia="zh-CN"/>
        </w:rPr>
      </w:pPr>
      <w:r>
        <w:rPr>
          <w:rFonts w:hint="eastAsia" w:ascii="仿宋" w:hAnsi="仿宋" w:eastAsia="仿宋" w:cs="仿宋"/>
          <w:b/>
          <w:bCs w:val="0"/>
          <w:sz w:val="28"/>
          <w:szCs w:val="21"/>
          <w:lang w:val="en-US" w:eastAsia="zh-CN"/>
        </w:rPr>
        <w:t>货物清单</w:t>
      </w:r>
    </w:p>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北院区</w:t>
      </w:r>
      <w:r>
        <w:rPr>
          <w:rFonts w:hint="eastAsia" w:ascii="仿宋" w:hAnsi="仿宋" w:eastAsia="仿宋" w:cs="仿宋"/>
          <w:b/>
          <w:color w:val="000000" w:themeColor="text1"/>
          <w:sz w:val="24"/>
          <w:szCs w:val="24"/>
          <w:highlight w:val="none"/>
          <w14:textFill>
            <w14:solidFill>
              <w14:schemeClr w14:val="tx1"/>
            </w14:solidFill>
          </w14:textFill>
        </w:rPr>
        <w:t>空气过滤器清单：</w:t>
      </w:r>
    </w:p>
    <w:tbl>
      <w:tblPr>
        <w:tblStyle w:val="23"/>
        <w:tblW w:w="8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5"/>
        <w:gridCol w:w="1162"/>
        <w:gridCol w:w="1544"/>
        <w:gridCol w:w="583"/>
        <w:gridCol w:w="583"/>
        <w:gridCol w:w="1065"/>
        <w:gridCol w:w="1079"/>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16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54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58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品牌</w:t>
            </w:r>
          </w:p>
        </w:tc>
        <w:tc>
          <w:tcPr>
            <w:tcW w:w="58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106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（个/年）</w:t>
            </w:r>
          </w:p>
        </w:tc>
        <w:tc>
          <w:tcPr>
            <w:tcW w:w="107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单价（元）</w:t>
            </w:r>
          </w:p>
        </w:tc>
        <w:tc>
          <w:tcPr>
            <w:tcW w:w="107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骨髓移植中心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270*240*6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800*240*6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265*200*6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G3棉过滤器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280*375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生殖中心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610*610*66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305*305*66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285*330*110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340*730*45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245*285*5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290*200*5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生殖中心妇科</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490*592*381*5p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胸科ICU</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295*295*534*4P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295*495*534*4p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495*295*534*6P</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ICU</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530*460*46</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10楼新生儿科</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医研中心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490*289*96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475*390*10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G2</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生物治疗中心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592*287-4*534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475x475*66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检验科</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525*429*46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440*803*46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590*485-6*380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静配中心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965*484*90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630*630*90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院本部手术室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600*400*46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594*492*46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592*492-5*534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287*592*292*2V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592*287*6P*534*21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592*287*292*4V</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592*592*292*4V</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病理科细胞分子中心</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595*290*46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产房</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眼科手术室</w:t>
            </w: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592*592*534*8P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287*592*534*4P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发热门诊</w:t>
            </w: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594*492*46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590*485-6*380</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592*592*381*6P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287*592*381*3p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592*592*381*6P</w:t>
            </w: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二</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南院区</w:t>
      </w:r>
      <w:r>
        <w:rPr>
          <w:rFonts w:hint="eastAsia" w:ascii="仿宋" w:hAnsi="仿宋" w:eastAsia="仿宋" w:cs="仿宋"/>
          <w:b/>
          <w:color w:val="000000" w:themeColor="text1"/>
          <w:sz w:val="24"/>
          <w:szCs w:val="24"/>
          <w:highlight w:val="none"/>
          <w14:textFill>
            <w14:solidFill>
              <w14:schemeClr w14:val="tx1"/>
            </w14:solidFill>
          </w14:textFill>
        </w:rPr>
        <w:t>空气过滤器清单：</w:t>
      </w:r>
    </w:p>
    <w:tbl>
      <w:tblPr>
        <w:tblStyle w:val="23"/>
        <w:tblW w:w="86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9"/>
        <w:gridCol w:w="1377"/>
        <w:gridCol w:w="1544"/>
        <w:gridCol w:w="617"/>
        <w:gridCol w:w="617"/>
        <w:gridCol w:w="1193"/>
        <w:gridCol w:w="1147"/>
        <w:gridCol w:w="1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jc w:val="center"/>
        </w:trPr>
        <w:tc>
          <w:tcPr>
            <w:tcW w:w="99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37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54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61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品牌</w:t>
            </w:r>
          </w:p>
        </w:tc>
        <w:tc>
          <w:tcPr>
            <w:tcW w:w="61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119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合计数量（个/年）</w:t>
            </w:r>
          </w:p>
        </w:tc>
        <w:tc>
          <w:tcPr>
            <w:tcW w:w="114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单价（元）</w:t>
            </w:r>
          </w:p>
        </w:tc>
        <w:tc>
          <w:tcPr>
            <w:tcW w:w="114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南院静配中心</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594*287*95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南院供应室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南院区CCU</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南院麻醉科</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南院心血导管</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南院整形科</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594*594*95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690*395*46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305*610*292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510*560*66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510*480*66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150*150*66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475*475*66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305*610*66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南院博爱楼手术室八楼恢复室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594*594*46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南院博爱楼手术室八楼新增风柜</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400*350*96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595*495*534*8</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南院逸仙楼手术室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290*290*96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E10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287*592-4*534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L-592*490*96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590*590*96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592*490*96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592*592-8*534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592*490-6*534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425*285-4*300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F5</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逸仙楼1号手术室新增</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亚高效过滤器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592*287*292</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H10</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595*295*534*8P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南院儿科层流</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512*250*46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592*287*381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490*490*46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490*290*46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490*490*381*5P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490*287*381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南院博爱楼后座十楼风柜</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610*610*90</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9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287*490*381</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逸仙楼八楼心外ICU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595*295*534*3P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295*295*534*3P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南院检验科PCR</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500*350*90</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401*260*69</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前座6楼胃镜室</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36</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492*595*534*6p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495*595*534*6P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295*595*46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295*295*534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 w:hRule="atLeast"/>
          <w:jc w:val="center"/>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495*295*534*6P</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restart"/>
            <w:tcBorders>
              <w:top w:val="single" w:color="000000" w:sz="4" w:space="0"/>
              <w:left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val="0"/>
                <w:bCs w:val="0"/>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逸仙楼10楼ICU</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495*495*46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295*495*45</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595*492*46</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595*295*46</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999" w:type="dxa"/>
            <w:vMerge w:val="continue"/>
            <w:tcBorders>
              <w:left w:val="nil"/>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595*495*534</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jc w:val="center"/>
        </w:trPr>
        <w:tc>
          <w:tcPr>
            <w:tcW w:w="999" w:type="dxa"/>
            <w:vMerge w:val="continue"/>
            <w:tcBorders>
              <w:left w:val="nil"/>
              <w:bottom w:val="single" w:color="auto" w:sz="4" w:space="0"/>
              <w:right w:val="nil"/>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37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54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595*295*534</w:t>
            </w:r>
          </w:p>
        </w:tc>
        <w:tc>
          <w:tcPr>
            <w:tcW w:w="61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61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bl>
    <w:p>
      <w:pPr>
        <w:pStyle w:val="2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三</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南海精准免疫转化创新中心</w:t>
      </w:r>
      <w:r>
        <w:rPr>
          <w:rFonts w:hint="eastAsia" w:ascii="仿宋" w:hAnsi="仿宋" w:eastAsia="仿宋" w:cs="仿宋"/>
          <w:b/>
          <w:color w:val="000000" w:themeColor="text1"/>
          <w:sz w:val="24"/>
          <w:szCs w:val="24"/>
          <w:highlight w:val="none"/>
          <w14:textFill>
            <w14:solidFill>
              <w14:schemeClr w14:val="tx1"/>
            </w14:solidFill>
          </w14:textFill>
        </w:rPr>
        <w:t>空气过滤器清单：</w:t>
      </w:r>
    </w:p>
    <w:tbl>
      <w:tblPr>
        <w:tblStyle w:val="23"/>
        <w:tblW w:w="94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6"/>
        <w:gridCol w:w="1411"/>
        <w:gridCol w:w="1492"/>
        <w:gridCol w:w="724"/>
        <w:gridCol w:w="724"/>
        <w:gridCol w:w="1498"/>
        <w:gridCol w:w="1235"/>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科室</w:t>
            </w:r>
          </w:p>
        </w:tc>
        <w:tc>
          <w:tcPr>
            <w:tcW w:w="1411"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材料名称</w:t>
            </w:r>
          </w:p>
        </w:tc>
        <w:tc>
          <w:tcPr>
            <w:tcW w:w="149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规格（mm）</w:t>
            </w:r>
          </w:p>
        </w:tc>
        <w:tc>
          <w:tcPr>
            <w:tcW w:w="72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品牌</w:t>
            </w:r>
          </w:p>
        </w:tc>
        <w:tc>
          <w:tcPr>
            <w:tcW w:w="72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效率</w:t>
            </w:r>
          </w:p>
        </w:tc>
        <w:tc>
          <w:tcPr>
            <w:tcW w:w="1498"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合计数量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（个/年）</w:t>
            </w:r>
          </w:p>
        </w:tc>
        <w:tc>
          <w:tcPr>
            <w:tcW w:w="123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sz w:val="18"/>
                <w:szCs w:val="18"/>
                <w:u w:val="none"/>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单价（元）</w:t>
            </w:r>
          </w:p>
        </w:tc>
        <w:tc>
          <w:tcPr>
            <w:tcW w:w="123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b/>
                <w:bCs/>
                <w:i w:val="0"/>
                <w:iCs w:val="0"/>
                <w:color w:val="000000" w:themeColor="text1"/>
                <w:kern w:val="0"/>
                <w:sz w:val="18"/>
                <w:szCs w:val="18"/>
                <w:u w:val="none"/>
                <w:lang w:val="en-US" w:eastAsia="zh-CN" w:bidi="ar"/>
                <w14:textFill>
                  <w14:solidFill>
                    <w14:schemeClr w14:val="tx1"/>
                  </w14:solidFill>
                </w14:textFill>
              </w:rPr>
              <w:t>小计（元）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制剂中心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493*595*46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290*493*46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287*490*381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医研中心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250*500*46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250*500*381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动物中心</w:t>
            </w: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618*510*46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617*539*46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665*388*762-8P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656*422*762-6P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化学过滤器（H11）</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287*592*292-N4G1-Y</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595*595*46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290*595*46</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287*592*381-4P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592*592*381-8P</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F7</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板式能量回收换热器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型号QB197-439；尺寸435*195*195</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阻尼网过滤器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442L*197H(197双槽）450*495*10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720*330*30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720*330*30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F6</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980*400*65</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318*188*21</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中效过滤器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335*260*50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F8</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318*188*150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初效过滤器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374*182*10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G4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132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450*200*100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H14</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22</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320*320*220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35</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484*484*220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154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高效过滤器</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630*620*220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H13</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排风网</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350*160</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100</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eastAsia" w:ascii="仿宋" w:hAnsi="仿宋" w:eastAsia="仿宋" w:cs="仿宋"/>
                <w:i w:val="0"/>
                <w:iCs w:val="0"/>
                <w:color w:val="000000" w:themeColor="text1"/>
                <w:sz w:val="18"/>
                <w:szCs w:val="18"/>
                <w:u w:val="none"/>
                <w14:textFill>
                  <w14:solidFill>
                    <w14:schemeClr w14:val="tx1"/>
                  </w14:solidFill>
                </w14:textFill>
              </w:rPr>
            </w:pPr>
          </w:p>
        </w:tc>
        <w:tc>
          <w:tcPr>
            <w:tcW w:w="1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化学过滤器（H11）</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287*592*292-N4G1-Y</w:t>
            </w: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w:t>
            </w:r>
          </w:p>
        </w:tc>
        <w:tc>
          <w:tcPr>
            <w:tcW w:w="1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34</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i w:val="0"/>
                <w:iCs w:val="0"/>
                <w:color w:val="000000" w:themeColor="text1"/>
                <w:sz w:val="18"/>
                <w:szCs w:val="18"/>
                <w:u w:val="none"/>
                <w14:textFill>
                  <w14:solidFill>
                    <w14:schemeClr w14:val="tx1"/>
                  </w14:solidFill>
                </w14:textFill>
              </w:rPr>
            </w:pPr>
          </w:p>
        </w:tc>
      </w:tr>
    </w:tbl>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sz w:val="28"/>
          <w:szCs w:val="21"/>
          <w:lang w:val="en-US" w:eastAsia="zh-CN"/>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注：</w:t>
      </w:r>
      <w:r>
        <w:rPr>
          <w:rFonts w:hint="eastAsia" w:ascii="仿宋" w:hAnsi="仿宋" w:eastAsia="仿宋" w:cs="仿宋"/>
          <w:b w:val="0"/>
          <w:bCs w:val="0"/>
          <w:color w:val="000000" w:themeColor="text1"/>
          <w:sz w:val="21"/>
          <w:szCs w:val="21"/>
          <w:highlight w:val="none"/>
          <w14:textFill>
            <w14:solidFill>
              <w14:schemeClr w14:val="tx1"/>
            </w14:solidFill>
          </w14:textFill>
        </w:rPr>
        <w:t>空气过滤器数量为1年预估量，实际供货以</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甲方</w:t>
      </w:r>
      <w:r>
        <w:rPr>
          <w:rFonts w:hint="eastAsia" w:ascii="仿宋" w:hAnsi="仿宋" w:eastAsia="仿宋" w:cs="仿宋"/>
          <w:b w:val="0"/>
          <w:bCs w:val="0"/>
          <w:color w:val="000000" w:themeColor="text1"/>
          <w:sz w:val="21"/>
          <w:szCs w:val="21"/>
          <w:highlight w:val="none"/>
          <w14:textFill>
            <w14:solidFill>
              <w14:schemeClr w14:val="tx1"/>
            </w14:solidFill>
          </w14:textFill>
        </w:rPr>
        <w:t>每次更换空气过滤器</w:t>
      </w:r>
      <w:r>
        <w:rPr>
          <w:rFonts w:hint="eastAsia" w:ascii="仿宋" w:hAnsi="仿宋" w:eastAsia="仿宋" w:cs="仿宋"/>
          <w:b w:val="0"/>
          <w:bCs w:val="0"/>
          <w:color w:val="000000" w:themeColor="text1"/>
          <w:sz w:val="21"/>
          <w:szCs w:val="21"/>
          <w:highlight w:val="none"/>
          <w:lang w:eastAsia="zh-CN"/>
          <w14:textFill>
            <w14:solidFill>
              <w14:schemeClr w14:val="tx1"/>
            </w14:solidFill>
          </w14:textFill>
        </w:rPr>
        <w:t>的</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品种和</w:t>
      </w:r>
      <w:r>
        <w:rPr>
          <w:rFonts w:hint="eastAsia" w:ascii="仿宋" w:hAnsi="仿宋" w:eastAsia="仿宋" w:cs="仿宋"/>
          <w:b w:val="0"/>
          <w:bCs w:val="0"/>
          <w:color w:val="000000" w:themeColor="text1"/>
          <w:sz w:val="21"/>
          <w:szCs w:val="21"/>
          <w:highlight w:val="none"/>
          <w14:textFill>
            <w14:solidFill>
              <w14:schemeClr w14:val="tx1"/>
            </w14:solidFill>
          </w14:textFill>
        </w:rPr>
        <w:t>数量为准，按实结算。</w:t>
      </w:r>
    </w:p>
    <w:p>
      <w:pPr>
        <w:pStyle w:val="8"/>
        <w:rPr>
          <w:sz w:val="20"/>
        </w:rPr>
      </w:pPr>
    </w:p>
    <w:p>
      <w:pPr>
        <w:pStyle w:val="3"/>
        <w:sectPr>
          <w:footerReference r:id="rId4" w:type="default"/>
          <w:pgSz w:w="11910" w:h="16840"/>
          <w:pgMar w:top="1060" w:right="1280" w:bottom="860" w:left="1300" w:header="720" w:footer="720" w:gutter="0"/>
          <w:pgBorders>
            <w:top w:val="none" w:sz="0" w:space="0"/>
            <w:left w:val="none" w:sz="0" w:space="0"/>
            <w:bottom w:val="none" w:sz="0" w:space="0"/>
            <w:right w:val="none" w:sz="0" w:space="0"/>
          </w:pgBorders>
          <w:pgNumType w:fmt="decimal" w:start="1"/>
          <w:cols w:space="720" w:num="1"/>
        </w:sect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3"/>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响应文件编制要求</w:t>
      </w: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29"/>
        <w:rPr>
          <w:rFonts w:hint="eastAsia"/>
          <w:color w:val="FF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rPr>
          <w:rFonts w:hint="eastAsia"/>
          <w:color w:val="000000"/>
          <w:highlight w:val="none"/>
        </w:rPr>
      </w:pPr>
    </w:p>
    <w:p>
      <w:pPr>
        <w:pStyle w:val="29"/>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的组成部分，仅为善意提醒。如有不一致，以</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lang w:val="en-US" w:eastAsia="zh-CN"/>
        </w:rPr>
        <w:t>为准。）</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中所有的事项、格式、条款和规范等，完整、真实、准确的填写</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中规定的所有内容</w:t>
      </w:r>
      <w:r>
        <w:rPr>
          <w:rFonts w:hint="eastAsia" w:ascii="黑体" w:hAnsi="黑体" w:eastAsia="黑体" w:cs="黑体"/>
          <w:color w:val="000000"/>
          <w:sz w:val="28"/>
          <w:szCs w:val="28"/>
          <w:highlight w:val="none"/>
          <w:lang w:eastAsia="zh-CN"/>
        </w:rPr>
        <w:t>。</w:t>
      </w:r>
    </w:p>
    <w:p>
      <w:pPr>
        <w:pStyle w:val="29"/>
        <w:numPr>
          <w:ilvl w:val="0"/>
          <w:numId w:val="17"/>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比选文件</w:t>
      </w:r>
      <w:r>
        <w:rPr>
          <w:rFonts w:hint="eastAsia" w:ascii="黑体" w:hAnsi="黑体" w:eastAsia="黑体" w:cs="黑体"/>
          <w:color w:val="000000"/>
          <w:sz w:val="28"/>
          <w:szCs w:val="28"/>
          <w:highlight w:val="none"/>
        </w:rPr>
        <w:t>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凡关于比选文件的所有响应资料（包含但不限于：承诺函、声明函等各类函件，资质证书等证明资料复印件，项目具体实施方案等)，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lang w:eastAsia="zh-CN"/>
        </w:rPr>
        <w:t>比选文件</w:t>
      </w:r>
      <w:r>
        <w:rPr>
          <w:rFonts w:hint="eastAsia" w:ascii="黑体" w:hAnsi="黑体" w:eastAsia="黑体" w:cs="黑体"/>
          <w:color w:val="000000"/>
          <w:sz w:val="28"/>
          <w:szCs w:val="28"/>
          <w:highlight w:val="none"/>
        </w:rPr>
        <w:t>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比选邀请</w:t>
      </w:r>
      <w:r>
        <w:rPr>
          <w:rFonts w:hint="eastAsia" w:ascii="黑体" w:hAnsi="黑体" w:eastAsia="黑体" w:cs="黑体"/>
          <w:color w:val="000000"/>
          <w:sz w:val="28"/>
          <w:szCs w:val="28"/>
          <w:highlight w:val="none"/>
        </w:rPr>
        <w:t>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29"/>
        <w:numPr>
          <w:ilvl w:val="0"/>
          <w:numId w:val="17"/>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Style w:val="29"/>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4"/>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4"/>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4"/>
        <w:pageBreakBefore/>
        <w:jc w:val="center"/>
        <w:rPr>
          <w:rFonts w:hint="eastAsia" w:ascii="仿宋" w:hAnsi="仿宋" w:eastAsia="仿宋" w:cs="仿宋"/>
          <w:color w:val="000000"/>
          <w:sz w:val="24"/>
          <w:highlight w:val="none"/>
        </w:rPr>
      </w:pPr>
      <w:bookmarkStart w:id="20" w:name="_Toc97049462"/>
      <w:bookmarkStart w:id="21" w:name="_Toc97049463"/>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0"/>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 xml:space="preserve">一、  </w:t>
      </w:r>
      <w:r>
        <w:rPr>
          <w:rFonts w:hint="eastAsia" w:ascii="仿宋" w:hAnsi="仿宋" w:eastAsia="仿宋" w:cs="仿宋"/>
          <w:color w:val="000000"/>
          <w:sz w:val="24"/>
          <w:szCs w:val="24"/>
          <w:highlight w:val="none"/>
          <w:lang w:val="en-US" w:eastAsia="zh-CN"/>
        </w:rPr>
        <w:t>报价………………………………………………………………………第（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（二）分项报价明细表</w:t>
      </w:r>
      <w:r>
        <w:rPr>
          <w:rFonts w:hint="eastAsia" w:ascii="仿宋" w:hAnsi="仿宋" w:eastAsia="仿宋" w:cs="仿宋"/>
          <w:color w:val="000000"/>
          <w:sz w:val="24"/>
          <w:szCs w:val="24"/>
          <w:highlight w:val="none"/>
          <w:lang w:val="en-US" w:eastAsia="zh-CN"/>
        </w:rPr>
        <w:t>…………………………………………………………第（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 xml:space="preserve">二、  </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资格</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  符合性</w:t>
      </w:r>
      <w:r>
        <w:rPr>
          <w:rFonts w:hint="eastAsia" w:ascii="仿宋" w:hAnsi="仿宋" w:eastAsia="仿宋" w:cs="仿宋"/>
          <w:color w:val="000000"/>
          <w:sz w:val="24"/>
          <w:szCs w:val="24"/>
          <w:highlight w:val="none"/>
          <w:lang w:val="en-US" w:eastAsia="zh-CN"/>
        </w:rPr>
        <w:t>审查………………………………………………………………第（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  商务</w:t>
      </w:r>
      <w:r>
        <w:rPr>
          <w:rFonts w:hint="eastAsia" w:ascii="仿宋" w:hAnsi="仿宋" w:eastAsia="仿宋" w:cs="仿宋"/>
          <w:color w:val="000000"/>
          <w:sz w:val="24"/>
          <w:szCs w:val="24"/>
          <w:highlight w:val="none"/>
          <w:lang w:val="en-US" w:eastAsia="zh-CN"/>
        </w:rPr>
        <w:t>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  技术</w:t>
      </w:r>
      <w:r>
        <w:rPr>
          <w:rFonts w:hint="eastAsia" w:ascii="仿宋" w:hAnsi="仿宋" w:eastAsia="仿宋" w:cs="仿宋"/>
          <w:color w:val="000000"/>
          <w:sz w:val="24"/>
          <w:szCs w:val="24"/>
          <w:highlight w:val="none"/>
          <w:lang w:val="en-US" w:eastAsia="zh-CN"/>
        </w:rPr>
        <w:t>评审…………………………………………………………………第（  ）页</w:t>
      </w:r>
    </w:p>
    <w:p>
      <w:pPr>
        <w:pStyle w:val="29"/>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（一）技术评审自查表…………………………………………………………第（  ）页</w:t>
      </w:r>
    </w:p>
    <w:p>
      <w:pPr>
        <w:pStyle w:val="29"/>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（二）技术评审证明资料………………………………………………………第（  ）页</w:t>
      </w:r>
    </w:p>
    <w:p>
      <w:pPr>
        <w:shd w:val="clear" w:color="auto" w:fill="FFFFFF"/>
        <w:spacing w:line="360" w:lineRule="auto"/>
        <w:rPr>
          <w:rFonts w:hint="eastAsia" w:ascii="仿宋" w:hAnsi="仿宋" w:eastAsia="仿宋" w:cs="仿宋"/>
          <w:color w:val="000000"/>
          <w:sz w:val="24"/>
          <w:szCs w:val="36"/>
          <w:highlight w:val="none"/>
        </w:rPr>
      </w:pPr>
    </w:p>
    <w:p>
      <w:pPr>
        <w:pStyle w:val="29"/>
        <w:rPr>
          <w:rFonts w:hint="eastAsia" w:ascii="仿宋" w:hAnsi="仿宋" w:eastAsia="仿宋" w:cs="仿宋"/>
          <w:color w:val="000000"/>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p>
    <w:p>
      <w:pPr>
        <w:pStyle w:val="29"/>
        <w:ind w:firstLine="400"/>
        <w:rPr>
          <w:rFonts w:hint="eastAsia" w:ascii="仿宋" w:hAnsi="仿宋" w:eastAsia="仿宋" w:cs="仿宋"/>
          <w:color w:val="000000"/>
          <w:sz w:val="24"/>
          <w:szCs w:val="24"/>
          <w:highlight w:val="none"/>
        </w:rPr>
      </w:pP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29"/>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29"/>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19"/>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1"/>
    <w:p>
      <w:pPr>
        <w:pStyle w:val="4"/>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3"/>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中山大学孙逸仙纪念医院南北院区及南海精准免疫转化创新中心洁净空调滤网采购项目</w:t>
            </w: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pStyle w:val="8"/>
        <w:spacing w:line="360" w:lineRule="auto"/>
        <w:jc w:val="left"/>
        <w:outlineLvl w:val="1"/>
        <w:rPr>
          <w:rFonts w:ascii="宋体" w:hAnsi="宋体" w:cs="宋体"/>
          <w:bCs/>
          <w:color w:val="000000"/>
          <w:sz w:val="10"/>
          <w:szCs w:val="21"/>
          <w:highlight w:val="none"/>
        </w:rPr>
      </w:pPr>
    </w:p>
    <w:p/>
    <w:tbl>
      <w:tblPr>
        <w:tblStyle w:val="23"/>
        <w:tblW w:w="10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1316"/>
        <w:gridCol w:w="1096"/>
        <w:gridCol w:w="1373"/>
        <w:gridCol w:w="1660"/>
        <w:gridCol w:w="1508"/>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jc w:val="center"/>
        </w:trPr>
        <w:tc>
          <w:tcPr>
            <w:tcW w:w="2261"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采购内容</w:t>
            </w:r>
          </w:p>
        </w:tc>
        <w:tc>
          <w:tcPr>
            <w:tcW w:w="1316" w:type="dxa"/>
            <w:noWrap w:val="0"/>
            <w:vAlign w:val="center"/>
          </w:tcPr>
          <w:p>
            <w:pPr>
              <w:keepNext w:val="0"/>
              <w:keepLines w:val="0"/>
              <w:suppressLineNumbers w:val="0"/>
              <w:spacing w:before="0" w:beforeAutospacing="0" w:after="0" w:afterAutospacing="0"/>
              <w:ind w:left="0" w:right="-105" w:rightChars="-50"/>
              <w:jc w:val="center"/>
              <w:rPr>
                <w:rFonts w:hint="eastAsia" w:ascii="黑体" w:hAnsi="黑体" w:eastAsia="黑体" w:cs="黑体"/>
                <w:b/>
                <w:color w:val="000000"/>
                <w:szCs w:val="21"/>
              </w:rPr>
            </w:pPr>
            <w:r>
              <w:rPr>
                <w:rFonts w:hint="eastAsia" w:ascii="黑体" w:hAnsi="黑体" w:eastAsia="黑体" w:cs="黑体"/>
                <w:b/>
                <w:color w:val="000000"/>
                <w:szCs w:val="21"/>
              </w:rPr>
              <w:t>数量</w:t>
            </w:r>
          </w:p>
        </w:tc>
        <w:tc>
          <w:tcPr>
            <w:tcW w:w="1096"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品牌</w:t>
            </w:r>
          </w:p>
        </w:tc>
        <w:tc>
          <w:tcPr>
            <w:tcW w:w="1373" w:type="dxa"/>
            <w:noWrap w:val="0"/>
            <w:vAlign w:val="center"/>
          </w:tcPr>
          <w:p>
            <w:pPr>
              <w:keepNext w:val="0"/>
              <w:keepLines w:val="0"/>
              <w:suppressLineNumbers w:val="0"/>
              <w:spacing w:before="0" w:beforeAutospacing="0" w:after="0" w:afterAutospacing="0"/>
              <w:ind w:left="0" w:leftChars="0" w:right="0" w:rightChars="0"/>
              <w:jc w:val="center"/>
              <w:rPr>
                <w:rFonts w:hint="default" w:ascii="黑体" w:hAnsi="黑体" w:eastAsia="黑体" w:cs="黑体"/>
                <w:b/>
                <w:color w:val="000000"/>
                <w:szCs w:val="21"/>
                <w:lang w:val="en-US" w:eastAsia="zh-CN"/>
              </w:rPr>
            </w:pPr>
            <w:r>
              <w:rPr>
                <w:rFonts w:hint="eastAsia" w:ascii="黑体" w:hAnsi="黑体" w:eastAsia="黑体" w:cs="黑体"/>
                <w:b/>
                <w:color w:val="000000"/>
                <w:szCs w:val="21"/>
                <w:lang w:val="en-US" w:eastAsia="zh-CN"/>
              </w:rPr>
              <w:t>生产商</w:t>
            </w:r>
          </w:p>
        </w:tc>
        <w:tc>
          <w:tcPr>
            <w:tcW w:w="1660"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b/>
                <w:color w:val="000000"/>
                <w:szCs w:val="21"/>
              </w:rPr>
            </w:pPr>
            <w:r>
              <w:rPr>
                <w:rFonts w:hint="eastAsia" w:ascii="黑体" w:hAnsi="黑体" w:eastAsia="黑体" w:cs="黑体"/>
                <w:b/>
                <w:color w:val="000000"/>
                <w:szCs w:val="21"/>
                <w:lang w:val="en-US" w:eastAsia="zh-CN"/>
              </w:rPr>
              <w:t>响应下浮率</w:t>
            </w:r>
          </w:p>
        </w:tc>
        <w:tc>
          <w:tcPr>
            <w:tcW w:w="1508" w:type="dxa"/>
            <w:noWrap w:val="0"/>
            <w:vAlign w:val="center"/>
          </w:tcPr>
          <w:p>
            <w:pPr>
              <w:keepNext w:val="0"/>
              <w:keepLines w:val="0"/>
              <w:suppressLineNumbers w:val="0"/>
              <w:spacing w:before="0" w:beforeAutospacing="0" w:after="0" w:afterAutospacing="0"/>
              <w:ind w:left="0" w:leftChars="0" w:right="0" w:rightChars="0"/>
              <w:jc w:val="center"/>
              <w:rPr>
                <w:rFonts w:hint="default" w:ascii="黑体" w:hAnsi="黑体" w:eastAsia="黑体" w:cs="黑体"/>
                <w:b/>
                <w:color w:val="000000"/>
                <w:szCs w:val="21"/>
                <w:lang w:val="en-US" w:eastAsia="zh-CN"/>
              </w:rPr>
            </w:pPr>
            <w:r>
              <w:rPr>
                <w:rFonts w:hint="eastAsia" w:ascii="黑体" w:hAnsi="黑体" w:eastAsia="黑体" w:cs="黑体"/>
                <w:b/>
                <w:color w:val="000000"/>
                <w:szCs w:val="21"/>
                <w:lang w:val="en-US" w:eastAsia="zh-CN"/>
              </w:rPr>
              <w:t>供货</w:t>
            </w:r>
            <w:r>
              <w:rPr>
                <w:rFonts w:hint="eastAsia" w:ascii="黑体" w:hAnsi="黑体" w:eastAsia="黑体" w:cs="黑体"/>
                <w:b/>
                <w:color w:val="000000"/>
                <w:szCs w:val="21"/>
              </w:rPr>
              <w:t>期限</w:t>
            </w: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b/>
                <w:color w:val="000000"/>
                <w:szCs w:val="21"/>
              </w:rPr>
            </w:pPr>
            <w:r>
              <w:rPr>
                <w:rFonts w:hint="eastAsia" w:ascii="黑体" w:hAnsi="黑体" w:eastAsia="黑体" w:cs="黑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2261"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color w:val="000000"/>
                <w:kern w:val="0"/>
                <w:sz w:val="21"/>
                <w:szCs w:val="21"/>
              </w:rPr>
              <w:t>南北院区及南海精准免疫转化创新中心洁净空调初、中、高效空气过滤器</w:t>
            </w:r>
          </w:p>
        </w:tc>
        <w:tc>
          <w:tcPr>
            <w:tcW w:w="1316" w:type="dxa"/>
            <w:noWrap w:val="0"/>
            <w:vAlign w:val="center"/>
          </w:tcPr>
          <w:p>
            <w:pPr>
              <w:keepNext w:val="0"/>
              <w:keepLines w:val="0"/>
              <w:suppressLineNumbers w:val="0"/>
              <w:autoSpaceDE w:val="0"/>
              <w:autoSpaceDN w:val="0"/>
              <w:spacing w:before="0" w:beforeAutospacing="0" w:after="0" w:afterAutospacing="0"/>
              <w:ind w:left="0" w:leftChars="0" w:right="0" w:rightChars="0"/>
              <w:jc w:val="center"/>
              <w:rPr>
                <w:rFonts w:hint="eastAsia" w:ascii="黑体" w:hAnsi="黑体" w:eastAsia="黑体" w:cs="黑体"/>
                <w:snapToGrid/>
                <w:color w:val="000000"/>
                <w:spacing w:val="0"/>
                <w:kern w:val="2"/>
                <w:sz w:val="21"/>
                <w:szCs w:val="21"/>
              </w:rPr>
            </w:pPr>
            <w:r>
              <w:rPr>
                <w:rFonts w:hint="eastAsia" w:ascii="黑体" w:hAnsi="黑体" w:eastAsia="黑体" w:cs="黑体"/>
                <w:color w:val="000000"/>
                <w:kern w:val="0"/>
                <w:sz w:val="21"/>
                <w:szCs w:val="21"/>
              </w:rPr>
              <w:t>1批</w:t>
            </w:r>
          </w:p>
        </w:tc>
        <w:tc>
          <w:tcPr>
            <w:tcW w:w="1096" w:type="dxa"/>
            <w:noWrap w:val="0"/>
            <w:vAlign w:val="center"/>
          </w:tcPr>
          <w:p>
            <w:pPr>
              <w:pStyle w:val="40"/>
              <w:keepLines w:val="0"/>
              <w:suppressLineNumbers w:val="0"/>
              <w:spacing w:before="0" w:beforeAutospacing="0" w:after="0" w:afterAutospacing="0" w:line="240" w:lineRule="auto"/>
              <w:ind w:left="0" w:right="0"/>
              <w:rPr>
                <w:rFonts w:hint="eastAsia" w:ascii="黑体" w:hAnsi="黑体" w:eastAsia="黑体" w:cs="黑体"/>
                <w:snapToGrid/>
                <w:color w:val="000000"/>
                <w:spacing w:val="0"/>
                <w:kern w:val="2"/>
                <w:sz w:val="21"/>
                <w:szCs w:val="21"/>
              </w:rPr>
            </w:pPr>
          </w:p>
        </w:tc>
        <w:tc>
          <w:tcPr>
            <w:tcW w:w="1373" w:type="dxa"/>
            <w:noWrap w:val="0"/>
            <w:vAlign w:val="center"/>
          </w:tcPr>
          <w:p>
            <w:pPr>
              <w:pStyle w:val="40"/>
              <w:keepLines w:val="0"/>
              <w:suppressLineNumbers w:val="0"/>
              <w:spacing w:before="0" w:beforeAutospacing="0" w:after="0" w:afterAutospacing="0" w:line="240" w:lineRule="auto"/>
              <w:ind w:left="0" w:leftChars="0" w:right="0" w:rightChars="0"/>
              <w:rPr>
                <w:rFonts w:hint="eastAsia" w:ascii="黑体" w:hAnsi="黑体" w:eastAsia="黑体" w:cs="黑体"/>
                <w:color w:val="000000"/>
                <w:szCs w:val="21"/>
              </w:rPr>
            </w:pPr>
          </w:p>
        </w:tc>
        <w:tc>
          <w:tcPr>
            <w:tcW w:w="1660" w:type="dxa"/>
            <w:noWrap w:val="0"/>
            <w:vAlign w:val="center"/>
          </w:tcPr>
          <w:p>
            <w:pPr>
              <w:pStyle w:val="40"/>
              <w:keepLines w:val="0"/>
              <w:suppressLineNumbers w:val="0"/>
              <w:spacing w:before="0" w:beforeAutospacing="0" w:after="0" w:afterAutospacing="0" w:line="240" w:lineRule="auto"/>
              <w:ind w:left="0" w:leftChars="0" w:right="0" w:rightChars="0"/>
              <w:rPr>
                <w:rFonts w:hint="eastAsia" w:ascii="黑体" w:hAnsi="黑体" w:eastAsia="黑体" w:cs="黑体"/>
                <w:color w:val="000000"/>
                <w:szCs w:val="21"/>
              </w:rPr>
            </w:pPr>
          </w:p>
        </w:tc>
        <w:tc>
          <w:tcPr>
            <w:tcW w:w="1508" w:type="dxa"/>
            <w:noWrap w:val="0"/>
            <w:vAlign w:val="center"/>
          </w:tcPr>
          <w:p>
            <w:pPr>
              <w:keepNext w:val="0"/>
              <w:keepLines w:val="0"/>
              <w:suppressLineNumbers w:val="0"/>
              <w:spacing w:before="0" w:beforeAutospacing="0" w:after="0" w:afterAutospacing="0"/>
              <w:ind w:left="0" w:leftChars="0" w:right="0" w:rightChars="0"/>
              <w:jc w:val="center"/>
              <w:rPr>
                <w:rFonts w:hint="eastAsia" w:ascii="黑体" w:hAnsi="黑体" w:eastAsia="黑体" w:cs="黑体"/>
                <w:color w:val="000000"/>
                <w:szCs w:val="21"/>
              </w:rPr>
            </w:pPr>
            <w:r>
              <w:rPr>
                <w:rFonts w:hint="eastAsia" w:ascii="黑体" w:hAnsi="黑体" w:eastAsia="黑体" w:cs="黑体"/>
                <w:snapToGrid/>
                <w:color w:val="000000"/>
                <w:spacing w:val="0"/>
                <w:kern w:val="2"/>
                <w:sz w:val="21"/>
                <w:szCs w:val="21"/>
                <w:lang w:val="en-US" w:eastAsia="zh-CN"/>
              </w:rPr>
              <w:t>1</w:t>
            </w:r>
            <w:r>
              <w:rPr>
                <w:rFonts w:hint="eastAsia" w:ascii="黑体" w:hAnsi="黑体" w:eastAsia="黑体" w:cs="黑体"/>
                <w:snapToGrid/>
                <w:color w:val="000000"/>
                <w:spacing w:val="0"/>
                <w:kern w:val="2"/>
                <w:sz w:val="21"/>
                <w:szCs w:val="21"/>
              </w:rPr>
              <w:t>年</w:t>
            </w:r>
          </w:p>
        </w:tc>
        <w:tc>
          <w:tcPr>
            <w:tcW w:w="1102" w:type="dxa"/>
            <w:noWrap w:val="0"/>
            <w:vAlign w:val="center"/>
          </w:tcPr>
          <w:p>
            <w:pPr>
              <w:keepNext w:val="0"/>
              <w:keepLines w:val="0"/>
              <w:suppressLineNumbers w:val="0"/>
              <w:spacing w:before="0" w:beforeAutospacing="0" w:after="0" w:afterAutospacing="0"/>
              <w:ind w:left="0" w:right="0"/>
              <w:jc w:val="center"/>
              <w:rPr>
                <w:rFonts w:hint="eastAsia" w:ascii="黑体" w:hAnsi="黑体" w:eastAsia="黑体" w:cs="黑体"/>
                <w:color w:val="000000"/>
                <w:szCs w:val="21"/>
              </w:rPr>
            </w:pPr>
          </w:p>
        </w:tc>
      </w:tr>
    </w:tbl>
    <w:p>
      <w:pPr>
        <w:pStyle w:val="8"/>
        <w:spacing w:line="360" w:lineRule="auto"/>
        <w:jc w:val="left"/>
        <w:outlineLvl w:val="1"/>
        <w:rPr>
          <w:rFonts w:ascii="宋体" w:hAnsi="宋体" w:cs="宋体"/>
          <w:bCs/>
          <w:color w:val="000000"/>
          <w:sz w:val="10"/>
          <w:szCs w:val="21"/>
          <w:highlight w:val="none"/>
        </w:rPr>
      </w:pPr>
    </w:p>
    <w:p/>
    <w:p>
      <w:pPr>
        <w:pStyle w:val="29"/>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注：</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1、响应人须按要求填写所有信息，不得随意更改本表格式。</w:t>
      </w:r>
    </w:p>
    <w:p>
      <w:pPr>
        <w:pStyle w:val="2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2、报价应为</w:t>
      </w:r>
      <w:r>
        <w:rPr>
          <w:rFonts w:hint="eastAsia" w:ascii="仿宋" w:hAnsi="仿宋" w:eastAsia="仿宋" w:cs="仿宋"/>
          <w:color w:val="auto"/>
          <w:sz w:val="21"/>
          <w:szCs w:val="21"/>
          <w:highlight w:val="none"/>
          <w:lang w:eastAsia="zh-CN"/>
        </w:rPr>
        <w:t>响应人</w:t>
      </w:r>
      <w:r>
        <w:rPr>
          <w:rFonts w:hint="eastAsia" w:ascii="仿宋" w:hAnsi="仿宋" w:eastAsia="仿宋" w:cs="仿宋"/>
          <w:color w:val="auto"/>
          <w:sz w:val="21"/>
          <w:szCs w:val="21"/>
          <w:highlight w:val="none"/>
        </w:rPr>
        <w:t>完成本项目全部内容所需费用的含税价（包括但不限于货物价格、包装费、安装费、检测费、保险费、运输费、备品备件专用工具费、装卸费、搬运费、二次搬运费、保管费、就位费、验收费、培训费、售后服务费、综合费率、总利润、税金等、施工中可能发生的一切费用）。</w:t>
      </w:r>
    </w:p>
    <w:p>
      <w:pPr>
        <w:pStyle w:val="29"/>
        <w:rPr>
          <w:rFonts w:hint="eastAsia" w:ascii="仿宋" w:hAnsi="仿宋" w:eastAsia="仿宋" w:cs="仿宋"/>
          <w:color w:val="auto"/>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此表是响应文件的必要组成文件。</w:t>
      </w:r>
    </w:p>
    <w:p>
      <w:pPr>
        <w:pStyle w:val="29"/>
        <w:rPr>
          <w:rFonts w:hint="eastAsia" w:ascii="仿宋" w:hAnsi="仿宋" w:eastAsia="仿宋" w:cs="仿宋"/>
          <w:color w:val="000000"/>
          <w:highlight w:val="none"/>
        </w:rPr>
      </w:pPr>
    </w:p>
    <w:p>
      <w:pPr>
        <w:pStyle w:val="29"/>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4"/>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仿宋" w:hAnsi="仿宋" w:eastAsia="仿宋" w:cs="仿宋"/>
          <w:color w:val="000000"/>
          <w:sz w:val="32"/>
          <w:szCs w:val="32"/>
          <w:highlight w:val="none"/>
          <w:lang w:val="en-US" w:eastAsia="zh-CN"/>
        </w:rPr>
      </w:pPr>
      <w:r>
        <w:rPr>
          <w:rFonts w:hint="eastAsia" w:ascii="仿宋" w:hAnsi="仿宋" w:eastAsia="仿宋" w:cs="仿宋"/>
          <w:color w:val="000000"/>
          <w:sz w:val="32"/>
          <w:szCs w:val="32"/>
          <w:highlight w:val="none"/>
          <w:lang w:val="en-US" w:eastAsia="zh-CN"/>
        </w:rPr>
        <w:t>（二）分项报价明细表（详细报价清单）</w:t>
      </w:r>
    </w:p>
    <w:p>
      <w:pPr>
        <w:numPr>
          <w:ilvl w:val="0"/>
          <w:numId w:val="0"/>
        </w:numPr>
        <w:rPr>
          <w:rFonts w:hint="eastAsia" w:ascii="仿宋" w:hAnsi="仿宋" w:eastAsia="仿宋" w:cs="仿宋"/>
          <w:color w:val="000000"/>
          <w:highlight w:val="none"/>
          <w:lang w:val="en-US" w:eastAsia="zh-CN"/>
        </w:rPr>
      </w:pPr>
    </w:p>
    <w:p>
      <w:pPr>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项目名称：中山大学孙逸仙纪念医院南北院区及南海精准免疫转化创新中心洁净空调滤网采购项目</w:t>
      </w:r>
    </w:p>
    <w:p>
      <w:pPr>
        <w:pStyle w:val="16"/>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1.分项报价明细表另附，详见附件3：《中山大学孙逸仙纪念医院南北院区及南海精准免疫转化创新中心洁净空调滤网采购项目分项报价明细表》</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2.响应人须按照上述附件内的要求进行填写报价，标黄色的区域须一一填写完整。不得修改分项报价明细表内任何公式。</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3.分项报价明细表均需打印放入响应文件中作为响应明细报价表内容。</w:t>
      </w:r>
    </w:p>
    <w:p>
      <w:pPr>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注：1.此表为报价总表的产品报价明细表。</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2.报价人应按分项报价明细表的各项内容要求进行填写，不得更改此表格式。</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3.必须将分项报价明细表内标黄色的区域一一填写完整。</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4.不得修改本表格内的计算公式。</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5.分项报价明细表中已有计算公式，响应人只需填写响应下浮率、响应品牌（即表格内所有标黄色的区域），即可自动计算，计算公式不得修改。</w:t>
      </w:r>
    </w:p>
    <w:p>
      <w:pPr>
        <w:pStyle w:val="16"/>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6.未完全按第2-5点要求执行的，均按无效响应处理。</w:t>
      </w:r>
    </w:p>
    <w:p>
      <w:pPr>
        <w:rPr>
          <w:rFonts w:hint="eastAsia" w:ascii="仿宋" w:hAnsi="仿宋" w:eastAsia="仿宋" w:cs="仿宋"/>
          <w:lang w:val="en-US" w:eastAsia="zh-CN"/>
        </w:rPr>
      </w:pPr>
    </w:p>
    <w:p>
      <w:pPr>
        <w:pStyle w:val="16"/>
        <w:rPr>
          <w:rFonts w:hint="eastAsia" w:ascii="仿宋" w:hAnsi="仿宋" w:eastAsia="仿宋" w:cs="仿宋"/>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4"/>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3"/>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kern w:val="28"/>
                <w:sz w:val="21"/>
                <w:szCs w:val="21"/>
                <w:highlight w:val="none"/>
                <w:lang w:val="en-US" w:eastAsia="zh-CN"/>
              </w:rPr>
              <w:t>本项目不接受联合体报名，成交供应商不得以任何方式转包或分包本项目。</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比选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29"/>
        <w:rPr>
          <w:rFonts w:hint="eastAsia" w:ascii="仿宋" w:hAnsi="仿宋" w:eastAsia="仿宋" w:cs="仿宋"/>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比选文件时另外单独提供一份盖章签字版的承诺书。若未单独提供，可能影响对响应文件的评价，但不作为一票否决的条款。</w:t>
      </w:r>
    </w:p>
    <w:p>
      <w:pPr>
        <w:pStyle w:val="29"/>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29"/>
        <w:ind w:left="0" w:leftChars="0" w:firstLine="0" w:firstLineChars="0"/>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Style w:val="29"/>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000000"/>
          <w:sz w:val="24"/>
          <w:highlight w:val="none"/>
          <w:u w:val="single"/>
        </w:rPr>
      </w:pP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ascii="仿宋_GB2312" w:hAnsi="华文仿宋" w:eastAsia="仿宋_GB2312" w:cs="华文仿宋"/>
          <w:bCs/>
          <w:color w:val="000000"/>
          <w:szCs w:val="21"/>
          <w:highlight w:val="none"/>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pStyle w:val="29"/>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致：中山大学</w:t>
      </w:r>
      <w:r>
        <w:rPr>
          <w:rFonts w:hint="eastAsia" w:ascii="仿宋" w:hAnsi="仿宋" w:eastAsia="仿宋" w:cs="仿宋"/>
          <w:color w:val="auto"/>
          <w:sz w:val="24"/>
          <w:highlight w:val="none"/>
          <w:lang w:val="en-US" w:eastAsia="zh-CN"/>
        </w:rPr>
        <w:t>孙逸仙纪念</w:t>
      </w:r>
      <w:r>
        <w:rPr>
          <w:rFonts w:hint="eastAsia" w:ascii="仿宋" w:hAnsi="仿宋" w:eastAsia="仿宋" w:cs="仿宋"/>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eastAsia="zh-CN"/>
        </w:rPr>
        <w:t>比选邀请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本项目比选文件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(7)本公司（企业）承诺如若成交，绝不以任何方式转包或分包本项目。</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29"/>
        <w:rPr>
          <w:rFonts w:hint="eastAsia" w:ascii="宋体" w:hAnsi="宋体" w:cs="宋体"/>
          <w:color w:val="auto"/>
          <w:szCs w:val="21"/>
          <w:highlight w:val="none"/>
          <w:lang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0"/>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yellow"/>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项目名称：中山大学孙逸仙纪念医院南北院区及南海精准免疫转化创新中心洁净空调滤网采购项目</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一、我司及工作人员严格遵守医院的有关规定，不通过给予医院工作人员“红包”（含礼品、礼金、消费卡和有价证券、股权、其他金融</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等财物，公司及工作人员安排、组织或者支付费用的宴请或者旅游、健身、娱乐等活动安排，下同）、回扣、提成、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及以其它不正当利益等手段进行促销；不以任何名义、形式给予医院工作人员及其特殊关系人“红包”、回扣、提成、</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二、我司及销售人员不在医院诊疗时间、诊疗区域进入各医疗科室进行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推介活动，不干扰医务人员的医疗活动；未经医院批准，不在院内召开任何形式的</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宣传、推广活动；不在院内张贴、派发涉及</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三、我司承诺需要在医院进行</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不销售、不使用假冒伪劣以及无生产批准文号或无相关经营许可证、经营注册证的药品、试剂、医疗设备、医疗器械、医用耗材及其它</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 w:hAnsi="仿宋" w:eastAsia="仿宋" w:cs="仿宋"/>
          <w:sz w:val="24"/>
          <w:szCs w:val="24"/>
          <w:highlight w:val="none"/>
          <w:lang w:val="en-US" w:eastAsia="zh-CN"/>
        </w:rPr>
        <w:t>比选文件</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成交供应商</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eastAsia="zh-CN"/>
        </w:rPr>
        <w:t>响应文件</w:t>
      </w:r>
      <w:r>
        <w:rPr>
          <w:rFonts w:hint="eastAsia" w:ascii="仿宋" w:hAnsi="仿宋" w:eastAsia="仿宋" w:cs="仿宋"/>
          <w:sz w:val="24"/>
          <w:szCs w:val="24"/>
          <w:highlight w:val="none"/>
        </w:rPr>
        <w:t>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若违反上述承诺，我司自愿接受中山大学孙逸仙纪念医院以下处理：医院将我司违规行为予以曝光；医院取消我司中标</w:t>
      </w:r>
      <w:r>
        <w:rPr>
          <w:rFonts w:hint="eastAsia" w:ascii="仿宋" w:hAnsi="仿宋" w:eastAsia="仿宋" w:cs="仿宋"/>
          <w:sz w:val="24"/>
          <w:szCs w:val="24"/>
          <w:highlight w:val="none"/>
          <w:lang w:val="en-US" w:eastAsia="zh-CN"/>
        </w:rPr>
        <w:t>成交</w:t>
      </w:r>
      <w:r>
        <w:rPr>
          <w:rFonts w:hint="eastAsia" w:ascii="仿宋" w:hAnsi="仿宋" w:eastAsia="仿宋" w:cs="仿宋"/>
          <w:sz w:val="24"/>
          <w:szCs w:val="24"/>
          <w:highlight w:val="none"/>
        </w:rPr>
        <w:t>资格并不予退还履约保证金；医院有权解除双方签订的买卖合同、技术服务合同及建筑工程施工合同等合同，停用相关</w:t>
      </w:r>
      <w:r>
        <w:rPr>
          <w:rFonts w:hint="eastAsia" w:ascii="仿宋" w:hAnsi="仿宋" w:eastAsia="仿宋" w:cs="仿宋"/>
          <w:sz w:val="24"/>
          <w:szCs w:val="24"/>
          <w:highlight w:val="none"/>
          <w:lang w:eastAsia="zh-CN"/>
        </w:rPr>
        <w:t>货物</w:t>
      </w:r>
      <w:r>
        <w:rPr>
          <w:rFonts w:hint="eastAsia" w:ascii="仿宋" w:hAnsi="仿宋" w:eastAsia="仿宋" w:cs="仿宋"/>
          <w:sz w:val="24"/>
          <w:szCs w:val="24"/>
          <w:highlight w:val="none"/>
        </w:rPr>
        <w:t>，并断绝与我司业务往来，且不承担我司因此造成的任何损失；取消我司参加医院招标采购投标资格两年；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供货商</w:t>
      </w:r>
      <w:r>
        <w:rPr>
          <w:rFonts w:hint="eastAsia" w:ascii="仿宋" w:hAnsi="仿宋" w:eastAsia="仿宋" w:cs="仿宋"/>
          <w:sz w:val="24"/>
          <w:szCs w:val="24"/>
          <w:highlight w:val="none"/>
        </w:rPr>
        <w:t>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单位负责人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法定代表人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rFonts w:hint="eastAsia" w:ascii="仿宋" w:hAnsi="仿宋" w:eastAsia="仿宋" w:cs="仿宋"/>
          <w:sz w:val="20"/>
          <w:szCs w:val="22"/>
          <w:highlight w:val="none"/>
        </w:rPr>
      </w:pPr>
      <w:r>
        <w:rPr>
          <w:rFonts w:hint="eastAsia" w:ascii="仿宋" w:hAnsi="仿宋" w:eastAsia="仿宋" w:cs="仿宋"/>
          <w:sz w:val="24"/>
          <w:szCs w:val="24"/>
          <w:highlight w:val="none"/>
        </w:rPr>
        <w:t xml:space="preserve">              日期：           年    月    日</w:t>
      </w:r>
    </w:p>
    <w:p>
      <w:pPr>
        <w:pStyle w:val="30"/>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pStyle w:val="2"/>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3"/>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lang w:eastAsia="zh-CN"/>
              </w:rPr>
              <w:t>比选文件</w:t>
            </w:r>
            <w:r>
              <w:rPr>
                <w:rFonts w:hint="eastAsia" w:ascii="仿宋" w:hAnsi="仿宋" w:eastAsia="仿宋" w:cs="仿宋"/>
                <w:bCs/>
                <w:szCs w:val="21"/>
                <w:highlight w:val="none"/>
              </w:rPr>
              <w:t>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③响应报价不存在明显低于其他通过符合性审查响应人报价的，或报价虽明显低于其他通过符合性审查响应人报价，但响应人能够提供证明其诚信履约且不影响产品质量的书面说明等相关证明材料的。</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④响应报价是唯一确定的，不得存在区间值（如15%～20%）。</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⑤响应报价均应包含国家规定的税费。</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29"/>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rPr>
              <w:t>响应文件按照比选文件规定要求签署、盖章（包括封面、骑缝以及含有“签字”“盖章”字眼的每一处），不得改动本比选文件中已明确要求不得擅自删改的部分，以及遵守比选文件中已列明必须遵照执行否则按无效响应处理的各类要求</w:t>
            </w:r>
            <w:r>
              <w:rPr>
                <w:rFonts w:hint="eastAsia" w:ascii="仿宋" w:hAnsi="仿宋" w:eastAsia="仿宋" w:cs="仿宋"/>
                <w:color w:val="000000"/>
                <w:sz w:val="20"/>
                <w:szCs w:val="20"/>
                <w:lang w:val="en-US"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本公开</w:t>
            </w:r>
            <w:r>
              <w:rPr>
                <w:rFonts w:hint="eastAsia" w:ascii="仿宋" w:hAnsi="仿宋" w:eastAsia="仿宋" w:cs="仿宋"/>
                <w:szCs w:val="21"/>
                <w:highlight w:val="none"/>
                <w:lang w:eastAsia="zh-CN"/>
              </w:rPr>
              <w:t>比选文件</w:t>
            </w:r>
            <w:r>
              <w:rPr>
                <w:rFonts w:hint="eastAsia" w:ascii="仿宋" w:hAnsi="仿宋" w:eastAsia="仿宋" w:cs="仿宋"/>
                <w:szCs w:val="21"/>
                <w:highlight w:val="none"/>
              </w:rPr>
              <w:t>中的“★”号条款要求</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rPr>
              <w:t>本公开</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w:t>
            </w:r>
            <w:r>
              <w:rPr>
                <w:rFonts w:hint="eastAsia" w:ascii="仿宋" w:hAnsi="仿宋" w:eastAsia="仿宋" w:cs="仿宋"/>
                <w:color w:val="000000"/>
                <w:sz w:val="20"/>
                <w:szCs w:val="20"/>
                <w:lang w:eastAsia="zh-CN"/>
              </w:rPr>
              <w:t>比选文件</w:t>
            </w:r>
            <w:r>
              <w:rPr>
                <w:rFonts w:hint="eastAsia" w:ascii="仿宋" w:hAnsi="仿宋" w:eastAsia="仿宋" w:cs="仿宋"/>
                <w:color w:val="000000"/>
                <w:sz w:val="20"/>
                <w:szCs w:val="20"/>
              </w:rPr>
              <w:t>“★”号条款要求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leftChars="0" w:right="0" w:rightChars="0"/>
              <w:textAlignment w:val="auto"/>
              <w:rPr>
                <w:rFonts w:hint="eastAsia" w:ascii="仿宋" w:hAnsi="仿宋" w:eastAsia="仿宋" w:cs="仿宋"/>
                <w:sz w:val="20"/>
                <w:szCs w:val="20"/>
                <w:highlight w:val="none"/>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12"/>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12"/>
        <w:shd w:val="clear" w:color="auto" w:fill="FFFFFF"/>
        <w:rPr>
          <w:rFonts w:hint="eastAsia" w:ascii="仿宋" w:hAnsi="仿宋" w:eastAsia="仿宋" w:cs="仿宋"/>
          <w:sz w:val="21"/>
          <w:szCs w:val="21"/>
          <w:highlight w:val="none"/>
        </w:rPr>
      </w:pPr>
    </w:p>
    <w:p>
      <w:pPr>
        <w:pStyle w:val="12"/>
        <w:shd w:val="clear" w:color="auto" w:fill="FFFFFF"/>
        <w:rPr>
          <w:rFonts w:hint="eastAsia" w:ascii="仿宋" w:hAnsi="仿宋" w:eastAsia="仿宋" w:cs="仿宋"/>
          <w:sz w:val="21"/>
          <w:szCs w:val="21"/>
          <w:highlight w:val="none"/>
        </w:rPr>
      </w:pPr>
    </w:p>
    <w:p>
      <w:pPr>
        <w:pStyle w:val="12"/>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auto"/>
          <w:sz w:val="24"/>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3"/>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3"/>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3"/>
        <w:tabs>
          <w:tab w:val="left" w:pos="900"/>
        </w:tabs>
        <w:spacing w:line="400" w:lineRule="exact"/>
        <w:ind w:firstLine="0"/>
        <w:rPr>
          <w:rFonts w:hint="eastAsia" w:ascii="仿宋" w:hAnsi="仿宋" w:eastAsia="仿宋" w:cs="仿宋"/>
          <w:bCs/>
          <w:color w:val="000000"/>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仿宋" w:hAnsi="仿宋" w:eastAsia="仿宋" w:cs="仿宋"/>
          <w:bCs/>
          <w:color w:val="000000"/>
          <w:sz w:val="30"/>
          <w:szCs w:val="30"/>
          <w:highlight w:val="none"/>
          <w:lang w:val="en-US"/>
        </w:rPr>
      </w:pP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29"/>
        <w:ind w:left="0" w:leftChars="0" w:firstLine="0" w:firstLineChars="0"/>
        <w:rPr>
          <w:rFonts w:hint="eastAsia" w:ascii="仿宋" w:hAnsi="仿宋" w:eastAsia="仿宋" w:cs="仿宋"/>
          <w:highlight w:val="none"/>
          <w:lang w:eastAsia="zh-CN"/>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3"/>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3"/>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3"/>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w:t>
      </w:r>
      <w:r>
        <w:rPr>
          <w:rFonts w:hint="eastAsia" w:ascii="仿宋" w:hAnsi="仿宋" w:eastAsia="仿宋" w:cs="仿宋"/>
          <w:bCs/>
          <w:color w:val="000000"/>
          <w:sz w:val="28"/>
          <w:szCs w:val="28"/>
          <w:highlight w:val="none"/>
          <w:lang w:val="en-US"/>
        </w:rPr>
        <w:t>：</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 xml:space="preserve">姓名）  </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 xml:space="preserve">全称）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rPr>
        <w:t>中山大学孙逸仙纪念医院***项目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3"/>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rFonts w:hint="eastAsia" w:ascii="华文中宋" w:hAnsi="华文中宋" w:eastAsia="华文中宋" w:cs="华文中宋"/>
                                <w:sz w:val="21"/>
                                <w:szCs w:val="21"/>
                              </w:rPr>
                            </w:pPr>
                          </w:p>
                          <w:p>
                            <w:pPr>
                              <w:pStyle w:val="8"/>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8"/>
                        <w:rPr>
                          <w:rFonts w:hint="eastAsia" w:ascii="华文中宋" w:hAnsi="华文中宋" w:eastAsia="华文中宋" w:cs="华文中宋"/>
                          <w:sz w:val="21"/>
                          <w:szCs w:val="21"/>
                        </w:rPr>
                      </w:pPr>
                    </w:p>
                    <w:p>
                      <w:pPr>
                        <w:pStyle w:val="8"/>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29"/>
        <w:ind w:left="0" w:leftChars="0" w:firstLine="0" w:firstLineChars="0"/>
        <w:rPr>
          <w:rFonts w:hint="eastAsia" w:ascii="宋体" w:hAnsi="宋体" w:eastAsia="宋体" w:cs="宋体"/>
          <w:b/>
          <w:bCs/>
          <w:sz w:val="28"/>
          <w:szCs w:val="36"/>
          <w:highlight w:val="none"/>
          <w:lang w:eastAsia="zh-CN"/>
        </w:rPr>
      </w:pPr>
    </w:p>
    <w:p>
      <w:pPr>
        <w:pStyle w:val="8"/>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9"/>
        <w:ind w:left="0" w:leftChars="0" w:firstLine="0" w:firstLineChars="0"/>
        <w:rPr>
          <w:rFonts w:hint="eastAsia" w:ascii="宋体" w:hAnsi="宋体" w:eastAsia="宋体" w:cs="仿宋_GB2312"/>
          <w:bCs/>
          <w:color w:val="000000"/>
          <w:sz w:val="30"/>
          <w:szCs w:val="30"/>
          <w:highlight w:val="none"/>
          <w:lang w:val="en-US"/>
        </w:rPr>
      </w:pPr>
    </w:p>
    <w:p>
      <w:pPr>
        <w:pStyle w:val="8"/>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致：中山大学</w:t>
      </w:r>
      <w:r>
        <w:rPr>
          <w:rFonts w:hint="eastAsia" w:ascii="仿宋" w:hAnsi="仿宋" w:eastAsia="仿宋" w:cs="仿宋"/>
          <w:color w:val="auto"/>
          <w:sz w:val="22"/>
          <w:szCs w:val="22"/>
          <w:highlight w:val="none"/>
          <w:lang w:val="en-US" w:eastAsia="zh-CN"/>
        </w:rPr>
        <w:t>孙逸仙纪念</w:t>
      </w:r>
      <w:r>
        <w:rPr>
          <w:rFonts w:hint="eastAsia" w:ascii="仿宋" w:hAnsi="仿宋" w:eastAsia="仿宋" w:cs="仿宋"/>
          <w:color w:val="auto"/>
          <w:sz w:val="22"/>
          <w:szCs w:val="22"/>
          <w:highlight w:val="none"/>
        </w:rPr>
        <w:t>医院</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yellow"/>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yellow"/>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1、同意并接受比选文件的各项要求，遵守比选文件中的各项规定，按比选文件的要求提供报价。</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，成交供应商响应有效期延至合同验收之日。</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3、我方已经详细地阅读了全部比选文件及其附件，包括澄清及参考文件(如果有的话)。我方已完全清晰理解比选文件的要求，不存在任何含糊不清和误解之处，同意放弃对这些文件所提出的异议和质疑的权利。</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4、如果我单位成交，我方将保证按照院方认可的条件，以本比选文件内写明的金额、方式和时间要求提交履约保证金（如有）。</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6、我方承诺能够完全对比选文件所有带“</w:t>
      </w:r>
      <w:r>
        <w:rPr>
          <w:rFonts w:hint="eastAsia" w:ascii="仿宋" w:hAnsi="仿宋" w:eastAsia="仿宋" w:cs="仿宋"/>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（1）★我方为本项目响应的所有过滤器为同一品牌。</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除每次安装结束必须检测外，我方承诺将定期检测的各院区科室，包括但不限于：手术室、骨髓移植、ICU室、CCU室、生殖中心培养室、静配中心，以上区域每月例行一次检测，并向贵院提供纸质版检测数据报告（数据包含尘埃粒子数、换气次数、风速、压差等）；医研中心、制剂室等其他所列区域每三个月例行一次检测，并向贵院提供纸质版检测数据报告（数据包含尘埃粒子数、换气次数、风速、压差等)且给予必要说明，我方同意将所有定期检测记录作为验收及支付依据之一。</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（3）★为保证高效空气过滤器产品质量，交货时我方承诺提供HV超细玻璃纤维滤纸材料来料证明的相关文件。</w:t>
      </w:r>
    </w:p>
    <w:p>
      <w:pPr>
        <w:pStyle w:val="22"/>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（4）★本项目货物为易耗品，我方同意货物的质保期为该货物自更换之日起至下一次更换的此时间段。质保期内出现的非人为因素导致的货物功能丧失、破损等质量问题，我方及时免费更换并整改。</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pPr>
        <w:pStyle w:val="29"/>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3"/>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56"/>
        <w:gridCol w:w="2936"/>
        <w:gridCol w:w="2089"/>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5025"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具有有效的质量管理体系认证证书，得1分。</w:t>
            </w:r>
          </w:p>
        </w:tc>
        <w:tc>
          <w:tcPr>
            <w:tcW w:w="20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注：须提供有效期内的证书复印件，加盖供应商公章，未提供不得分；若所提供的证书认证范围与本项目无关的，不得分。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具有有效的职业健康安全管理体系认证证书，得1分。</w:t>
            </w:r>
          </w:p>
        </w:tc>
        <w:tc>
          <w:tcPr>
            <w:tcW w:w="20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4"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具有有效的环境管理体系认证证书，得1分。</w:t>
            </w:r>
          </w:p>
        </w:tc>
        <w:tc>
          <w:tcPr>
            <w:tcW w:w="20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根据供应商自2020年1月1日（以合同签订时间为准）以来，具有供货洁净空调过滤器的同类项目业绩进行评分，每提供一个得2分，最高得6分。</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注：供应商需提供合同关键页（含签订合同双方的单位名称、合同项目内容、签订合同双方的落款盖章的关键页）复印件，并加盖公章，不提供不得分。同一客户单位不重复计分。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供应商自2020年1月1日（以合同签订时间为准）以来具有同类项目业绩并经服务单位考核评价为优或满意的，每提供1项得1分，本项最高得3分。</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与上述同类项目业绩吻合的履约评价情况（提供具有用户盖章确认的相关证明资料，评价材料必须达到90分或带有“满意”或“好评”或“优秀”等相关正面评价字眼）。同一客户单位不重复计分。如提供履约评价的采购合同未被评审指标中“经验业绩”认可，则该履约评价无效。</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5025"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为了保证产品具有追溯性且保证质量：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若供应商为所响应产品（过滤器）的代理商、经销商，提供生产企业或其授权的经销商（代理商）出具的有效授权证明的，得3分；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若供应商为所响应产品（过滤器）生产企业的，提供相关有效的证明文件，得3分。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20"/>
                <w:szCs w:val="20"/>
                <w:highlight w:val="none"/>
                <w:lang w:val="en-US" w:eastAsia="zh-CN"/>
              </w:rPr>
              <w:t>本项最高得3分。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供应商拟投入过滤器安装检测设备情况：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风速仪，得1分；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压差表，得1分；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尘埃粒子计数器，得1分。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没有或不提供相关证明文件的得0分。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最高得3分。</w:t>
            </w:r>
          </w:p>
        </w:tc>
        <w:tc>
          <w:tcPr>
            <w:tcW w:w="208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注：须提供设备有效的购买发票或购买合同或有效期内的租赁合同复印件，加盖响应人公章。不清晰或未提供均不得分。非响应人名义租赁或拥有的不得分。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 xml:space="preserve">①拟投入项目经理（不超过2人）具有机电类中级工程师及以上职称，每1人得2分，最高得4分。 </w:t>
            </w:r>
          </w:p>
        </w:tc>
        <w:tc>
          <w:tcPr>
            <w:tcW w:w="208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rPr>
              <w:t>注：须提供证书复印件，以及自2022年8月以来至今任意1个月由响应人缴纳社保的证明材料，加盖响应人公章。</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556"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p>
        </w:tc>
        <w:tc>
          <w:tcPr>
            <w:tcW w:w="293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②拟投入团队成员中（项目经理除外），具有《特种作业操作证》（作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auto"/>
                <w:sz w:val="20"/>
                <w:szCs w:val="20"/>
                <w:highlight w:val="none"/>
                <w:lang w:val="en-US" w:eastAsia="zh-CN"/>
              </w:rPr>
              <w:t>业类别：制冷与空调作业）资质，每1人得7分，最高得7分。</w:t>
            </w:r>
          </w:p>
        </w:tc>
        <w:tc>
          <w:tcPr>
            <w:tcW w:w="208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29"/>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29"/>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Style w:val="2"/>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pStyle w:val="2"/>
        <w:rPr>
          <w:rFonts w:hint="eastAsia" w:ascii="宋体" w:hAnsi="宋体" w:cs="华文仿宋"/>
          <w:b/>
          <w:bCs/>
          <w:sz w:val="36"/>
          <w:szCs w:val="36"/>
          <w:highlight w:val="none"/>
          <w:lang w:eastAsia="zh-CN"/>
        </w:rPr>
      </w:pPr>
    </w:p>
    <w:p>
      <w:pPr>
        <w:pStyle w:val="2"/>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3"/>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Style w:val="29"/>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3"/>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29"/>
        <w:rPr>
          <w:rFonts w:hint="eastAsia" w:ascii="仿宋" w:hAnsi="仿宋" w:eastAsia="仿宋" w:cs="仿宋"/>
          <w:highlight w:val="none"/>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3、企业体系认证情况</w:t>
      </w:r>
      <w:r>
        <w:rPr>
          <w:rFonts w:hint="eastAsia" w:ascii="仿宋" w:hAnsi="仿宋" w:eastAsia="仿宋" w:cs="仿宋"/>
          <w:b/>
          <w:bCs w:val="0"/>
          <w:sz w:val="22"/>
          <w:szCs w:val="22"/>
          <w:highlight w:val="none"/>
          <w:lang w:val="en-US" w:eastAsia="zh-CN"/>
        </w:rPr>
        <w:t>（如有）</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3"/>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34"/>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34"/>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34"/>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4"/>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4"/>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34"/>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34"/>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29"/>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jc w:val="center"/>
        <w:rPr>
          <w:rFonts w:hint="eastAsia" w:ascii="宋体" w:hAnsi="宋体" w:cs="宋体"/>
          <w:b/>
          <w:bCs w:val="0"/>
          <w:sz w:val="32"/>
          <w:szCs w:val="32"/>
          <w:highlight w:val="none"/>
          <w:lang w:val="en-US" w:eastAsia="zh-CN"/>
        </w:rPr>
      </w:pPr>
    </w:p>
    <w:p>
      <w:pPr>
        <w:pStyle w:val="29"/>
        <w:jc w:val="center"/>
        <w:rPr>
          <w:rFonts w:hint="eastAsia" w:ascii="宋体" w:hAnsi="宋体" w:cs="宋体"/>
          <w:b/>
          <w:bCs w:val="0"/>
          <w:sz w:val="32"/>
          <w:szCs w:val="32"/>
          <w:highlight w:val="none"/>
          <w:lang w:val="en-US" w:eastAsia="zh-CN"/>
        </w:rPr>
      </w:pPr>
    </w:p>
    <w:p>
      <w:pPr>
        <w:pStyle w:val="29"/>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3"/>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4"/>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34"/>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34"/>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34"/>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2.提供自2020 年1月1日起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以合同签订时间为准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响应人具有供货洁净空调过滤器的同类项目业绩进行评分</w:t>
      </w:r>
      <w:r>
        <w:rPr>
          <w:rFonts w:hint="eastAsia" w:ascii="仿宋" w:hAnsi="仿宋" w:eastAsia="仿宋" w:cs="仿宋"/>
          <w:sz w:val="21"/>
          <w:szCs w:val="21"/>
          <w:highlight w:val="none"/>
          <w:lang w:eastAsia="zh-CN"/>
        </w:rPr>
        <w:t>。</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每份业绩须提供合同关键页（含签订合同双方的单位名称、合同项目内容、签订合同双方的落款盖章的关键页）复印件，并加盖公章，不提供不得分。同一客户单位不重复计分。证明文件不符合要求或未提供不得分。公章或合同章上的供应商名称与响应人名称不一致的视为无效，如响应人变更过名称，需提供有关部门证明。</w:t>
      </w:r>
    </w:p>
    <w:p>
      <w:pPr>
        <w:pStyle w:val="35"/>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如果响应人没有同类经验业绩的，请在上表正文内容第一行填写“无”。</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5、履约评价情况</w:t>
      </w:r>
      <w:r>
        <w:rPr>
          <w:rFonts w:hint="eastAsia" w:ascii="仿宋" w:hAnsi="仿宋" w:eastAsia="仿宋" w:cs="仿宋"/>
          <w:b/>
          <w:bCs w:val="0"/>
          <w:sz w:val="22"/>
          <w:szCs w:val="22"/>
          <w:highlight w:val="none"/>
          <w:lang w:val="en-US" w:eastAsia="zh-CN"/>
        </w:rPr>
        <w:t>（如有）</w:t>
      </w:r>
    </w:p>
    <w:p>
      <w:pPr>
        <w:jc w:val="both"/>
        <w:rPr>
          <w:rFonts w:hint="eastAsia" w:ascii="仿宋" w:hAnsi="仿宋" w:eastAsia="仿宋" w:cs="仿宋"/>
          <w:sz w:val="20"/>
          <w:szCs w:val="20"/>
        </w:rPr>
      </w:pPr>
      <w:r>
        <w:rPr>
          <w:rFonts w:hint="eastAsia" w:ascii="仿宋" w:hAnsi="仿宋" w:eastAsia="仿宋" w:cs="仿宋"/>
          <w:sz w:val="20"/>
          <w:szCs w:val="20"/>
        </w:rPr>
        <w:t>须提供与上述同类项目业绩吻合的履约评价情况（提供具有用户盖章确认的相关证明资料，评价材料必须达到90分或带有“满意”或“好评”或“优秀”等相关正面评价字眼）。同一客户单位不重复计分。如提供履约评价的采购合同未被评审指标中“同类项目业绩”认可，则该履约评价无效。</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6、产品授权</w:t>
      </w:r>
      <w:r>
        <w:rPr>
          <w:rFonts w:hint="eastAsia" w:ascii="仿宋" w:hAnsi="仿宋" w:eastAsia="仿宋" w:cs="仿宋"/>
          <w:b/>
          <w:bCs w:val="0"/>
          <w:sz w:val="22"/>
          <w:szCs w:val="22"/>
          <w:highlight w:val="none"/>
          <w:lang w:val="en-US" w:eastAsia="zh-CN"/>
        </w:rPr>
        <w:t>（如有）</w:t>
      </w:r>
    </w:p>
    <w:p>
      <w:pPr>
        <w:jc w:val="both"/>
        <w:rPr>
          <w:rFonts w:hint="eastAsia" w:ascii="仿宋" w:hAnsi="仿宋" w:eastAsia="仿宋" w:cs="仿宋"/>
          <w:sz w:val="20"/>
          <w:szCs w:val="20"/>
        </w:rPr>
      </w:pPr>
      <w:r>
        <w:rPr>
          <w:rFonts w:hint="eastAsia" w:ascii="仿宋" w:hAnsi="仿宋" w:eastAsia="仿宋" w:cs="仿宋"/>
          <w:sz w:val="20"/>
          <w:szCs w:val="20"/>
        </w:rPr>
        <w:t>若供应商为所响应产品（过滤器）的代理商、经销商，提供生产企业或其授权的经销商（代理商）出具的有效授权证明的，得3分；</w:t>
      </w:r>
    </w:p>
    <w:p>
      <w:pPr>
        <w:jc w:val="both"/>
        <w:rPr>
          <w:rFonts w:hint="eastAsia" w:ascii="仿宋" w:hAnsi="仿宋" w:eastAsia="仿宋" w:cs="仿宋"/>
          <w:sz w:val="20"/>
          <w:szCs w:val="20"/>
        </w:rPr>
      </w:pPr>
      <w:r>
        <w:rPr>
          <w:rFonts w:hint="eastAsia" w:ascii="仿宋" w:hAnsi="仿宋" w:eastAsia="仿宋" w:cs="仿宋"/>
          <w:sz w:val="20"/>
          <w:szCs w:val="20"/>
        </w:rPr>
        <w:t>若供应商为所响应产品（过滤器）生产企业的，提供相关有效的证明文件，得3分。</w:t>
      </w:r>
    </w:p>
    <w:p>
      <w:pPr>
        <w:jc w:val="both"/>
        <w:rPr>
          <w:rFonts w:hint="eastAsia" w:ascii="仿宋" w:hAnsi="仿宋" w:eastAsia="仿宋" w:cs="仿宋"/>
          <w:sz w:val="20"/>
          <w:szCs w:val="20"/>
        </w:rPr>
      </w:pPr>
      <w:r>
        <w:rPr>
          <w:rFonts w:hint="eastAsia" w:ascii="仿宋" w:hAnsi="仿宋" w:eastAsia="仿宋" w:cs="仿宋"/>
          <w:sz w:val="20"/>
          <w:szCs w:val="20"/>
        </w:rPr>
        <w:t>本项最高得3分。</w:t>
      </w:r>
    </w:p>
    <w:p>
      <w:pPr>
        <w:pStyle w:val="2"/>
        <w:rPr>
          <w:rFonts w:hint="eastAsia" w:ascii="仿宋" w:hAnsi="仿宋" w:eastAsia="仿宋" w:cs="仿宋"/>
          <w:sz w:val="20"/>
          <w:szCs w:val="20"/>
        </w:rPr>
      </w:pPr>
    </w:p>
    <w:p>
      <w:pPr>
        <w:pStyle w:val="2"/>
        <w:rPr>
          <w:rFonts w:hint="eastAsia" w:ascii="仿宋" w:hAnsi="仿宋" w:eastAsia="仿宋" w:cs="仿宋"/>
          <w:sz w:val="20"/>
          <w:szCs w:val="20"/>
        </w:rPr>
      </w:pPr>
    </w:p>
    <w:p>
      <w:pPr>
        <w:pStyle w:val="2"/>
        <w:rPr>
          <w:rFonts w:hint="eastAsia" w:ascii="仿宋" w:hAnsi="仿宋" w:eastAsia="仿宋" w:cs="仿宋"/>
          <w:sz w:val="20"/>
          <w:szCs w:val="20"/>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7、拟投入过滤器安装检测设备</w:t>
      </w:r>
      <w:r>
        <w:rPr>
          <w:rFonts w:hint="eastAsia" w:ascii="仿宋" w:hAnsi="仿宋" w:eastAsia="仿宋" w:cs="仿宋"/>
          <w:b/>
          <w:bCs w:val="0"/>
          <w:sz w:val="22"/>
          <w:szCs w:val="22"/>
          <w:highlight w:val="none"/>
          <w:lang w:val="en-US" w:eastAsia="zh-CN"/>
        </w:rPr>
        <w:t>（如有）</w:t>
      </w:r>
    </w:p>
    <w:tbl>
      <w:tblPr>
        <w:tblStyle w:val="23"/>
        <w:tblW w:w="680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3464"/>
        <w:gridCol w:w="260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op w:val="single" w:color="auto" w:sz="1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3464" w:type="dxa"/>
            <w:tcBorders>
              <w:top w:val="single" w:color="auto" w:sz="12" w:space="0"/>
              <w:left w:val="single" w:color="auto" w:sz="2" w:space="0"/>
              <w:bottom w:val="single" w:color="auto" w:sz="2" w:space="0"/>
              <w:right w:val="single" w:color="auto" w:sz="2" w:space="0"/>
            </w:tcBorders>
            <w:vAlign w:val="center"/>
          </w:tcPr>
          <w:p>
            <w:pPr>
              <w:pStyle w:val="40"/>
              <w:keepNext w:val="0"/>
              <w:keepLines w:val="0"/>
              <w:suppressLineNumbers w:val="0"/>
              <w:adjustRightInd/>
              <w:spacing w:before="0" w:beforeAutospacing="0" w:after="0" w:afterAutospacing="0" w:line="360" w:lineRule="auto"/>
              <w:ind w:left="0" w:right="0"/>
              <w:jc w:val="center"/>
              <w:rPr>
                <w:rFonts w:hint="default" w:ascii="仿宋" w:hAnsi="仿宋" w:eastAsia="仿宋" w:cs="仿宋"/>
                <w:spacing w:val="0"/>
                <w:kern w:val="2"/>
                <w:sz w:val="21"/>
                <w:szCs w:val="24"/>
                <w:lang w:val="en-US" w:eastAsia="zh-CN"/>
              </w:rPr>
            </w:pPr>
            <w:r>
              <w:rPr>
                <w:rFonts w:hint="eastAsia" w:ascii="仿宋" w:hAnsi="仿宋" w:eastAsia="仿宋" w:cs="仿宋"/>
                <w:spacing w:val="0"/>
                <w:kern w:val="2"/>
                <w:sz w:val="21"/>
                <w:szCs w:val="24"/>
                <w:lang w:val="en-US" w:eastAsia="zh-CN"/>
              </w:rPr>
              <w:t>设备名称</w:t>
            </w:r>
          </w:p>
        </w:tc>
        <w:tc>
          <w:tcPr>
            <w:tcW w:w="2603"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default" w:ascii="仿宋" w:hAnsi="仿宋" w:eastAsia="仿宋" w:cs="仿宋"/>
                <w:lang w:val="en-US" w:eastAsia="zh-CN"/>
              </w:rPr>
            </w:pPr>
            <w:r>
              <w:rPr>
                <w:rFonts w:hint="eastAsia" w:ascii="仿宋" w:hAnsi="仿宋" w:eastAsia="仿宋" w:cs="仿宋"/>
                <w:lang w:val="en-US" w:eastAsia="zh-CN"/>
              </w:rPr>
              <w:t>自有/租赁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34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6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34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34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34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34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0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bl>
    <w:p>
      <w:pPr>
        <w:jc w:val="both"/>
        <w:rPr>
          <w:rFonts w:hint="eastAsia" w:ascii="仿宋" w:hAnsi="仿宋" w:eastAsia="仿宋" w:cs="仿宋"/>
          <w:sz w:val="20"/>
          <w:szCs w:val="20"/>
        </w:rPr>
      </w:pPr>
    </w:p>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18"/>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numPr>
          <w:ilvl w:val="0"/>
          <w:numId w:val="18"/>
        </w:numPr>
        <w:jc w:val="both"/>
        <w:rPr>
          <w:rFonts w:hint="eastAsia" w:ascii="仿宋" w:hAnsi="仿宋" w:eastAsia="仿宋" w:cs="仿宋"/>
          <w:sz w:val="20"/>
          <w:szCs w:val="20"/>
        </w:rPr>
      </w:pPr>
      <w:r>
        <w:rPr>
          <w:rFonts w:hint="eastAsia" w:ascii="仿宋" w:hAnsi="仿宋" w:eastAsia="仿宋" w:cs="仿宋"/>
          <w:sz w:val="20"/>
          <w:szCs w:val="20"/>
        </w:rPr>
        <w:t>须提供设备有效的购买发票或购买合同或有效期内的租赁合同复印件，加盖响应人公章。不清晰或未提供均不得分。非响应人名义租赁或拥有的不得分。</w:t>
      </w: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p>
    <w:p>
      <w:pPr>
        <w:pStyle w:val="29"/>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8、团队人员</w:t>
      </w:r>
      <w:r>
        <w:rPr>
          <w:rFonts w:hint="eastAsia" w:ascii="仿宋" w:hAnsi="仿宋" w:eastAsia="仿宋" w:cs="仿宋"/>
          <w:b/>
          <w:bCs w:val="0"/>
          <w:sz w:val="22"/>
          <w:szCs w:val="22"/>
          <w:highlight w:val="none"/>
          <w:lang w:val="en-US" w:eastAsia="zh-CN"/>
        </w:rPr>
        <w:t>（如有）</w:t>
      </w:r>
    </w:p>
    <w:p>
      <w:pPr>
        <w:pStyle w:val="8"/>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采购项目名称：中山大学孙逸仙纪念医院南北院区及南海精准免疫转化创新中心洁净空调滤网采购项目</w:t>
      </w:r>
    </w:p>
    <w:tbl>
      <w:tblPr>
        <w:tblStyle w:val="23"/>
        <w:tblW w:w="81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op w:val="single" w:color="auto" w:sz="1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op w:val="single" w:color="auto" w:sz="12" w:space="0"/>
              <w:left w:val="single" w:color="auto" w:sz="2" w:space="0"/>
              <w:bottom w:val="single" w:color="auto" w:sz="2" w:space="0"/>
              <w:right w:val="single" w:color="auto" w:sz="2" w:space="0"/>
            </w:tcBorders>
            <w:vAlign w:val="center"/>
          </w:tcPr>
          <w:p>
            <w:pPr>
              <w:pStyle w:val="40"/>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经验年限</w:t>
            </w:r>
          </w:p>
        </w:tc>
        <w:tc>
          <w:tcPr>
            <w:tcW w:w="2024" w:type="dxa"/>
            <w:tcBorders>
              <w:top w:val="single" w:color="auto" w:sz="1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本项目拟担任职务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lang w:val="en-US" w:eastAsia="zh-CN"/>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pPr>
        <w:jc w:val="both"/>
        <w:rPr>
          <w:rFonts w:hint="eastAsia" w:ascii="仿宋" w:hAnsi="仿宋" w:eastAsia="仿宋" w:cs="仿宋"/>
          <w:sz w:val="20"/>
          <w:szCs w:val="20"/>
        </w:rPr>
      </w:pPr>
    </w:p>
    <w:p>
      <w:pPr>
        <w:pStyle w:val="29"/>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pPr>
        <w:jc w:val="both"/>
        <w:rPr>
          <w:rFonts w:hint="eastAsia" w:ascii="仿宋" w:hAnsi="仿宋" w:eastAsia="仿宋" w:cs="仿宋"/>
          <w:sz w:val="20"/>
          <w:szCs w:val="20"/>
        </w:rPr>
      </w:pPr>
      <w:r>
        <w:rPr>
          <w:rFonts w:hint="eastAsia" w:ascii="仿宋" w:hAnsi="仿宋" w:eastAsia="仿宋" w:cs="仿宋"/>
          <w:color w:val="auto"/>
          <w:szCs w:val="21"/>
          <w:lang w:val="en-GB"/>
        </w:rPr>
        <w:t>2.请在表格下方附上所列人员的相关证明资料</w:t>
      </w:r>
      <w:r>
        <w:rPr>
          <w:rFonts w:hint="eastAsia" w:ascii="仿宋" w:hAnsi="仿宋" w:eastAsia="仿宋" w:cs="仿宋"/>
          <w:color w:val="auto"/>
          <w:szCs w:val="21"/>
          <w:lang w:val="en-GB" w:eastAsia="zh-CN"/>
        </w:rPr>
        <w:t>：须同时提供证书复印件和供应商为证书持有人购买的自2022年</w:t>
      </w:r>
      <w:r>
        <w:rPr>
          <w:rFonts w:hint="eastAsia" w:ascii="仿宋" w:hAnsi="仿宋" w:eastAsia="仿宋" w:cs="仿宋"/>
          <w:color w:val="auto"/>
          <w:szCs w:val="21"/>
          <w:lang w:val="en-US" w:eastAsia="zh-CN"/>
        </w:rPr>
        <w:t>8</w:t>
      </w:r>
      <w:r>
        <w:rPr>
          <w:rFonts w:hint="eastAsia" w:ascii="仿宋" w:hAnsi="仿宋" w:eastAsia="仿宋" w:cs="仿宋"/>
          <w:color w:val="auto"/>
          <w:szCs w:val="21"/>
          <w:lang w:val="en-GB" w:eastAsia="zh-CN"/>
        </w:rPr>
        <w:t>月</w:t>
      </w:r>
      <w:r>
        <w:rPr>
          <w:rFonts w:hint="eastAsia" w:ascii="仿宋" w:hAnsi="仿宋" w:eastAsia="仿宋" w:cs="仿宋"/>
          <w:sz w:val="20"/>
          <w:szCs w:val="20"/>
        </w:rPr>
        <w:t>以来</w:t>
      </w:r>
      <w:r>
        <w:rPr>
          <w:rFonts w:hint="eastAsia" w:ascii="仿宋" w:hAnsi="仿宋" w:eastAsia="仿宋" w:cs="仿宋"/>
          <w:color w:val="auto"/>
          <w:szCs w:val="21"/>
          <w:lang w:val="en-GB" w:eastAsia="zh-CN"/>
        </w:rPr>
        <w:t>至今任意</w:t>
      </w:r>
      <w:r>
        <w:rPr>
          <w:rFonts w:hint="eastAsia" w:ascii="仿宋" w:hAnsi="仿宋" w:eastAsia="仿宋" w:cs="仿宋"/>
          <w:color w:val="auto"/>
          <w:szCs w:val="21"/>
          <w:lang w:val="en-US" w:eastAsia="zh-CN"/>
        </w:rPr>
        <w:t>1</w:t>
      </w:r>
      <w:r>
        <w:rPr>
          <w:rFonts w:hint="eastAsia" w:ascii="仿宋" w:hAnsi="仿宋" w:eastAsia="仿宋" w:cs="仿宋"/>
          <w:color w:val="auto"/>
          <w:szCs w:val="21"/>
          <w:lang w:val="en-GB" w:eastAsia="zh-CN"/>
        </w:rPr>
        <w:t>个月的社保证明，证明资料缺一不可，加盖供应商公章。</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pPr>
        <w:pStyle w:val="29"/>
        <w:numPr>
          <w:ilvl w:val="0"/>
          <w:numId w:val="0"/>
        </w:numPr>
        <w:ind w:leftChars="200"/>
        <w:jc w:val="center"/>
        <w:rPr>
          <w:rFonts w:hint="eastAsia" w:ascii="宋体" w:hAnsi="宋体" w:cs="宋体"/>
          <w:b/>
          <w:bCs w:val="0"/>
          <w:sz w:val="32"/>
          <w:szCs w:val="32"/>
          <w:highlight w:val="none"/>
          <w:lang w:val="en-US" w:eastAsia="zh-CN"/>
        </w:rPr>
      </w:pPr>
    </w:p>
    <w:p>
      <w:pPr>
        <w:pStyle w:val="29"/>
        <w:numPr>
          <w:ilvl w:val="0"/>
          <w:numId w:val="0"/>
        </w:numPr>
        <w:ind w:leftChars="200"/>
        <w:jc w:val="center"/>
        <w:rPr>
          <w:rFonts w:hint="eastAsia" w:ascii="宋体" w:hAnsi="宋体" w:cs="宋体"/>
          <w:b/>
          <w:bCs w:val="0"/>
          <w:sz w:val="32"/>
          <w:szCs w:val="32"/>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3"/>
        <w:rPr>
          <w:rFonts w:hint="eastAsia" w:ascii="黑体" w:hAnsi="黑体" w:eastAsia="黑体" w:cs="黑体"/>
          <w:b/>
          <w:bCs/>
          <w:sz w:val="40"/>
          <w:szCs w:val="40"/>
          <w:highlight w:val="none"/>
          <w:lang w:val="en-US" w:eastAsia="zh-CN"/>
        </w:rPr>
      </w:pPr>
    </w:p>
    <w:p>
      <w:pPr>
        <w:rPr>
          <w:rFonts w:hint="eastAsia"/>
          <w:lang w:val="en-US" w:eastAsia="zh-CN"/>
        </w:rPr>
      </w:pPr>
    </w:p>
    <w:p>
      <w:pPr>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一）技术评审</w:t>
      </w:r>
      <w:r>
        <w:rPr>
          <w:rFonts w:hint="eastAsia" w:ascii="仿宋" w:hAnsi="仿宋" w:eastAsia="仿宋" w:cs="仿宋"/>
          <w:b/>
          <w:bCs/>
          <w:sz w:val="36"/>
          <w:szCs w:val="36"/>
          <w:highlight w:val="none"/>
        </w:rPr>
        <w:t>自查表</w:t>
      </w:r>
    </w:p>
    <w:tbl>
      <w:tblPr>
        <w:tblStyle w:val="23"/>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304"/>
        <w:gridCol w:w="5054"/>
        <w:gridCol w:w="1379"/>
        <w:gridCol w:w="20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304"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5054"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3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04"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高效过滤器实物样品的比较</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b/>
                <w:bCs/>
                <w:sz w:val="16"/>
                <w:szCs w:val="16"/>
                <w:vertAlign w:val="baseline"/>
                <w:lang w:val="en-US" w:eastAsia="zh-CN"/>
              </w:rPr>
              <w:t>（注：此项对供应商递交的样品（非检测报告）进行现场评审，不提供样品的不得分。）</w:t>
            </w:r>
          </w:p>
        </w:tc>
        <w:tc>
          <w:tcPr>
            <w:tcW w:w="5054"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根据供应商提供的高效过滤器实物样品进行评分：</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铝框表面平整、整体牢固，滤材无破损、无脏污，密封胶无接缝，密封条接口平整、无缝隙的得3分。</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铝框表面平整，有轻微晃动变形，滤材无破损、无脏污，密封胶无接缝，密封条接口平整、无缝隙的得2分。</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sz w:val="20"/>
                <w:szCs w:val="20"/>
              </w:rPr>
            </w:pPr>
            <w:r>
              <w:rPr>
                <w:rFonts w:hint="eastAsia" w:ascii="仿宋" w:hAnsi="仿宋" w:eastAsia="仿宋" w:cs="仿宋"/>
                <w:sz w:val="20"/>
                <w:szCs w:val="20"/>
              </w:rPr>
              <w:t>铝框表面平整，有较大晃动变形，滤材完整无破损,无脏污，密封胶无接缝，密封条接口平整、无缝隙的得1分。</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cs="仿宋"/>
                <w:sz w:val="20"/>
                <w:szCs w:val="20"/>
              </w:rPr>
              <w:t>其余的不得分。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304"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中效过滤器实物样品的比较</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rPr>
            </w:pPr>
            <w:r>
              <w:rPr>
                <w:rFonts w:hint="eastAsia" w:ascii="仿宋" w:hAnsi="仿宋" w:eastAsia="仿宋" w:cs="仿宋"/>
                <w:b/>
                <w:bCs w:val="0"/>
                <w:sz w:val="16"/>
                <w:szCs w:val="16"/>
                <w:vertAlign w:val="baseline"/>
                <w:lang w:val="en-US" w:eastAsia="zh-CN"/>
              </w:rPr>
              <w:t>（注：此项对供应商递交的样品（非检测报告）进行现场评审，不提供样品的不得分。）</w:t>
            </w:r>
          </w:p>
        </w:tc>
        <w:tc>
          <w:tcPr>
            <w:tcW w:w="5054"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根据供应商提供的中效过滤器实物样品进行评分：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铝框表面平整、整体牢固，滤材无破损、无脏污，密封胶无接缝，密封条接口平整、无缝隙的得3分。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铝框表面平整，有轻微晃动变形，滤材无破损、无脏污，密封胶无接缝，密封条接口平整、无缝隙的得2分。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铝框表面平整，有较大晃动变形，滤材完整无破损,无脏污，密封胶无接缝，密封条接口平整、无缝隙的得1分。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lang w:val="en-US" w:eastAsia="zh-CN"/>
              </w:rPr>
              <w:t>其余的不得分。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0" w:hRule="atLeast"/>
          <w:jc w:val="center"/>
        </w:trPr>
        <w:tc>
          <w:tcPr>
            <w:tcW w:w="641"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304"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0"/>
                <w:szCs w:val="20"/>
              </w:rPr>
            </w:pPr>
            <w:r>
              <w:rPr>
                <w:rFonts w:hint="eastAsia" w:ascii="仿宋" w:hAnsi="仿宋" w:eastAsia="仿宋" w:cs="仿宋"/>
                <w:sz w:val="20"/>
                <w:szCs w:val="20"/>
              </w:rPr>
              <w:t>低效过滤器实物样品的比较</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sz w:val="20"/>
                <w:szCs w:val="20"/>
              </w:rPr>
            </w:pPr>
            <w:r>
              <w:rPr>
                <w:rFonts w:hint="eastAsia" w:ascii="仿宋" w:hAnsi="仿宋" w:eastAsia="仿宋" w:cs="仿宋"/>
                <w:b/>
                <w:bCs w:val="0"/>
                <w:sz w:val="16"/>
                <w:szCs w:val="16"/>
              </w:rPr>
              <w:t>（注：此项对供应商递交的样品（非检测报告）进行现场评审，不提供样品的不得分。）</w:t>
            </w:r>
          </w:p>
        </w:tc>
        <w:tc>
          <w:tcPr>
            <w:tcW w:w="5054"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根据供应商提供的低效过滤器实物样品进行评分：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铝框表面平整、整体牢固，滤材无破损、无脏污，密封胶无接缝，密封条接口平整、无缝隙的得3分。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铝框表面平整，有轻微晃动变形，滤材无破损、无脏污，密封胶无接缝，密封条接口平整、无缝隙的得2分。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铝框表面平整，有较大晃动变形，滤材完整无破损,无脏污，密封胶无接缝，密封条接口平整、无缝隙的得1分。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rPr>
            </w:pPr>
            <w:r>
              <w:rPr>
                <w:rFonts w:hint="eastAsia" w:ascii="仿宋" w:hAnsi="仿宋" w:eastAsia="仿宋" w:cs="仿宋"/>
                <w:sz w:val="20"/>
                <w:szCs w:val="20"/>
                <w:lang w:val="en-US" w:eastAsia="zh-CN"/>
              </w:rPr>
              <w:t>其余的不得分。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0"/>
                <w:szCs w:val="20"/>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sz w:val="20"/>
                <w:szCs w:val="20"/>
              </w:rPr>
            </w:pPr>
            <w:r>
              <w:rPr>
                <w:rFonts w:hint="eastAsia" w:ascii="仿宋" w:hAnsi="仿宋" w:eastAsia="仿宋" w:cs="仿宋"/>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89"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04"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color w:val="000000" w:themeColor="text1"/>
                <w:kern w:val="0"/>
                <w:sz w:val="20"/>
                <w:szCs w:val="20"/>
                <w:highlight w:val="none"/>
                <w14:textFill>
                  <w14:solidFill>
                    <w14:schemeClr w14:val="tx1"/>
                  </w14:solidFill>
                </w14:textFill>
              </w:rPr>
              <w:t>空气过滤器技术参数响应程度</w:t>
            </w:r>
          </w:p>
        </w:tc>
        <w:tc>
          <w:tcPr>
            <w:tcW w:w="5054" w:type="dxa"/>
            <w:vAlign w:val="center"/>
          </w:tcPr>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根据供应商对比选文件第二章用户需求书“四、各规格空气过滤器技术参数及要求”中“风口金属网空气过滤器、折叠式空气过滤器、袋式空气过滤器、亚高效空气过滤器、大风量高效空气过滤器、无隔板空气过滤器、有隔板高效过滤器”7个产品的响应程度进行评审：</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每一个产品的参数完全满足技术参数要求，得2分，最高得14分。</w:t>
            </w:r>
          </w:p>
          <w:p>
            <w:pPr>
              <w:keepNext w:val="0"/>
              <w:keepLines w:val="0"/>
              <w:suppressLineNumbers w:val="0"/>
              <w:spacing w:before="0" w:beforeAutospacing="0" w:after="0" w:afterAutospacing="0"/>
              <w:ind w:left="0" w:leftChars="0" w:right="0" w:rightChars="0"/>
              <w:jc w:val="left"/>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lang w:val="en-US" w:eastAsia="zh-CN"/>
              </w:rPr>
              <w:t>注：须提供产品彩页或厂家使用说明书或检验检测报告或出厂合格证等能完整体现产品技术参数的证明材料，加盖供应商公章。</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04"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sz w:val="20"/>
                <w:szCs w:val="20"/>
                <w:highlight w:val="none"/>
                <w:lang w:val="en-US" w:eastAsia="zh-CN"/>
              </w:rPr>
              <w:t>产品可靠性</w:t>
            </w:r>
          </w:p>
        </w:tc>
        <w:tc>
          <w:tcPr>
            <w:tcW w:w="5054"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技术水平在同类产品中领先，技术成熟性、设备可靠性强，明显优于同类产品的得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技术水平在同类产品中属于中等，技术成熟性、设备可靠性较好的得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 xml:space="preserve">分；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highlight w:val="none"/>
              </w:rPr>
              <w:t>技术水平在同类产品中较落后，技术成熟性、设备可靠性一般的得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分</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 xml:space="preserve"> </w:t>
            </w: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04"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sz w:val="20"/>
                <w:szCs w:val="20"/>
                <w:highlight w:val="none"/>
                <w:lang w:val="en-US" w:eastAsia="zh-CN"/>
              </w:rPr>
              <w:t>安装服务方案</w:t>
            </w:r>
          </w:p>
        </w:tc>
        <w:tc>
          <w:tcPr>
            <w:tcW w:w="5054"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提供的安装服务方案（包括但不限于进入洁净区人员着装方案、过滤器更换方案、检测方案等）进行评审：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安装调试及验收方案具体、详细、可行，有利于项目实施的得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安装调试及验收方案较具体、较详细、可行，较有利于项目实施的得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 xml:space="preserve">分；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highlight w:val="none"/>
              </w:rPr>
              <w:t>安装调试及验收方案一般、较详细、可行性一般，利于项目实施的得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 xml:space="preserve">分； </w:t>
            </w: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04"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cs="仿宋"/>
                <w:sz w:val="20"/>
                <w:szCs w:val="20"/>
                <w:highlight w:val="none"/>
                <w:lang w:val="en-US" w:eastAsia="zh-CN"/>
              </w:rPr>
              <w:t>售后服务方案</w:t>
            </w:r>
          </w:p>
        </w:tc>
        <w:tc>
          <w:tcPr>
            <w:tcW w:w="5054" w:type="dxa"/>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rPr>
              <w:t>根据</w:t>
            </w: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包括但不限于服务承诺、应急预案、突发事件的处理措施、退换货方案等</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rPr>
              <w:t>进行评审：</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提供的售后服务方案及退换货方案详细，解决问题快速，科学性、服务便利程度、合理性高，退换手续制度完善合理，服务承诺优于采购需求，得</w:t>
            </w:r>
            <w:r>
              <w:rPr>
                <w:rFonts w:hint="eastAsia" w:ascii="仿宋" w:hAnsi="仿宋" w:eastAsia="仿宋" w:cs="仿宋"/>
                <w:sz w:val="20"/>
                <w:szCs w:val="20"/>
                <w:highlight w:val="none"/>
                <w:lang w:val="en-US" w:eastAsia="zh-CN"/>
              </w:rPr>
              <w:t>6</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提供的售后服务方案及退换货方案较详细，科学性、服务便利程度、合理性较高，退换手续制度较完善，服务承诺满足采购需求，得</w:t>
            </w:r>
            <w:r>
              <w:rPr>
                <w:rFonts w:hint="eastAsia" w:ascii="仿宋" w:hAnsi="仿宋" w:eastAsia="仿宋" w:cs="仿宋"/>
                <w:sz w:val="20"/>
                <w:szCs w:val="20"/>
                <w:highlight w:val="none"/>
                <w:lang w:val="en-US" w:eastAsia="zh-CN"/>
              </w:rPr>
              <w:t>4</w:t>
            </w:r>
            <w:r>
              <w:rPr>
                <w:rFonts w:hint="eastAsia" w:ascii="仿宋" w:hAnsi="仿宋" w:eastAsia="仿宋" w:cs="仿宋"/>
                <w:sz w:val="20"/>
                <w:szCs w:val="20"/>
                <w:highlight w:val="none"/>
              </w:rPr>
              <w:t>分；</w:t>
            </w:r>
          </w:p>
          <w:p>
            <w:pPr>
              <w:keepNext w:val="0"/>
              <w:keepLines w:val="0"/>
              <w:suppressLineNumbers w:val="0"/>
              <w:spacing w:before="0" w:beforeAutospacing="0" w:after="0" w:afterAutospacing="0"/>
              <w:ind w:left="0" w:right="0"/>
              <w:jc w:val="left"/>
              <w:rPr>
                <w:rFonts w:hint="eastAsia" w:ascii="仿宋" w:hAnsi="仿宋" w:eastAsia="仿宋" w:cs="仿宋"/>
                <w:sz w:val="20"/>
                <w:szCs w:val="20"/>
                <w:highlight w:val="none"/>
              </w:rPr>
            </w:pPr>
            <w:r>
              <w:rPr>
                <w:rFonts w:hint="eastAsia" w:ascii="仿宋" w:hAnsi="仿宋" w:eastAsia="仿宋" w:cs="仿宋"/>
                <w:sz w:val="20"/>
                <w:szCs w:val="20"/>
                <w:highlight w:val="none"/>
                <w:lang w:val="en-US" w:eastAsia="zh-CN"/>
              </w:rPr>
              <w:t>供应商</w:t>
            </w:r>
            <w:r>
              <w:rPr>
                <w:rFonts w:hint="eastAsia" w:ascii="仿宋" w:hAnsi="仿宋" w:eastAsia="仿宋" w:cs="仿宋"/>
                <w:sz w:val="20"/>
                <w:szCs w:val="20"/>
                <w:highlight w:val="none"/>
              </w:rPr>
              <w:t>提供的售后服务方案及退换货方案不详细，服务便利程度及合理性较低，退换手续流程不够便捷，服务承诺低于采购需求，得</w:t>
            </w:r>
            <w:r>
              <w:rPr>
                <w:rFonts w:hint="eastAsia" w:ascii="仿宋" w:hAnsi="仿宋" w:eastAsia="仿宋" w:cs="仿宋"/>
                <w:sz w:val="20"/>
                <w:szCs w:val="20"/>
                <w:highlight w:val="none"/>
                <w:lang w:val="en-US" w:eastAsia="zh-CN"/>
              </w:rPr>
              <w:t>2</w:t>
            </w:r>
            <w:r>
              <w:rPr>
                <w:rFonts w:hint="eastAsia" w:ascii="仿宋" w:hAnsi="仿宋" w:eastAsia="仿宋" w:cs="仿宋"/>
                <w:sz w:val="20"/>
                <w:szCs w:val="20"/>
                <w:highlight w:val="none"/>
              </w:rPr>
              <w:t>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cs="仿宋"/>
                <w:sz w:val="20"/>
                <w:szCs w:val="20"/>
                <w:highlight w:val="none"/>
                <w:lang w:val="en-US" w:eastAsia="zh-CN"/>
              </w:rPr>
              <w:t>其余情况</w:t>
            </w:r>
            <w:r>
              <w:rPr>
                <w:rFonts w:hint="eastAsia" w:ascii="仿宋" w:hAnsi="仿宋" w:eastAsia="仿宋" w:cs="仿宋"/>
                <w:sz w:val="20"/>
                <w:szCs w:val="20"/>
                <w:highlight w:val="none"/>
              </w:rPr>
              <w:t>不得分。</w:t>
            </w:r>
          </w:p>
        </w:tc>
        <w:tc>
          <w:tcPr>
            <w:tcW w:w="13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29"/>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29"/>
        <w:ind w:left="0" w:leftChars="0" w:firstLine="0" w:firstLineChars="0"/>
        <w:rPr>
          <w:rFonts w:hint="eastAsia" w:ascii="仿宋" w:hAnsi="仿宋" w:eastAsia="仿宋" w:cs="仿宋"/>
          <w:highlight w:val="none"/>
        </w:rPr>
      </w:pPr>
    </w:p>
    <w:p>
      <w:pPr>
        <w:pStyle w:val="29"/>
        <w:ind w:left="0" w:leftChars="0" w:firstLine="0" w:firstLineChars="0"/>
        <w:rPr>
          <w:rFonts w:hint="eastAsia" w:ascii="仿宋" w:hAnsi="仿宋" w:eastAsia="仿宋" w:cs="仿宋"/>
          <w:highlight w:val="none"/>
        </w:rPr>
      </w:pP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二）技术评审证明资料</w:t>
      </w:r>
      <w:r>
        <w:rPr>
          <w:rFonts w:hint="eastAsia" w:ascii="仿宋" w:hAnsi="仿宋" w:eastAsia="仿宋" w:cs="仿宋"/>
          <w:b/>
          <w:bCs w:val="0"/>
          <w:sz w:val="22"/>
          <w:szCs w:val="22"/>
          <w:lang w:val="en-US" w:eastAsia="zh-CN"/>
        </w:rPr>
        <w:t>（如有）</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1、实物样品</w:t>
      </w:r>
      <w:r>
        <w:rPr>
          <w:rFonts w:hint="eastAsia" w:ascii="仿宋" w:hAnsi="仿宋" w:eastAsia="仿宋" w:cs="仿宋"/>
          <w:b/>
          <w:bCs w:val="0"/>
          <w:sz w:val="22"/>
          <w:szCs w:val="22"/>
          <w:lang w:val="en-US" w:eastAsia="zh-CN"/>
        </w:rPr>
        <w:t>（如有）</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ind w:firstLine="560" w:firstLineChars="200"/>
        <w:jc w:val="left"/>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样品内包装须有供应商名称和产品名称的标识，并且装于密封完好的信封或包装。同时在响应文件中提供实物样品说明表如下：</w:t>
      </w:r>
    </w:p>
    <w:tbl>
      <w:tblPr>
        <w:tblStyle w:val="23"/>
        <w:tblpPr w:leftFromText="180" w:rightFromText="180" w:vertAnchor="text" w:horzAnchor="page" w:tblpXSpec="center" w:tblpY="14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1742"/>
        <w:gridCol w:w="171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r>
              <w:rPr>
                <w:rFonts w:hint="eastAsia" w:ascii="仿宋" w:hAnsi="仿宋" w:eastAsia="仿宋" w:cs="仿宋"/>
                <w:sz w:val="24"/>
                <w:szCs w:val="24"/>
                <w:lang w:val="en-GB"/>
              </w:rPr>
              <w:t>货物名称</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r>
              <w:rPr>
                <w:rFonts w:hint="eastAsia" w:ascii="仿宋" w:hAnsi="仿宋" w:eastAsia="仿宋" w:cs="仿宋"/>
                <w:sz w:val="24"/>
                <w:szCs w:val="24"/>
                <w:lang w:val="en-GB"/>
              </w:rPr>
              <w:t>品牌</w:t>
            </w:r>
          </w:p>
        </w:tc>
        <w:tc>
          <w:tcPr>
            <w:tcW w:w="171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eastAsia" w:ascii="仿宋" w:hAnsi="仿宋" w:eastAsia="仿宋" w:cs="仿宋"/>
                <w:b w:val="0"/>
                <w:bCs w:val="0"/>
                <w:color w:val="000000" w:themeColor="text1"/>
                <w:sz w:val="24"/>
                <w:szCs w:val="24"/>
                <w:lang w:val="en-GB"/>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规格（mm）</w:t>
            </w:r>
          </w:p>
        </w:tc>
        <w:tc>
          <w:tcPr>
            <w:tcW w:w="16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center"/>
              <w:rPr>
                <w:rFonts w:hint="default" w:ascii="仿宋" w:hAnsi="仿宋" w:eastAsia="仿宋" w:cs="仿宋"/>
                <w:b w:val="0"/>
                <w:bCs w:val="0"/>
                <w:color w:val="000000" w:themeColor="text1"/>
                <w:sz w:val="24"/>
                <w:szCs w:val="24"/>
                <w:lang w:val="en-US"/>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效率等级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4"/>
                <w:szCs w:val="24"/>
                <w:lang w:val="en-GB"/>
              </w:rPr>
            </w:pPr>
            <w:r>
              <w:rPr>
                <w:rFonts w:hint="eastAsia" w:ascii="仿宋" w:hAnsi="仿宋" w:eastAsia="仿宋" w:cs="仿宋"/>
                <w:b w:val="0"/>
                <w:bCs w:val="0"/>
                <w:sz w:val="24"/>
                <w:szCs w:val="24"/>
                <w:lang w:val="en-GB"/>
              </w:rPr>
              <w:t>高效过滤器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4"/>
                <w:szCs w:val="24"/>
                <w:lang w:val="en-GB"/>
              </w:rPr>
            </w:pPr>
            <w:r>
              <w:rPr>
                <w:rFonts w:hint="eastAsia" w:ascii="仿宋" w:hAnsi="仿宋" w:eastAsia="仿宋" w:cs="仿宋"/>
                <w:b w:val="0"/>
                <w:bCs w:val="0"/>
                <w:sz w:val="24"/>
                <w:szCs w:val="24"/>
                <w:lang w:val="en-GB"/>
              </w:rPr>
              <w:t>中效过滤器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2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rPr>
                <w:rFonts w:hint="eastAsia" w:ascii="仿宋" w:hAnsi="仿宋" w:eastAsia="仿宋" w:cs="仿宋"/>
                <w:sz w:val="24"/>
                <w:szCs w:val="24"/>
                <w:lang w:val="en-GB"/>
              </w:rPr>
            </w:pPr>
            <w:r>
              <w:rPr>
                <w:rFonts w:hint="eastAsia" w:ascii="仿宋" w:hAnsi="仿宋" w:eastAsia="仿宋" w:cs="仿宋"/>
                <w:b w:val="0"/>
                <w:bCs w:val="0"/>
                <w:sz w:val="24"/>
                <w:szCs w:val="24"/>
                <w:lang w:val="en-GB"/>
              </w:rPr>
              <w:t>初效过滤器</w:t>
            </w:r>
          </w:p>
        </w:tc>
        <w:tc>
          <w:tcPr>
            <w:tcW w:w="17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7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c>
          <w:tcPr>
            <w:tcW w:w="164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rPr>
                <w:rFonts w:hint="eastAsia" w:ascii="仿宋" w:hAnsi="仿宋" w:eastAsia="仿宋" w:cs="仿宋"/>
                <w:sz w:val="24"/>
                <w:szCs w:val="24"/>
                <w:lang w:val="en-GB"/>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b/>
          <w:color w:val="000000"/>
          <w:sz w:val="20"/>
          <w:szCs w:val="2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eastAsia" w:ascii="仿宋" w:hAnsi="仿宋" w:eastAsia="仿宋" w:cs="仿宋"/>
          <w:b/>
          <w:color w:val="000000"/>
          <w:sz w:val="20"/>
          <w:szCs w:val="2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00" w:firstLineChars="300"/>
        <w:jc w:val="left"/>
        <w:textAlignment w:val="auto"/>
        <w:rPr>
          <w:rFonts w:hint="eastAsia" w:ascii="仿宋" w:hAnsi="仿宋" w:eastAsia="仿宋" w:cs="仿宋"/>
          <w:b w:val="0"/>
          <w:bCs/>
          <w:color w:val="000000" w:themeColor="text1"/>
          <w:sz w:val="20"/>
          <w:szCs w:val="20"/>
          <w:highlight w:val="none"/>
          <w:lang w:val="en-US" w:eastAsia="zh-CN"/>
          <w14:textFill>
            <w14:solidFill>
              <w14:schemeClr w14:val="tx1"/>
            </w14:solidFill>
          </w14:textFill>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color w:val="000000"/>
          <w:sz w:val="24"/>
          <w:szCs w:val="24"/>
          <w:highlight w:val="none"/>
          <w:lang w:val="en-US" w:eastAsia="zh-CN"/>
        </w:rPr>
        <w:t>注：请在表格中详细列出实物样品的各项规格尺寸等内容，以作为样品说明。</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2、空气过滤器技术参数响应程度</w:t>
      </w:r>
      <w:r>
        <w:rPr>
          <w:rFonts w:hint="eastAsia" w:ascii="仿宋" w:hAnsi="仿宋" w:eastAsia="仿宋" w:cs="仿宋"/>
          <w:b/>
          <w:bCs w:val="0"/>
          <w:sz w:val="22"/>
          <w:szCs w:val="22"/>
          <w:lang w:val="en-US" w:eastAsia="zh-CN"/>
        </w:rPr>
        <w:t>（如有）</w:t>
      </w:r>
    </w:p>
    <w:p>
      <w:pPr>
        <w:pStyle w:val="30"/>
        <w:jc w:val="center"/>
        <w:rPr>
          <w:rFonts w:hint="eastAsia" w:ascii="仿宋" w:hAnsi="仿宋" w:eastAsia="仿宋" w:cs="仿宋"/>
          <w:b/>
          <w:bCs w:val="0"/>
          <w:sz w:val="28"/>
          <w:szCs w:val="28"/>
          <w:lang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sz w:val="20"/>
          <w:szCs w:val="20"/>
          <w:highlight w:val="none"/>
          <w:lang w:val="en-US" w:eastAsia="zh-CN"/>
        </w:rPr>
        <w:t>注：</w:t>
      </w:r>
      <w:r>
        <w:rPr>
          <w:rFonts w:hint="eastAsia" w:ascii="仿宋" w:hAnsi="仿宋" w:eastAsia="仿宋" w:cs="仿宋"/>
          <w:sz w:val="20"/>
          <w:szCs w:val="20"/>
          <w:highlight w:val="none"/>
        </w:rPr>
        <w:t>须提供产品彩页或厂家使用说明书或检验检测报告或出厂合格证等能完整体现产品技术参数的证明材料，加盖供应商公章。</w:t>
      </w:r>
      <w:r>
        <w:rPr>
          <w:rFonts w:hint="eastAsia" w:ascii="仿宋" w:hAnsi="仿宋" w:eastAsia="仿宋" w:cs="仿宋"/>
          <w:color w:val="000000"/>
          <w:spacing w:val="0"/>
          <w:w w:val="100"/>
          <w:position w:val="0"/>
          <w:sz w:val="21"/>
          <w:szCs w:val="21"/>
          <w:lang w:val="en-US" w:eastAsia="zh-CN"/>
        </w:rPr>
        <w:t xml:space="preserve">       </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2"/>
        <w:rPr>
          <w:rFonts w:hint="eastAsia"/>
          <w:lang w:val="en-US" w:eastAsia="zh-CN"/>
        </w:rPr>
      </w:pPr>
    </w:p>
    <w:p>
      <w:pPr>
        <w:pStyle w:val="2"/>
        <w:rPr>
          <w:rFonts w:hint="eastAsia"/>
          <w:lang w:val="en-US" w:eastAsia="zh-CN"/>
        </w:rPr>
      </w:pPr>
    </w:p>
    <w:p>
      <w:pPr>
        <w:pageBreakBefore w:val="0"/>
        <w:kinsoku/>
        <w:wordWrap/>
        <w:overflowPunct/>
        <w:topLinePunct w:val="0"/>
        <w:bidi w:val="0"/>
        <w:spacing w:line="360" w:lineRule="auto"/>
        <w:ind w:left="0" w:leftChars="0" w:right="0" w:rightChars="0" w:firstLine="3570" w:firstLineChars="17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30"/>
        <w:tabs>
          <w:tab w:val="left" w:pos="4200"/>
        </w:tabs>
        <w:jc w:val="center"/>
        <w:rPr>
          <w:rFonts w:hint="eastAsia" w:ascii="仿宋" w:hAnsi="仿宋" w:eastAsia="仿宋" w:cs="仿宋"/>
          <w:b/>
          <w:bCs w:val="0"/>
          <w:sz w:val="28"/>
          <w:szCs w:val="28"/>
          <w:lang w:eastAsia="zh-CN"/>
        </w:rPr>
      </w:pPr>
    </w:p>
    <w:p>
      <w:pPr>
        <w:pStyle w:val="28"/>
        <w:rPr>
          <w:rFonts w:hint="eastAsia" w:ascii="仿宋" w:hAnsi="仿宋" w:eastAsia="仿宋" w:cs="仿宋"/>
          <w:b/>
          <w:bCs w:val="0"/>
          <w:sz w:val="28"/>
          <w:szCs w:val="28"/>
          <w:lang w:eastAsia="zh-CN"/>
        </w:rPr>
      </w:pPr>
    </w:p>
    <w:p>
      <w:pPr>
        <w:pStyle w:val="28"/>
        <w:rPr>
          <w:rFonts w:hint="eastAsia" w:ascii="仿宋" w:hAnsi="仿宋" w:eastAsia="仿宋" w:cs="仿宋"/>
          <w:b/>
          <w:bCs w:val="0"/>
          <w:sz w:val="28"/>
          <w:szCs w:val="28"/>
          <w:lang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3、产品可靠性</w:t>
      </w:r>
      <w:r>
        <w:rPr>
          <w:rFonts w:hint="eastAsia" w:ascii="仿宋" w:hAnsi="仿宋" w:eastAsia="仿宋" w:cs="仿宋"/>
          <w:b/>
          <w:bCs w:val="0"/>
          <w:sz w:val="22"/>
          <w:szCs w:val="22"/>
          <w:lang w:val="en-US" w:eastAsia="zh-CN"/>
        </w:rPr>
        <w:t>（如有）</w:t>
      </w:r>
    </w:p>
    <w:p>
      <w:pPr>
        <w:pStyle w:val="29"/>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30"/>
        <w:jc w:val="left"/>
        <w:rPr>
          <w:rFonts w:hint="eastAsia" w:ascii="仿宋" w:hAnsi="仿宋" w:eastAsia="仿宋" w:cs="仿宋"/>
          <w:b w:val="0"/>
          <w:bCs/>
          <w:sz w:val="24"/>
          <w:szCs w:val="24"/>
          <w:lang w:val="en-US" w:eastAsia="zh-CN"/>
        </w:rPr>
      </w:pPr>
    </w:p>
    <w:p>
      <w:pPr>
        <w:pStyle w:val="30"/>
        <w:spacing w:line="360" w:lineRule="auto"/>
        <w:jc w:val="left"/>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包括但不限于：所供产品的技术水平在同类产品的情况，生产商（制造商）对生产空气过滤器的技术、设备方面的介绍，产品实力或者历来获奖情况等。</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2"/>
        <w:rPr>
          <w:rFonts w:hint="eastAsia"/>
          <w:lang w:val="en-US" w:eastAsia="zh-CN"/>
        </w:rPr>
      </w:pPr>
    </w:p>
    <w:p>
      <w:pPr>
        <w:pageBreakBefore w:val="0"/>
        <w:kinsoku/>
        <w:wordWrap/>
        <w:overflowPunct/>
        <w:topLinePunct w:val="0"/>
        <w:bidi w:val="0"/>
        <w:spacing w:line="360" w:lineRule="auto"/>
        <w:ind w:left="0" w:leftChars="0" w:right="0" w:rightChars="0" w:firstLine="3570" w:firstLineChars="17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4、安装服务方案</w:t>
      </w:r>
      <w:r>
        <w:rPr>
          <w:rFonts w:hint="eastAsia" w:ascii="仿宋" w:hAnsi="仿宋" w:eastAsia="仿宋" w:cs="仿宋"/>
          <w:b/>
          <w:bCs w:val="0"/>
          <w:sz w:val="22"/>
          <w:szCs w:val="22"/>
          <w:lang w:val="en-US" w:eastAsia="zh-CN"/>
        </w:rPr>
        <w:t>（如有）</w:t>
      </w:r>
    </w:p>
    <w:p>
      <w:pPr>
        <w:pStyle w:val="29"/>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30"/>
        <w:jc w:val="left"/>
        <w:rPr>
          <w:rFonts w:hint="eastAsia" w:ascii="仿宋" w:hAnsi="仿宋" w:eastAsia="仿宋" w:cs="仿宋"/>
          <w:b w:val="0"/>
          <w:bCs/>
          <w:sz w:val="24"/>
          <w:szCs w:val="24"/>
          <w:lang w:val="en-US" w:eastAsia="zh-CN"/>
        </w:rPr>
      </w:pPr>
    </w:p>
    <w:p>
      <w:pPr>
        <w:pStyle w:val="30"/>
        <w:jc w:val="left"/>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包括但不限于进入洁净区人员着装方案、过滤器更换方案、检测方案等。</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2"/>
        <w:rPr>
          <w:rFonts w:hint="eastAsia"/>
          <w:lang w:val="en-US" w:eastAsia="zh-CN"/>
        </w:rPr>
      </w:pPr>
    </w:p>
    <w:p>
      <w:pPr>
        <w:pageBreakBefore w:val="0"/>
        <w:kinsoku/>
        <w:wordWrap/>
        <w:overflowPunct/>
        <w:topLinePunct w:val="0"/>
        <w:bidi w:val="0"/>
        <w:spacing w:line="360" w:lineRule="auto"/>
        <w:ind w:left="0" w:leftChars="0" w:right="0" w:rightChars="0" w:firstLine="3570" w:firstLineChars="17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pStyle w:val="41"/>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5、售后服务方案</w:t>
      </w:r>
      <w:r>
        <w:rPr>
          <w:rFonts w:hint="eastAsia" w:ascii="仿宋" w:hAnsi="仿宋" w:eastAsia="仿宋" w:cs="仿宋"/>
          <w:b/>
          <w:bCs w:val="0"/>
          <w:sz w:val="22"/>
          <w:szCs w:val="22"/>
          <w:lang w:val="en-US" w:eastAsia="zh-CN"/>
        </w:rPr>
        <w:t>（如有）</w:t>
      </w:r>
    </w:p>
    <w:p>
      <w:pPr>
        <w:pStyle w:val="29"/>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30"/>
        <w:jc w:val="left"/>
        <w:rPr>
          <w:rFonts w:hint="eastAsia" w:ascii="仿宋" w:hAnsi="仿宋" w:eastAsia="仿宋" w:cs="仿宋"/>
          <w:b w:val="0"/>
          <w:bCs/>
          <w:sz w:val="24"/>
          <w:szCs w:val="24"/>
          <w:lang w:val="en-US" w:eastAsia="zh-CN"/>
        </w:rPr>
      </w:pPr>
    </w:p>
    <w:p>
      <w:pPr>
        <w:pStyle w:val="30"/>
        <w:jc w:val="left"/>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包括但不限于服务承诺、应急预案、突发事件的处理措施、退换货方案等。</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2"/>
        <w:rPr>
          <w:rFonts w:hint="eastAsia"/>
          <w:lang w:val="en-US" w:eastAsia="zh-CN"/>
        </w:rPr>
      </w:pPr>
    </w:p>
    <w:p>
      <w:pPr>
        <w:pageBreakBefore w:val="0"/>
        <w:kinsoku/>
        <w:wordWrap/>
        <w:overflowPunct/>
        <w:topLinePunct w:val="0"/>
        <w:bidi w:val="0"/>
        <w:spacing w:line="360" w:lineRule="auto"/>
        <w:ind w:left="0" w:leftChars="0" w:right="0" w:rightChars="0" w:firstLine="3570" w:firstLineChars="17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2"/>
        <w:rPr>
          <w:rFonts w:hint="default" w:ascii="宋体" w:hAnsi="宋体" w:cs="宋体"/>
          <w:color w:val="auto"/>
          <w:sz w:val="24"/>
          <w:lang w:val="en-US" w:eastAsia="zh-CN"/>
        </w:rPr>
      </w:pPr>
    </w:p>
    <w:sectPr>
      <w:headerReference r:id="rId5" w:type="defaul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F369789-8F97-4088-842F-7E6601C11F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32E4154A-69E7-494A-940C-42840783B822}"/>
  </w:font>
  <w:font w:name="微软雅黑">
    <w:panose1 w:val="020B0503020204020204"/>
    <w:charset w:val="86"/>
    <w:family w:val="auto"/>
    <w:pitch w:val="default"/>
    <w:sig w:usb0="80000287" w:usb1="2ACF3C50" w:usb2="00000016" w:usb3="00000000" w:csb0="0004001F" w:csb1="00000000"/>
    <w:embedRegular r:id="rId3" w:fontKey="{31463CEC-4F5B-44D2-A138-4511FFEAC632}"/>
  </w:font>
  <w:font w:name="方正仿宋简体">
    <w:panose1 w:val="02000000000000000000"/>
    <w:charset w:val="86"/>
    <w:family w:val="auto"/>
    <w:pitch w:val="default"/>
    <w:sig w:usb0="A00002BF" w:usb1="184F6CFA" w:usb2="00000012" w:usb3="00000000" w:csb0="00040001" w:csb1="00000000"/>
    <w:embedRegular r:id="rId4" w:fontKey="{1562FF6A-3189-4FE9-BB1A-0AB98F03AD22}"/>
  </w:font>
  <w:font w:name="仿宋">
    <w:panose1 w:val="02010609060101010101"/>
    <w:charset w:val="86"/>
    <w:family w:val="auto"/>
    <w:pitch w:val="default"/>
    <w:sig w:usb0="800002BF" w:usb1="38CF7CFA" w:usb2="00000016" w:usb3="00000000" w:csb0="00040001" w:csb1="00000000"/>
    <w:embedRegular r:id="rId5" w:fontKey="{2A16F0B3-A4B6-47C6-B407-8EB4E1F467EC}"/>
  </w:font>
  <w:font w:name="华文中宋">
    <w:panose1 w:val="02010600040101010101"/>
    <w:charset w:val="86"/>
    <w:family w:val="auto"/>
    <w:pitch w:val="default"/>
    <w:sig w:usb0="00000287" w:usb1="080F0000" w:usb2="00000000" w:usb3="00000000" w:csb0="0004009F" w:csb1="DFD70000"/>
    <w:embedRegular r:id="rId6" w:fontKey="{8214C1D8-FF5F-49B3-AC16-B6B23095AFD1}"/>
  </w:font>
  <w:font w:name="华文仿宋">
    <w:panose1 w:val="02010600040101010101"/>
    <w:charset w:val="86"/>
    <w:family w:val="auto"/>
    <w:pitch w:val="default"/>
    <w:sig w:usb0="00000287" w:usb1="080F0000" w:usb2="00000000" w:usb3="00000000" w:csb0="0004009F" w:csb1="DFD70000"/>
    <w:embedRegular r:id="rId7" w:fontKey="{756AA013-BE82-44A1-9AEE-C2F766A302E7}"/>
  </w:font>
  <w:font w:name="Tahoma">
    <w:panose1 w:val="020B0604030504040204"/>
    <w:charset w:val="00"/>
    <w:family w:val="auto"/>
    <w:pitch w:val="default"/>
    <w:sig w:usb0="E1002EFF" w:usb1="C000605B" w:usb2="00000029" w:usb3="00000000" w:csb0="200101FF" w:csb1="20280000"/>
    <w:embedRegular r:id="rId8" w:fontKey="{2692677D-1AE1-4194-86B2-AF51D0CE46B0}"/>
  </w:font>
  <w:font w:name="Calibri Light">
    <w:panose1 w:val="020F0302020204030204"/>
    <w:charset w:val="00"/>
    <w:family w:val="swiss"/>
    <w:pitch w:val="default"/>
    <w:sig w:usb0="E0002AFF" w:usb1="C000247B" w:usb2="00000009" w:usb3="00000000" w:csb0="200001FF" w:csb1="00000000"/>
    <w:embedRegular r:id="rId9" w:fontKey="{112B2060-6ED4-4EC5-986A-9D5665A0B2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rPr>
        <w:rFonts w:ascii="Tahoma" w:hAnsi="Tahoma" w:eastAsia="Tahoma" w:cs="Tahom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2" w:lineRule="auto"/>
      <w:rPr>
        <w:rFonts w:ascii="Tahoma" w:hAnsi="Tahoma" w:eastAsia="Tahoma" w:cs="Tahoma"/>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76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3</w:t>
                    </w:r>
                    <w:r>
                      <w:fldChar w:fldCharType="end"/>
                    </w:r>
                    <w:r>
                      <w:t xml:space="preserve"> 页 共 </w:t>
                    </w:r>
                    <w:r>
                      <w:rPr>
                        <w:rFonts w:hint="eastAsia"/>
                        <w:lang w:val="en-US" w:eastAsia="zh-CN"/>
                      </w:rPr>
                      <w:t>76</w:t>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18"/>
        <w:szCs w:val="24"/>
      </w:rPr>
    </w:pPr>
  </w:p>
  <w:p>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76</w:t>
                          </w:r>
                          <w:r>
                            <w:rPr>
                              <w:rFonts w:hint="eastAsia"/>
                              <w:sz w:val="18"/>
                              <w:szCs w:val="24"/>
                            </w:rPr>
                            <w:t xml:space="preserve"> 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6"/>
                      <w:rPr>
                        <w:rFonts w:hint="eastAsia"/>
                        <w:sz w:val="18"/>
                        <w:szCs w:val="24"/>
                      </w:rPr>
                    </w:pPr>
                    <w:r>
                      <w:rPr>
                        <w:rFonts w:hint="eastAsia"/>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51</w:t>
                    </w:r>
                    <w:r>
                      <w:rPr>
                        <w:rFonts w:hint="eastAsia"/>
                        <w:sz w:val="18"/>
                        <w:szCs w:val="24"/>
                      </w:rPr>
                      <w:fldChar w:fldCharType="end"/>
                    </w:r>
                    <w:r>
                      <w:rPr>
                        <w:rFonts w:hint="eastAsia"/>
                        <w:sz w:val="18"/>
                        <w:szCs w:val="24"/>
                      </w:rPr>
                      <w:t xml:space="preserve"> 页 共 </w:t>
                    </w:r>
                    <w:r>
                      <w:rPr>
                        <w:rFonts w:hint="eastAsia"/>
                        <w:sz w:val="18"/>
                        <w:szCs w:val="24"/>
                        <w:lang w:val="en-US" w:eastAsia="zh-CN"/>
                      </w:rPr>
                      <w:t>76</w:t>
                    </w:r>
                    <w:r>
                      <w:rPr>
                        <w:rFonts w:hint="eastAsia"/>
                        <w:sz w:val="18"/>
                        <w:szCs w:val="24"/>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06C2A"/>
    <w:multiLevelType w:val="singleLevel"/>
    <w:tmpl w:val="87D06C2A"/>
    <w:lvl w:ilvl="0" w:tentative="0">
      <w:start w:val="1"/>
      <w:numFmt w:val="chineseCounting"/>
      <w:suff w:val="nothing"/>
      <w:lvlText w:val="%1、"/>
      <w:lvlJc w:val="left"/>
      <w:rPr>
        <w:rFonts w:hint="eastAsia"/>
      </w:rPr>
    </w:lvl>
  </w:abstractNum>
  <w:abstractNum w:abstractNumId="1">
    <w:nsid w:val="9A726A7D"/>
    <w:multiLevelType w:val="singleLevel"/>
    <w:tmpl w:val="9A726A7D"/>
    <w:lvl w:ilvl="0" w:tentative="0">
      <w:start w:val="2"/>
      <w:numFmt w:val="decimal"/>
      <w:lvlText w:val="%1."/>
      <w:lvlJc w:val="left"/>
      <w:pPr>
        <w:tabs>
          <w:tab w:val="left" w:pos="312"/>
        </w:tabs>
      </w:pPr>
    </w:lvl>
  </w:abstractNum>
  <w:abstractNum w:abstractNumId="2">
    <w:nsid w:val="B074B0E0"/>
    <w:multiLevelType w:val="singleLevel"/>
    <w:tmpl w:val="B074B0E0"/>
    <w:lvl w:ilvl="0" w:tentative="0">
      <w:start w:val="1"/>
      <w:numFmt w:val="decimal"/>
      <w:suff w:val="nothing"/>
      <w:lvlText w:val="%1．"/>
      <w:lvlJc w:val="left"/>
      <w:pPr>
        <w:ind w:left="0" w:firstLine="400"/>
      </w:pPr>
      <w:rPr>
        <w:rFonts w:hint="default"/>
      </w:rPr>
    </w:lvl>
  </w:abstractNum>
  <w:abstractNum w:abstractNumId="3">
    <w:nsid w:val="FBD67D98"/>
    <w:multiLevelType w:val="singleLevel"/>
    <w:tmpl w:val="FBD67D98"/>
    <w:lvl w:ilvl="0" w:tentative="0">
      <w:start w:val="3"/>
      <w:numFmt w:val="decimal"/>
      <w:suff w:val="nothing"/>
      <w:lvlText w:val="（%1）"/>
      <w:lvlJc w:val="left"/>
    </w:lvl>
  </w:abstractNum>
  <w:abstractNum w:abstractNumId="4">
    <w:nsid w:val="00000001"/>
    <w:multiLevelType w:val="singleLevel"/>
    <w:tmpl w:val="00000001"/>
    <w:lvl w:ilvl="0" w:tentative="0">
      <w:start w:val="4"/>
      <w:numFmt w:val="decimal"/>
      <w:suff w:val="nothing"/>
      <w:lvlText w:val="（%1）"/>
      <w:lvlJc w:val="left"/>
    </w:lvl>
  </w:abstractNum>
  <w:abstractNum w:abstractNumId="5">
    <w:nsid w:val="00000002"/>
    <w:multiLevelType w:val="singleLevel"/>
    <w:tmpl w:val="00000002"/>
    <w:lvl w:ilvl="0" w:tentative="0">
      <w:start w:val="1"/>
      <w:numFmt w:val="decimal"/>
      <w:suff w:val="nothing"/>
      <w:lvlText w:val="%1、"/>
      <w:lvlJc w:val="left"/>
    </w:lvl>
  </w:abstractNum>
  <w:abstractNum w:abstractNumId="6">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7">
    <w:nsid w:val="00000004"/>
    <w:multiLevelType w:val="singleLevel"/>
    <w:tmpl w:val="00000004"/>
    <w:lvl w:ilvl="0" w:tentative="0">
      <w:start w:val="5"/>
      <w:numFmt w:val="chineseCounting"/>
      <w:suff w:val="nothing"/>
      <w:lvlText w:val="（%1）"/>
      <w:lvlJc w:val="left"/>
      <w:rPr>
        <w:rFonts w:hint="eastAsia"/>
      </w:rPr>
    </w:lvl>
  </w:abstractNum>
  <w:abstractNum w:abstractNumId="8">
    <w:nsid w:val="00000005"/>
    <w:multiLevelType w:val="singleLevel"/>
    <w:tmpl w:val="00000005"/>
    <w:lvl w:ilvl="0" w:tentative="0">
      <w:start w:val="1"/>
      <w:numFmt w:val="decimal"/>
      <w:lvlText w:val="(%1)"/>
      <w:lvlJc w:val="left"/>
      <w:pPr>
        <w:ind w:left="425" w:hanging="425"/>
      </w:pPr>
      <w:rPr>
        <w:rFonts w:hint="default"/>
      </w:rPr>
    </w:lvl>
  </w:abstractNum>
  <w:abstractNum w:abstractNumId="9">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0">
    <w:nsid w:val="00000008"/>
    <w:multiLevelType w:val="singleLevel"/>
    <w:tmpl w:val="00000008"/>
    <w:lvl w:ilvl="0" w:tentative="0">
      <w:start w:val="1"/>
      <w:numFmt w:val="decimal"/>
      <w:suff w:val="nothing"/>
      <w:lvlText w:val="%1、"/>
      <w:lvlJc w:val="left"/>
    </w:lvl>
  </w:abstractNum>
  <w:abstractNum w:abstractNumId="11">
    <w:nsid w:val="00000009"/>
    <w:multiLevelType w:val="singleLevel"/>
    <w:tmpl w:val="00000009"/>
    <w:lvl w:ilvl="0" w:tentative="0">
      <w:start w:val="1"/>
      <w:numFmt w:val="chineseCounting"/>
      <w:suff w:val="nothing"/>
      <w:lvlText w:val="%1、"/>
      <w:lvlJc w:val="left"/>
      <w:rPr>
        <w:rFonts w:hint="eastAsia"/>
      </w:rPr>
    </w:lvl>
  </w:abstractNum>
  <w:abstractNum w:abstractNumId="12">
    <w:nsid w:val="0000000A"/>
    <w:multiLevelType w:val="singleLevel"/>
    <w:tmpl w:val="0000000A"/>
    <w:lvl w:ilvl="0" w:tentative="0">
      <w:start w:val="1"/>
      <w:numFmt w:val="decimal"/>
      <w:lvlText w:val="%1."/>
      <w:lvlJc w:val="left"/>
      <w:pPr>
        <w:tabs>
          <w:tab w:val="left" w:pos="312"/>
        </w:tabs>
      </w:pPr>
    </w:lvl>
  </w:abstractNum>
  <w:abstractNum w:abstractNumId="13">
    <w:nsid w:val="389C85C5"/>
    <w:multiLevelType w:val="singleLevel"/>
    <w:tmpl w:val="389C85C5"/>
    <w:lvl w:ilvl="0" w:tentative="0">
      <w:start w:val="1"/>
      <w:numFmt w:val="decimal"/>
      <w:suff w:val="nothing"/>
      <w:lvlText w:val="%1．"/>
      <w:lvlJc w:val="left"/>
      <w:pPr>
        <w:ind w:left="0" w:firstLine="400"/>
      </w:pPr>
      <w:rPr>
        <w:rFonts w:hint="default"/>
      </w:rPr>
    </w:lvl>
  </w:abstractNum>
  <w:abstractNum w:abstractNumId="14">
    <w:nsid w:val="407C28B5"/>
    <w:multiLevelType w:val="singleLevel"/>
    <w:tmpl w:val="407C28B5"/>
    <w:lvl w:ilvl="0" w:tentative="0">
      <w:start w:val="1"/>
      <w:numFmt w:val="decimal"/>
      <w:suff w:val="nothing"/>
      <w:lvlText w:val="（%1）"/>
      <w:lvlJc w:val="left"/>
    </w:lvl>
  </w:abstractNum>
  <w:abstractNum w:abstractNumId="15">
    <w:nsid w:val="43472EA1"/>
    <w:multiLevelType w:val="singleLevel"/>
    <w:tmpl w:val="43472EA1"/>
    <w:lvl w:ilvl="0" w:tentative="0">
      <w:start w:val="1"/>
      <w:numFmt w:val="chineseCounting"/>
      <w:suff w:val="nothing"/>
      <w:lvlText w:val="%1、"/>
      <w:lvlJc w:val="left"/>
      <w:rPr>
        <w:rFonts w:hint="eastAsia"/>
      </w:rPr>
    </w:lvl>
  </w:abstractNum>
  <w:abstractNum w:abstractNumId="16">
    <w:nsid w:val="5D436C5D"/>
    <w:multiLevelType w:val="singleLevel"/>
    <w:tmpl w:val="5D436C5D"/>
    <w:lvl w:ilvl="0" w:tentative="0">
      <w:start w:val="1"/>
      <w:numFmt w:val="decimal"/>
      <w:suff w:val="nothing"/>
      <w:lvlText w:val="%1．"/>
      <w:lvlJc w:val="left"/>
      <w:pPr>
        <w:ind w:left="0" w:firstLine="400"/>
      </w:pPr>
      <w:rPr>
        <w:rFonts w:hint="default"/>
      </w:rPr>
    </w:lvl>
  </w:abstractNum>
  <w:abstractNum w:abstractNumId="17">
    <w:nsid w:val="5E5384FA"/>
    <w:multiLevelType w:val="singleLevel"/>
    <w:tmpl w:val="5E5384FA"/>
    <w:lvl w:ilvl="0" w:tentative="0">
      <w:start w:val="3"/>
      <w:numFmt w:val="decimal"/>
      <w:suff w:val="nothing"/>
      <w:lvlText w:val="（%1）"/>
      <w:lvlJc w:val="left"/>
    </w:lvl>
  </w:abstractNum>
  <w:num w:numId="1">
    <w:abstractNumId w:val="11"/>
  </w:num>
  <w:num w:numId="2">
    <w:abstractNumId w:val="10"/>
  </w:num>
  <w:num w:numId="3">
    <w:abstractNumId w:val="0"/>
  </w:num>
  <w:num w:numId="4">
    <w:abstractNumId w:val="16"/>
  </w:num>
  <w:num w:numId="5">
    <w:abstractNumId w:val="17"/>
  </w:num>
  <w:num w:numId="6">
    <w:abstractNumId w:val="14"/>
  </w:num>
  <w:num w:numId="7">
    <w:abstractNumId w:val="13"/>
  </w:num>
  <w:num w:numId="8">
    <w:abstractNumId w:val="2"/>
  </w:num>
  <w:num w:numId="9">
    <w:abstractNumId w:val="1"/>
  </w:num>
  <w:num w:numId="10">
    <w:abstractNumId w:val="6"/>
  </w:num>
  <w:num w:numId="11">
    <w:abstractNumId w:val="9"/>
  </w:num>
  <w:num w:numId="12">
    <w:abstractNumId w:val="7"/>
  </w:num>
  <w:num w:numId="13">
    <w:abstractNumId w:val="3"/>
  </w:num>
  <w:num w:numId="14">
    <w:abstractNumId w:val="4"/>
  </w:num>
  <w:num w:numId="15">
    <w:abstractNumId w:val="8"/>
  </w:num>
  <w:num w:numId="16">
    <w:abstractNumId w:val="15"/>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000000"/>
    <w:rsid w:val="01DE2FBB"/>
    <w:rsid w:val="067526A6"/>
    <w:rsid w:val="0A60541B"/>
    <w:rsid w:val="0B514187"/>
    <w:rsid w:val="0E296711"/>
    <w:rsid w:val="0F427A7F"/>
    <w:rsid w:val="0FBF2A5C"/>
    <w:rsid w:val="0FE7192B"/>
    <w:rsid w:val="11BF17D1"/>
    <w:rsid w:val="123416E2"/>
    <w:rsid w:val="13301717"/>
    <w:rsid w:val="14BA1BCC"/>
    <w:rsid w:val="14EA4F37"/>
    <w:rsid w:val="154F0566"/>
    <w:rsid w:val="159A53A0"/>
    <w:rsid w:val="16833141"/>
    <w:rsid w:val="1776627E"/>
    <w:rsid w:val="187664E8"/>
    <w:rsid w:val="19146F3A"/>
    <w:rsid w:val="1A0B4997"/>
    <w:rsid w:val="1A22449B"/>
    <w:rsid w:val="1A4E0334"/>
    <w:rsid w:val="1AF1038D"/>
    <w:rsid w:val="1C774065"/>
    <w:rsid w:val="1CC745D4"/>
    <w:rsid w:val="1D091942"/>
    <w:rsid w:val="1DF0665E"/>
    <w:rsid w:val="1DF35B43"/>
    <w:rsid w:val="1E2125FB"/>
    <w:rsid w:val="1E707ECB"/>
    <w:rsid w:val="1E9F430C"/>
    <w:rsid w:val="210A0486"/>
    <w:rsid w:val="238D0040"/>
    <w:rsid w:val="25907C1F"/>
    <w:rsid w:val="28081174"/>
    <w:rsid w:val="28A276C8"/>
    <w:rsid w:val="29E259F5"/>
    <w:rsid w:val="2E937D8A"/>
    <w:rsid w:val="2ED753FC"/>
    <w:rsid w:val="2F75117C"/>
    <w:rsid w:val="31E542D4"/>
    <w:rsid w:val="31E85B72"/>
    <w:rsid w:val="335B187F"/>
    <w:rsid w:val="33AB50A9"/>
    <w:rsid w:val="33B43F5E"/>
    <w:rsid w:val="34D83C7C"/>
    <w:rsid w:val="357A5104"/>
    <w:rsid w:val="37C413FA"/>
    <w:rsid w:val="38433B03"/>
    <w:rsid w:val="3A54457F"/>
    <w:rsid w:val="3B491430"/>
    <w:rsid w:val="3BDE40A0"/>
    <w:rsid w:val="3CAF1767"/>
    <w:rsid w:val="3CBB45AF"/>
    <w:rsid w:val="3DD07BE6"/>
    <w:rsid w:val="3E1F291C"/>
    <w:rsid w:val="3E622552"/>
    <w:rsid w:val="41115F4D"/>
    <w:rsid w:val="41A53138"/>
    <w:rsid w:val="4235537D"/>
    <w:rsid w:val="457B0D80"/>
    <w:rsid w:val="45912351"/>
    <w:rsid w:val="48484514"/>
    <w:rsid w:val="48BD578B"/>
    <w:rsid w:val="48FF5824"/>
    <w:rsid w:val="49582CA3"/>
    <w:rsid w:val="49A81A17"/>
    <w:rsid w:val="4B1E24FB"/>
    <w:rsid w:val="4BEB7011"/>
    <w:rsid w:val="4D202D92"/>
    <w:rsid w:val="4E781E20"/>
    <w:rsid w:val="4F263818"/>
    <w:rsid w:val="4F2A5CF9"/>
    <w:rsid w:val="4F867008"/>
    <w:rsid w:val="4FE61D11"/>
    <w:rsid w:val="50935E3B"/>
    <w:rsid w:val="51981FF4"/>
    <w:rsid w:val="52FC4B82"/>
    <w:rsid w:val="54745318"/>
    <w:rsid w:val="58240E03"/>
    <w:rsid w:val="5C91106B"/>
    <w:rsid w:val="5CCE5BB9"/>
    <w:rsid w:val="5DD72473"/>
    <w:rsid w:val="5EAF3C89"/>
    <w:rsid w:val="61747643"/>
    <w:rsid w:val="626A5428"/>
    <w:rsid w:val="647A512C"/>
    <w:rsid w:val="648D5F82"/>
    <w:rsid w:val="65040E2E"/>
    <w:rsid w:val="65E21749"/>
    <w:rsid w:val="671D498D"/>
    <w:rsid w:val="673426E5"/>
    <w:rsid w:val="681E0341"/>
    <w:rsid w:val="6A011020"/>
    <w:rsid w:val="6A467F43"/>
    <w:rsid w:val="6CF748E0"/>
    <w:rsid w:val="6D3671B7"/>
    <w:rsid w:val="6DD30EA9"/>
    <w:rsid w:val="6DFC1B3A"/>
    <w:rsid w:val="70141305"/>
    <w:rsid w:val="717C3606"/>
    <w:rsid w:val="721A550E"/>
    <w:rsid w:val="73A62BBC"/>
    <w:rsid w:val="73B07597"/>
    <w:rsid w:val="753041DB"/>
    <w:rsid w:val="75D02172"/>
    <w:rsid w:val="76D01188"/>
    <w:rsid w:val="77703DAA"/>
    <w:rsid w:val="78882890"/>
    <w:rsid w:val="7A10330A"/>
    <w:rsid w:val="7A2D2C4D"/>
    <w:rsid w:val="7B5D59C2"/>
    <w:rsid w:val="7C3945CD"/>
    <w:rsid w:val="7D2204EA"/>
    <w:rsid w:val="7D496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
    <w:pPr>
      <w:tabs>
        <w:tab w:val="left" w:pos="851"/>
      </w:tabs>
      <w:autoSpaceDE w:val="0"/>
      <w:autoSpaceDN w:val="0"/>
      <w:adjustRightInd w:val="0"/>
      <w:snapToGrid w:val="0"/>
      <w:spacing w:line="360" w:lineRule="auto"/>
      <w:outlineLvl w:val="2"/>
    </w:pPr>
    <w:rPr>
      <w:rFonts w:ascii="宋体" w:cs="宋体"/>
    </w:rPr>
  </w:style>
  <w:style w:type="character" w:default="1" w:styleId="25">
    <w:name w:val="Default Paragraph Font"/>
    <w:qFormat/>
    <w:uiPriority w:val="0"/>
  </w:style>
  <w:style w:type="table" w:default="1" w:styleId="23">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8"/>
    <w:qFormat/>
    <w:uiPriority w:val="99"/>
    <w:pPr>
      <w:ind w:firstLine="420"/>
    </w:pPr>
    <w:rPr>
      <w:rFonts w:ascii="Calibri" w:hAnsi="Calibri"/>
      <w:sz w:val="20"/>
      <w:szCs w:val="20"/>
    </w:rPr>
  </w:style>
  <w:style w:type="paragraph" w:styleId="8">
    <w:name w:val="Body Text"/>
    <w:basedOn w:val="1"/>
    <w:next w:val="9"/>
    <w:qFormat/>
    <w:uiPriority w:val="0"/>
    <w:rPr>
      <w:sz w:val="24"/>
    </w:rPr>
  </w:style>
  <w:style w:type="paragraph" w:styleId="9">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10">
    <w:name w:val="caption"/>
    <w:basedOn w:val="1"/>
    <w:next w:val="1"/>
    <w:qFormat/>
    <w:uiPriority w:val="99"/>
    <w:rPr>
      <w:rFonts w:ascii="Arial" w:hAnsi="Arial" w:eastAsia="黑体" w:cs="Arial"/>
      <w:sz w:val="20"/>
      <w:szCs w:val="20"/>
    </w:rPr>
  </w:style>
  <w:style w:type="paragraph" w:styleId="11">
    <w:name w:val="annotation text"/>
    <w:basedOn w:val="1"/>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2">
    <w:name w:val="Body Text 3"/>
    <w:basedOn w:val="1"/>
    <w:qFormat/>
    <w:uiPriority w:val="99"/>
    <w:pPr>
      <w:spacing w:after="120"/>
    </w:pPr>
    <w:rPr>
      <w:sz w:val="16"/>
      <w:szCs w:val="16"/>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footer"/>
    <w:basedOn w:val="1"/>
    <w:next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9">
    <w:name w:val="toc 2"/>
    <w:basedOn w:val="1"/>
    <w:next w:val="1"/>
    <w:qFormat/>
    <w:uiPriority w:val="39"/>
    <w:pPr>
      <w:tabs>
        <w:tab w:val="right" w:leader="dot" w:pos="8296"/>
      </w:tabs>
      <w:ind w:left="420" w:leftChars="200"/>
    </w:pPr>
  </w:style>
  <w:style w:type="paragraph" w:styleId="20">
    <w:name w:val="Body Text 2"/>
    <w:basedOn w:val="1"/>
    <w:qFormat/>
    <w:uiPriority w:val="0"/>
    <w:pPr>
      <w:spacing w:line="360" w:lineRule="auto"/>
    </w:pPr>
    <w:rPr>
      <w:rFonts w:ascii="宋体" w:hAnsi="宋体"/>
      <w:color w:val="000000"/>
      <w:sz w:val="24"/>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rPr>
  </w:style>
  <w:style w:type="paragraph" w:styleId="22">
    <w:name w:val="Body Text First Indent"/>
    <w:basedOn w:val="8"/>
    <w:qFormat/>
    <w:uiPriority w:val="99"/>
    <w:pPr>
      <w:spacing w:after="120"/>
      <w:ind w:firstLine="420" w:firstLineChars="100"/>
    </w:pPr>
    <w:rPr>
      <w:sz w:val="21"/>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Hyperlink"/>
    <w:qFormat/>
    <w:uiPriority w:val="99"/>
    <w:rPr>
      <w:color w:val="0000FF"/>
      <w:u w:val="single"/>
    </w:rPr>
  </w:style>
  <w:style w:type="paragraph" w:customStyle="1" w:styleId="28">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9">
    <w:name w:val="_Style 3"/>
    <w:basedOn w:val="1"/>
    <w:qFormat/>
    <w:uiPriority w:val="0"/>
    <w:pPr>
      <w:ind w:firstLine="420" w:firstLineChars="200"/>
    </w:pPr>
    <w:rPr>
      <w:sz w:val="20"/>
    </w:rPr>
  </w:style>
  <w:style w:type="paragraph" w:customStyle="1" w:styleId="30">
    <w:name w:val="正文缩进1"/>
    <w:basedOn w:val="31"/>
    <w:next w:val="28"/>
    <w:qFormat/>
    <w:uiPriority w:val="0"/>
    <w:pPr>
      <w:widowControl/>
      <w:ind w:firstLine="420"/>
      <w:jc w:val="left"/>
    </w:pPr>
    <w:rPr>
      <w:rFonts w:ascii="Calibri" w:hAnsi="Calibri"/>
      <w:kern w:val="0"/>
    </w:rPr>
  </w:style>
  <w:style w:type="paragraph" w:customStyle="1" w:styleId="31">
    <w:name w:val="正文_2"/>
    <w:next w:val="30"/>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2">
    <w:name w:val="font01"/>
    <w:qFormat/>
    <w:uiPriority w:val="0"/>
    <w:rPr>
      <w:rFonts w:hint="eastAsia" w:ascii="宋体" w:hAnsi="宋体" w:eastAsia="宋体" w:cs="宋体"/>
      <w:color w:val="0000FF"/>
      <w:sz w:val="22"/>
      <w:szCs w:val="22"/>
      <w:u w:val="none"/>
    </w:rPr>
  </w:style>
  <w:style w:type="paragraph" w:customStyle="1" w:styleId="33">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4">
    <w:name w:val="Table Paragraph"/>
    <w:basedOn w:val="1"/>
    <w:qFormat/>
    <w:uiPriority w:val="1"/>
    <w:rPr>
      <w:rFonts w:ascii="宋体" w:hAnsi="宋体" w:eastAsia="宋体" w:cs="宋体"/>
      <w:lang w:val="zh-CN" w:eastAsia="zh-CN" w:bidi="zh-CN"/>
    </w:rPr>
  </w:style>
  <w:style w:type="paragraph" w:styleId="35">
    <w:name w:val="List Paragraph"/>
    <w:basedOn w:val="1"/>
    <w:qFormat/>
    <w:uiPriority w:val="34"/>
    <w:pPr>
      <w:widowControl/>
      <w:ind w:firstLine="420" w:firstLineChars="200"/>
      <w:jc w:val="left"/>
    </w:pPr>
    <w:rPr>
      <w:kern w:val="0"/>
      <w:sz w:val="20"/>
      <w:szCs w:val="20"/>
    </w:rPr>
  </w:style>
  <w:style w:type="paragraph" w:customStyle="1" w:styleId="36">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7">
    <w:name w:val="font11"/>
    <w:basedOn w:val="25"/>
    <w:qFormat/>
    <w:uiPriority w:val="0"/>
    <w:rPr>
      <w:rFonts w:hint="eastAsia" w:ascii="宋体" w:hAnsi="宋体" w:eastAsia="宋体" w:cs="宋体"/>
      <w:color w:val="000000"/>
      <w:sz w:val="21"/>
      <w:szCs w:val="21"/>
      <w:u w:val="none"/>
    </w:rPr>
  </w:style>
  <w:style w:type="character" w:customStyle="1" w:styleId="38">
    <w:name w:val="font21"/>
    <w:basedOn w:val="25"/>
    <w:qFormat/>
    <w:uiPriority w:val="0"/>
    <w:rPr>
      <w:rFonts w:hint="eastAsia" w:ascii="宋体" w:hAnsi="宋体" w:eastAsia="宋体" w:cs="宋体"/>
      <w:b/>
      <w:bCs/>
      <w:color w:val="000000"/>
      <w:sz w:val="18"/>
      <w:szCs w:val="18"/>
      <w:u w:val="none"/>
    </w:rPr>
  </w:style>
  <w:style w:type="character" w:customStyle="1" w:styleId="39">
    <w:name w:val="font31"/>
    <w:basedOn w:val="25"/>
    <w:qFormat/>
    <w:uiPriority w:val="0"/>
    <w:rPr>
      <w:rFonts w:hint="eastAsia" w:ascii="宋体" w:hAnsi="宋体" w:eastAsia="宋体" w:cs="宋体"/>
      <w:color w:val="000000"/>
      <w:sz w:val="21"/>
      <w:szCs w:val="21"/>
      <w:u w:val="none"/>
    </w:rPr>
  </w:style>
  <w:style w:type="paragraph" w:customStyle="1" w:styleId="40">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1">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2">
    <w:name w:val="题注5"/>
    <w:basedOn w:val="1"/>
    <w:next w:val="10"/>
    <w:qFormat/>
    <w:uiPriority w:val="0"/>
    <w:pPr>
      <w:jc w:val="center"/>
    </w:pPr>
    <w:rPr>
      <w:b/>
      <w:color w:val="000000"/>
      <w:sz w:val="24"/>
      <w:szCs w:val="21"/>
    </w:rPr>
  </w:style>
  <w:style w:type="paragraph" w:customStyle="1" w:styleId="43">
    <w:name w:val="列出段落1"/>
    <w:basedOn w:val="1"/>
    <w:qFormat/>
    <w:uiPriority w:val="34"/>
    <w:pPr>
      <w:ind w:firstLine="420" w:firstLineChars="200"/>
    </w:pPr>
  </w:style>
  <w:style w:type="table" w:customStyle="1" w:styleId="44">
    <w:name w:val="Table Normal"/>
    <w:qFormat/>
    <w:uiPriority w:val="0"/>
    <w:tblPr>
      <w:tblCellMar>
        <w:top w:w="0" w:type="dxa"/>
        <w:left w:w="0" w:type="dxa"/>
        <w:bottom w:w="0" w:type="dxa"/>
        <w:right w:w="0" w:type="dxa"/>
      </w:tblCellMar>
    </w:tblPr>
  </w:style>
  <w:style w:type="character" w:customStyle="1" w:styleId="45">
    <w:name w:val="font41"/>
    <w:basedOn w:val="25"/>
    <w:qFormat/>
    <w:uiPriority w:val="0"/>
    <w:rPr>
      <w:rFonts w:hint="eastAsia" w:ascii="宋体" w:hAnsi="宋体" w:eastAsia="宋体" w:cs="宋体"/>
      <w:color w:val="000000"/>
      <w:sz w:val="21"/>
      <w:szCs w:val="21"/>
      <w:u w:val="none"/>
    </w:rPr>
  </w:style>
  <w:style w:type="character" w:customStyle="1" w:styleId="46">
    <w:name w:val="font131"/>
    <w:basedOn w:val="25"/>
    <w:qFormat/>
    <w:uiPriority w:val="0"/>
    <w:rPr>
      <w:rFonts w:hint="eastAsia" w:ascii="宋体" w:hAnsi="宋体" w:eastAsia="宋体" w:cs="宋体"/>
      <w:b/>
      <w:bCs/>
      <w:i/>
      <w:iCs/>
      <w:color w:val="000000"/>
      <w:sz w:val="21"/>
      <w:szCs w:val="21"/>
      <w:u w:val="none"/>
    </w:rPr>
  </w:style>
  <w:style w:type="character" w:customStyle="1" w:styleId="47">
    <w:name w:val="font101"/>
    <w:basedOn w:val="25"/>
    <w:qFormat/>
    <w:uiPriority w:val="0"/>
    <w:rPr>
      <w:rFonts w:hint="default" w:ascii="Times New Roman" w:hAnsi="Times New Roman" w:cs="Times New Roman"/>
      <w:b/>
      <w:bCs/>
      <w:i/>
      <w:iCs/>
      <w:color w:val="000000"/>
      <w:sz w:val="21"/>
      <w:szCs w:val="21"/>
      <w:u w:val="none"/>
    </w:rPr>
  </w:style>
  <w:style w:type="character" w:customStyle="1" w:styleId="48">
    <w:name w:val="font71"/>
    <w:basedOn w:val="25"/>
    <w:qFormat/>
    <w:uiPriority w:val="0"/>
    <w:rPr>
      <w:rFonts w:hint="eastAsia" w:ascii="宋体" w:hAnsi="宋体" w:eastAsia="宋体" w:cs="宋体"/>
      <w:b/>
      <w:bCs/>
      <w:color w:val="000000"/>
      <w:sz w:val="21"/>
      <w:szCs w:val="21"/>
      <w:u w:val="none"/>
    </w:rPr>
  </w:style>
  <w:style w:type="paragraph" w:customStyle="1" w:styleId="49">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50">
    <w:name w:val="正文_1"/>
    <w:qFormat/>
    <w:uiPriority w:val="0"/>
    <w:pPr>
      <w:widowControl w:val="0"/>
      <w:jc w:val="both"/>
    </w:pPr>
    <w:rPr>
      <w:rFonts w:ascii="Calibri" w:hAnsi="Calibri" w:eastAsia="宋体" w:cs="宋体"/>
      <w:kern w:val="2"/>
      <w:sz w:val="21"/>
      <w:szCs w:val="22"/>
      <w:lang w:val="en-US" w:eastAsia="zh-CN" w:bidi="ar-SA"/>
    </w:rPr>
  </w:style>
  <w:style w:type="paragraph" w:customStyle="1" w:styleId="5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44494</Words>
  <Characters>55769</Characters>
  <Paragraphs>1869</Paragraphs>
  <TotalTime>4</TotalTime>
  <ScaleCrop>false</ScaleCrop>
  <LinksUpToDate>false</LinksUpToDate>
  <CharactersWithSpaces>58222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梁凤娟</cp:lastModifiedBy>
  <dcterms:modified xsi:type="dcterms:W3CDTF">2023-04-06T02:30:02Z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F66ED95C5258459FB3E64A6EF0E7E661</vt:lpwstr>
  </property>
  <property fmtid="{D5CDD505-2E9C-101B-9397-08002B2CF9AE}" pid="4" name="commondata">
    <vt:lpwstr>eyJoZGlkIjoiZGNiZjhiYWJkMzQ2ODliZDg0M2NkY2U3ZDYyYTQ3YzEifQ==</vt:lpwstr>
  </property>
</Properties>
</file>