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themeColor="text1"/>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firstLine="3302" w:firstLineChars="500"/>
        <w:jc w:val="both"/>
        <w:rPr>
          <w:rFonts w:hint="eastAsia" w:ascii="宋体" w:hAnsi="宋体" w:cs="宋体"/>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院内谈判文件</w:t>
      </w: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pPr>
        <w:spacing w:line="500" w:lineRule="exact"/>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项目编号：ZCB-202</w:t>
      </w:r>
      <w:r>
        <w:rPr>
          <w:rFonts w:hint="eastAsia" w:ascii="仿宋" w:hAnsi="仿宋" w:eastAsia="仿宋" w:cs="仿宋"/>
          <w:b/>
          <w:bCs/>
          <w:sz w:val="28"/>
          <w:szCs w:val="28"/>
          <w:highlight w:val="none"/>
          <w:lang w:val="en-US" w:eastAsia="zh-CN"/>
        </w:rPr>
        <w:t>3068</w:t>
      </w:r>
    </w:p>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u w:val="single"/>
        </w:rPr>
        <w:t>中山大学孙逸仙纪念医院</w:t>
      </w:r>
    </w:p>
    <w:p>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公务车辆定点加油服务项目（第二次）</w:t>
      </w:r>
    </w:p>
    <w:p>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202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szCs w:val="28"/>
          <w:highlight w:val="none"/>
          <w14:textFill>
            <w14:solidFill>
              <w14:schemeClr w14:val="tx1"/>
            </w14:solidFill>
          </w14:textFill>
        </w:rPr>
        <w:t>年</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8</w:t>
      </w:r>
      <w:r>
        <w:rPr>
          <w:rFonts w:hint="eastAsia" w:ascii="仿宋" w:hAnsi="仿宋" w:eastAsia="仿宋" w:cs="仿宋"/>
          <w:b/>
          <w:bCs/>
          <w:color w:val="000000" w:themeColor="text1"/>
          <w:sz w:val="28"/>
          <w:szCs w:val="28"/>
          <w:highlight w:val="none"/>
          <w14:textFill>
            <w14:solidFill>
              <w14:schemeClr w14:val="tx1"/>
            </w14:solidFill>
          </w14:textFill>
        </w:rPr>
        <w:t>月</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3日</w:t>
      </w: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4" w:firstLineChars="200"/>
        <w:jc w:val="center"/>
        <w:rPr>
          <w:rFonts w:hint="eastAsia" w:ascii="仿宋" w:hAnsi="仿宋" w:eastAsia="仿宋" w:cs="仿宋"/>
          <w:b/>
          <w:bCs/>
          <w:color w:val="000000" w:themeColor="text1"/>
          <w:sz w:val="48"/>
          <w:szCs w:val="48"/>
          <w:highlight w:val="none"/>
          <w14:textFill>
            <w14:solidFill>
              <w14:schemeClr w14:val="tx1"/>
            </w14:solidFill>
          </w14:textFill>
        </w:rPr>
      </w:pPr>
      <w:r>
        <w:rPr>
          <w:rFonts w:hint="eastAsia" w:ascii="仿宋" w:hAnsi="仿宋" w:eastAsia="仿宋" w:cs="仿宋"/>
          <w:b/>
          <w:bCs/>
          <w:color w:val="000000" w:themeColor="text1"/>
          <w:sz w:val="48"/>
          <w:szCs w:val="48"/>
          <w:highlight w:val="none"/>
          <w14:textFill>
            <w14:solidFill>
              <w14:schemeClr w14:val="tx1"/>
            </w14:solidFill>
          </w14:textFill>
        </w:rPr>
        <w:t>目  录</w:t>
      </w: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fldChar w:fldCharType="begin"/>
      </w:r>
      <w:r>
        <w:rPr>
          <w:rFonts w:hint="eastAsia" w:ascii="仿宋" w:hAnsi="仿宋" w:eastAsia="仿宋" w:cs="仿宋"/>
          <w:b/>
          <w:color w:val="000000" w:themeColor="text1"/>
          <w:sz w:val="32"/>
          <w:szCs w:val="32"/>
          <w:highlight w:val="none"/>
          <w14:textFill>
            <w14:solidFill>
              <w14:schemeClr w14:val="tx1"/>
            </w14:solidFill>
          </w14:textFill>
        </w:rPr>
        <w:instrText xml:space="preserve"> TOC \o "1-1" \h \z \u </w:instrText>
      </w:r>
      <w:r>
        <w:rPr>
          <w:rFonts w:hint="eastAsia" w:ascii="仿宋" w:hAnsi="仿宋" w:eastAsia="仿宋" w:cs="仿宋"/>
          <w:b/>
          <w:color w:val="000000" w:themeColor="text1"/>
          <w:sz w:val="32"/>
          <w:szCs w:val="32"/>
          <w:highlight w:val="none"/>
          <w14:textFill>
            <w14:solidFill>
              <w14:schemeClr w14:val="tx1"/>
            </w14:solidFill>
          </w14:textFill>
        </w:rPr>
        <w:fldChar w:fldCharType="separate"/>
      </w:r>
      <w:r>
        <w:rPr>
          <w:rFonts w:hint="eastAsia" w:ascii="仿宋" w:hAnsi="仿宋" w:eastAsia="仿宋" w:cs="仿宋"/>
          <w:b/>
          <w:color w:val="000000" w:themeColor="text1"/>
          <w:sz w:val="32"/>
          <w:szCs w:val="32"/>
          <w:highlight w:val="none"/>
          <w14:textFill>
            <w14:solidFill>
              <w14:schemeClr w14:val="tx1"/>
            </w14:solidFill>
          </w14:textFill>
        </w:rPr>
        <w:fldChar w:fldCharType="begin"/>
      </w:r>
      <w:r>
        <w:rPr>
          <w:rFonts w:hint="eastAsia" w:ascii="仿宋" w:hAnsi="仿宋" w:eastAsia="仿宋" w:cs="仿宋"/>
          <w:b/>
          <w:color w:val="000000" w:themeColor="text1"/>
          <w:sz w:val="32"/>
          <w:szCs w:val="32"/>
          <w:highlight w:val="none"/>
          <w14:textFill>
            <w14:solidFill>
              <w14:schemeClr w14:val="tx1"/>
            </w14:solidFill>
          </w14:textFill>
        </w:rPr>
        <w:instrText xml:space="preserve"> HYPERLINK \l "_Toc417914517" </w:instrText>
      </w:r>
      <w:r>
        <w:rPr>
          <w:rFonts w:hint="eastAsia" w:ascii="仿宋" w:hAnsi="仿宋" w:eastAsia="仿宋" w:cs="仿宋"/>
          <w:b/>
          <w:color w:val="000000" w:themeColor="text1"/>
          <w:sz w:val="32"/>
          <w:szCs w:val="32"/>
          <w:highlight w:val="none"/>
          <w14:textFill>
            <w14:solidFill>
              <w14:schemeClr w14:val="tx1"/>
            </w14:solidFill>
          </w14:textFill>
        </w:rPr>
        <w:fldChar w:fldCharType="separate"/>
      </w:r>
      <w:r>
        <w:rPr>
          <w:rStyle w:val="23"/>
          <w:rFonts w:hint="eastAsia" w:ascii="仿宋" w:hAnsi="仿宋" w:eastAsia="仿宋" w:cs="仿宋"/>
          <w:b/>
          <w:color w:val="000000" w:themeColor="text1"/>
          <w:sz w:val="32"/>
          <w:szCs w:val="32"/>
          <w:highlight w:val="none"/>
          <w14:textFill>
            <w14:solidFill>
              <w14:schemeClr w14:val="tx1"/>
            </w14:solidFill>
          </w14:textFill>
        </w:rPr>
        <w:t xml:space="preserve">第一章  </w:t>
      </w:r>
      <w:r>
        <w:rPr>
          <w:rStyle w:val="23"/>
          <w:rFonts w:hint="eastAsia" w:ascii="仿宋" w:hAnsi="仿宋" w:eastAsia="仿宋" w:cs="仿宋"/>
          <w:b/>
          <w:color w:val="000000" w:themeColor="text1"/>
          <w:sz w:val="32"/>
          <w:szCs w:val="32"/>
          <w:highlight w:val="none"/>
          <w:lang w:val="en-US" w:eastAsia="zh-CN"/>
          <w14:textFill>
            <w14:solidFill>
              <w14:schemeClr w14:val="tx1"/>
            </w14:solidFill>
          </w14:textFill>
        </w:rPr>
        <w:t>谈判</w:t>
      </w:r>
      <w:r>
        <w:rPr>
          <w:rStyle w:val="23"/>
          <w:rFonts w:hint="eastAsia" w:ascii="仿宋" w:hAnsi="仿宋" w:eastAsia="仿宋" w:cs="仿宋"/>
          <w:b/>
          <w:color w:val="000000" w:themeColor="text1"/>
          <w:sz w:val="32"/>
          <w:szCs w:val="32"/>
          <w:highlight w:val="none"/>
          <w14:textFill>
            <w14:solidFill>
              <w14:schemeClr w14:val="tx1"/>
            </w14:solidFill>
          </w14:textFill>
        </w:rPr>
        <w:t>邀请函</w:t>
      </w:r>
      <w:r>
        <w:rPr>
          <w:rFonts w:hint="eastAsia" w:ascii="仿宋" w:hAnsi="仿宋" w:eastAsia="仿宋" w:cs="仿宋"/>
          <w:b/>
          <w:color w:val="000000" w:themeColor="text1"/>
          <w:sz w:val="32"/>
          <w:szCs w:val="32"/>
          <w:highlight w:val="none"/>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fldChar w:fldCharType="begin"/>
      </w:r>
      <w:r>
        <w:rPr>
          <w:rFonts w:hint="eastAsia" w:ascii="仿宋" w:hAnsi="仿宋" w:eastAsia="仿宋" w:cs="仿宋"/>
          <w:b/>
          <w:color w:val="000000" w:themeColor="text1"/>
          <w:sz w:val="32"/>
          <w:szCs w:val="32"/>
          <w:highlight w:val="none"/>
          <w14:textFill>
            <w14:solidFill>
              <w14:schemeClr w14:val="tx1"/>
            </w14:solidFill>
          </w14:textFill>
        </w:rPr>
        <w:instrText xml:space="preserve"> HYPERLINK \l "_Toc417914518" </w:instrText>
      </w:r>
      <w:r>
        <w:rPr>
          <w:rFonts w:hint="eastAsia" w:ascii="仿宋" w:hAnsi="仿宋" w:eastAsia="仿宋" w:cs="仿宋"/>
          <w:b/>
          <w:color w:val="000000" w:themeColor="text1"/>
          <w:sz w:val="32"/>
          <w:szCs w:val="32"/>
          <w:highlight w:val="none"/>
          <w14:textFill>
            <w14:solidFill>
              <w14:schemeClr w14:val="tx1"/>
            </w14:solidFill>
          </w14:textFill>
        </w:rPr>
        <w:fldChar w:fldCharType="separate"/>
      </w:r>
      <w:r>
        <w:rPr>
          <w:rStyle w:val="23"/>
          <w:rFonts w:hint="eastAsia" w:ascii="仿宋" w:hAnsi="仿宋" w:eastAsia="仿宋" w:cs="仿宋"/>
          <w:b/>
          <w:color w:val="000000" w:themeColor="text1"/>
          <w:sz w:val="32"/>
          <w:szCs w:val="32"/>
          <w:highlight w:val="none"/>
          <w14:textFill>
            <w14:solidFill>
              <w14:schemeClr w14:val="tx1"/>
            </w14:solidFill>
          </w14:textFill>
        </w:rPr>
        <w:t xml:space="preserve">第二章  </w:t>
      </w:r>
      <w:r>
        <w:rPr>
          <w:rStyle w:val="23"/>
          <w:rFonts w:hint="eastAsia" w:ascii="仿宋" w:hAnsi="仿宋" w:eastAsia="仿宋" w:cs="仿宋"/>
          <w:b/>
          <w:color w:val="000000" w:themeColor="text1"/>
          <w:sz w:val="32"/>
          <w:szCs w:val="32"/>
          <w:highlight w:val="none"/>
          <w:lang w:eastAsia="zh-CN"/>
          <w14:textFill>
            <w14:solidFill>
              <w14:schemeClr w14:val="tx1"/>
            </w14:solidFill>
          </w14:textFill>
        </w:rPr>
        <w:t>用户</w:t>
      </w:r>
      <w:r>
        <w:rPr>
          <w:rStyle w:val="23"/>
          <w:rFonts w:hint="eastAsia" w:ascii="仿宋" w:hAnsi="仿宋" w:eastAsia="仿宋" w:cs="仿宋"/>
          <w:b/>
          <w:color w:val="000000" w:themeColor="text1"/>
          <w:sz w:val="32"/>
          <w:szCs w:val="32"/>
          <w:highlight w:val="none"/>
          <w14:textFill>
            <w14:solidFill>
              <w14:schemeClr w14:val="tx1"/>
            </w14:solidFill>
          </w14:textFill>
        </w:rPr>
        <w:t>需求书</w:t>
      </w:r>
      <w:r>
        <w:rPr>
          <w:rFonts w:hint="eastAsia" w:ascii="仿宋" w:hAnsi="仿宋" w:eastAsia="仿宋" w:cs="仿宋"/>
          <w:b/>
          <w:color w:val="000000" w:themeColor="text1"/>
          <w:sz w:val="32"/>
          <w:szCs w:val="32"/>
          <w:highlight w:val="none"/>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fldChar w:fldCharType="begin"/>
      </w:r>
      <w:r>
        <w:rPr>
          <w:rFonts w:hint="eastAsia" w:ascii="仿宋" w:hAnsi="仿宋" w:eastAsia="仿宋" w:cs="仿宋"/>
          <w:b/>
          <w:color w:val="000000" w:themeColor="text1"/>
          <w:sz w:val="32"/>
          <w:szCs w:val="32"/>
          <w:highlight w:val="none"/>
          <w14:textFill>
            <w14:solidFill>
              <w14:schemeClr w14:val="tx1"/>
            </w14:solidFill>
          </w14:textFill>
        </w:rPr>
        <w:instrText xml:space="preserve"> HYPERLINK \l "_Toc417914519" </w:instrText>
      </w:r>
      <w:r>
        <w:rPr>
          <w:rFonts w:hint="eastAsia" w:ascii="仿宋" w:hAnsi="仿宋" w:eastAsia="仿宋" w:cs="仿宋"/>
          <w:b/>
          <w:color w:val="000000" w:themeColor="text1"/>
          <w:sz w:val="32"/>
          <w:szCs w:val="32"/>
          <w:highlight w:val="none"/>
          <w14:textFill>
            <w14:solidFill>
              <w14:schemeClr w14:val="tx1"/>
            </w14:solidFill>
          </w14:textFill>
        </w:rPr>
        <w:fldChar w:fldCharType="separate"/>
      </w:r>
      <w:r>
        <w:rPr>
          <w:rStyle w:val="23"/>
          <w:rFonts w:hint="eastAsia" w:ascii="仿宋" w:hAnsi="仿宋" w:eastAsia="仿宋" w:cs="仿宋"/>
          <w:b/>
          <w:color w:val="000000" w:themeColor="text1"/>
          <w:sz w:val="32"/>
          <w:szCs w:val="32"/>
          <w:highlight w:val="none"/>
          <w14:textFill>
            <w14:solidFill>
              <w14:schemeClr w14:val="tx1"/>
            </w14:solidFill>
          </w14:textFill>
        </w:rPr>
        <w:t xml:space="preserve">第三章  </w:t>
      </w:r>
      <w:r>
        <w:rPr>
          <w:rStyle w:val="23"/>
          <w:rFonts w:hint="eastAsia" w:ascii="仿宋" w:hAnsi="仿宋" w:eastAsia="仿宋" w:cs="仿宋"/>
          <w:b/>
          <w:color w:val="000000" w:themeColor="text1"/>
          <w:sz w:val="32"/>
          <w:szCs w:val="32"/>
          <w:highlight w:val="none"/>
          <w:lang w:val="en-US" w:eastAsia="zh-CN"/>
          <w14:textFill>
            <w14:solidFill>
              <w14:schemeClr w14:val="tx1"/>
            </w14:solidFill>
          </w14:textFill>
        </w:rPr>
        <w:t>响应</w:t>
      </w:r>
      <w:r>
        <w:rPr>
          <w:rStyle w:val="23"/>
          <w:rFonts w:hint="eastAsia" w:ascii="仿宋" w:hAnsi="仿宋" w:eastAsia="仿宋" w:cs="仿宋"/>
          <w:b/>
          <w:color w:val="000000" w:themeColor="text1"/>
          <w:sz w:val="32"/>
          <w:szCs w:val="32"/>
          <w:highlight w:val="none"/>
          <w:lang w:eastAsia="zh-CN"/>
          <w14:textFill>
            <w14:solidFill>
              <w14:schemeClr w14:val="tx1"/>
            </w14:solidFill>
          </w14:textFill>
        </w:rPr>
        <w:t>须知</w:t>
      </w:r>
      <w:r>
        <w:rPr>
          <w:rFonts w:hint="eastAsia" w:ascii="仿宋" w:hAnsi="仿宋" w:eastAsia="仿宋" w:cs="仿宋"/>
          <w:b/>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第四章　合同参考文本</w:t>
      </w: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第五章  响应文件编制要求</w:t>
      </w:r>
    </w:p>
    <w:p>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themeColor="text1"/>
          <w:sz w:val="36"/>
          <w:szCs w:val="36"/>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0" w:name="_Toc50736465"/>
      <w:bookmarkStart w:id="1" w:name="_Toc50691018"/>
      <w:bookmarkStart w:id="2" w:name="_Toc50737317"/>
      <w:bookmarkStart w:id="3" w:name="_Toc417914517"/>
      <w:bookmarkStart w:id="4" w:name="_Toc385939527"/>
      <w:bookmarkStart w:id="5" w:name="_Toc50737285"/>
      <w:bookmarkStart w:id="6" w:name="_Toc76354913"/>
      <w:bookmarkStart w:id="7" w:name="_Toc385940868"/>
      <w:r>
        <w:rPr>
          <w:rFonts w:hint="eastAsia" w:ascii="微软雅黑" w:hAnsi="微软雅黑" w:eastAsia="微软雅黑" w:cs="微软雅黑"/>
          <w:color w:val="000000" w:themeColor="text1"/>
          <w:highlight w:val="none"/>
          <w14:textFill>
            <w14:solidFill>
              <w14:schemeClr w14:val="tx1"/>
            </w14:solidFill>
          </w14:textFill>
        </w:rPr>
        <w:t xml:space="preserve">第一章  </w:t>
      </w:r>
      <w:bookmarkEnd w:id="0"/>
      <w:bookmarkEnd w:id="1"/>
      <w:bookmarkEnd w:id="2"/>
      <w:bookmarkEnd w:id="3"/>
      <w:bookmarkEnd w:id="4"/>
      <w:bookmarkEnd w:id="5"/>
      <w:bookmarkEnd w:id="6"/>
      <w:bookmarkEnd w:id="7"/>
      <w:r>
        <w:rPr>
          <w:rFonts w:hint="eastAsia" w:ascii="微软雅黑" w:hAnsi="微软雅黑" w:eastAsia="微软雅黑" w:cs="微软雅黑"/>
          <w:color w:val="000000" w:themeColor="text1"/>
          <w:highlight w:val="none"/>
          <w:lang w:val="en-US" w:eastAsia="zh-CN"/>
          <w14:textFill>
            <w14:solidFill>
              <w14:schemeClr w14:val="tx1"/>
            </w14:solidFill>
          </w14:textFill>
        </w:rPr>
        <w:t>谈判邀请函</w:t>
      </w: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rPr>
          <w:rFonts w:hint="eastAsia" w:ascii="宋体" w:hAnsi="宋体" w:cs="宋体"/>
          <w:b/>
          <w:bCs/>
          <w:color w:val="000000" w:themeColor="text1"/>
          <w:kern w:val="44"/>
          <w:sz w:val="36"/>
          <w:szCs w:val="36"/>
          <w:highlight w:val="none"/>
          <w:lang w:val="en-US" w:eastAsia="zh-CN"/>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仿宋" w:hAnsi="仿宋" w:eastAsia="仿宋" w:cs="仿宋"/>
          <w:b/>
          <w:bCs/>
          <w:color w:val="000000" w:themeColor="text1"/>
          <w:kern w:val="44"/>
          <w:sz w:val="36"/>
          <w:szCs w:val="36"/>
          <w:highlight w:val="none"/>
          <w14:textFill>
            <w14:solidFill>
              <w14:schemeClr w14:val="tx1"/>
            </w14:solidFill>
          </w14:textFill>
        </w:rPr>
      </w:pPr>
      <w:r>
        <w:rPr>
          <w:rFonts w:hint="eastAsia" w:ascii="仿宋" w:hAnsi="仿宋" w:eastAsia="仿宋" w:cs="仿宋"/>
          <w:b/>
          <w:bCs/>
          <w:color w:val="000000" w:themeColor="text1"/>
          <w:kern w:val="44"/>
          <w:sz w:val="36"/>
          <w:szCs w:val="36"/>
          <w:highlight w:val="none"/>
          <w:lang w:val="en-US" w:eastAsia="zh-CN"/>
          <w14:textFill>
            <w14:solidFill>
              <w14:schemeClr w14:val="tx1"/>
            </w14:solidFill>
          </w14:textFill>
        </w:rPr>
        <w:t>谈判邀请函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各</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val="0"/>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中山大学孙逸仙纪念医院</w:t>
      </w:r>
      <w:r>
        <w:rPr>
          <w:rFonts w:hint="eastAsia" w:ascii="仿宋" w:hAnsi="仿宋" w:eastAsia="仿宋" w:cs="仿宋"/>
          <w:bCs/>
          <w:color w:val="000000" w:themeColor="text1"/>
          <w:sz w:val="24"/>
          <w:szCs w:val="24"/>
          <w:highlight w:val="none"/>
          <w14:textFill>
            <w14:solidFill>
              <w14:schemeClr w14:val="tx1"/>
            </w14:solidFill>
          </w14:textFill>
        </w:rPr>
        <w:t>（以下简称“</w:t>
      </w:r>
      <w:r>
        <w:rPr>
          <w:rFonts w:hint="eastAsia" w:ascii="仿宋" w:hAnsi="仿宋" w:eastAsia="仿宋" w:cs="仿宋"/>
          <w:bCs/>
          <w:color w:val="000000" w:themeColor="text1"/>
          <w:sz w:val="24"/>
          <w:szCs w:val="24"/>
          <w:highlight w:val="none"/>
          <w:lang w:eastAsia="zh-CN"/>
          <w14:textFill>
            <w14:solidFill>
              <w14:schemeClr w14:val="tx1"/>
            </w14:solidFill>
          </w14:textFill>
        </w:rPr>
        <w:t>我院</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eastAsia="zh-CN"/>
          <w14:textFill>
            <w14:solidFill>
              <w14:schemeClr w14:val="tx1"/>
            </w14:solidFill>
          </w14:textFill>
        </w:rPr>
        <w:t>依据我院的需求，现</w:t>
      </w:r>
      <w:r>
        <w:rPr>
          <w:rFonts w:hint="eastAsia" w:ascii="仿宋" w:hAnsi="仿宋" w:eastAsia="仿宋" w:cs="仿宋"/>
          <w:bCs/>
          <w:color w:val="000000" w:themeColor="text1"/>
          <w:sz w:val="24"/>
          <w:szCs w:val="24"/>
          <w:highlight w:val="none"/>
          <w14:textFill>
            <w14:solidFill>
              <w14:schemeClr w14:val="tx1"/>
            </w14:solidFill>
          </w14:textFill>
        </w:rPr>
        <w:t>对</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我院公务车辆定点加油服务项目</w:t>
      </w:r>
      <w:r>
        <w:rPr>
          <w:rFonts w:hint="eastAsia" w:ascii="仿宋" w:hAnsi="仿宋" w:eastAsia="仿宋" w:cs="仿宋"/>
          <w:bCs/>
          <w:color w:val="000000" w:themeColor="text1"/>
          <w:sz w:val="24"/>
          <w:szCs w:val="24"/>
          <w:highlight w:val="none"/>
          <w:lang w:eastAsia="zh-CN"/>
          <w14:textFill>
            <w14:solidFill>
              <w14:schemeClr w14:val="tx1"/>
            </w14:solidFill>
          </w14:textFill>
        </w:rPr>
        <w:t>进行</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院内</w:t>
      </w:r>
      <w:r>
        <w:rPr>
          <w:rFonts w:hint="eastAsia" w:ascii="仿宋" w:hAnsi="仿宋" w:eastAsia="仿宋" w:cs="仿宋"/>
          <w:bCs/>
          <w:color w:val="000000" w:themeColor="text1"/>
          <w:sz w:val="24"/>
          <w:szCs w:val="24"/>
          <w:highlight w:val="none"/>
          <w:lang w:eastAsia="zh-CN"/>
          <w14:textFill>
            <w14:solidFill>
              <w14:schemeClr w14:val="tx1"/>
            </w14:solidFill>
          </w14:textFill>
        </w:rPr>
        <w:t>谈判采购</w:t>
      </w:r>
      <w:r>
        <w:rPr>
          <w:rFonts w:hint="eastAsia" w:ascii="仿宋" w:hAnsi="仿宋" w:eastAsia="仿宋" w:cs="仿宋"/>
          <w:bCs/>
          <w:color w:val="000000" w:themeColor="text1"/>
          <w:sz w:val="24"/>
          <w:szCs w:val="24"/>
          <w:highlight w:val="none"/>
          <w14:textFill>
            <w14:solidFill>
              <w14:schemeClr w14:val="tx1"/>
            </w14:solidFill>
          </w14:textFill>
        </w:rPr>
        <w:t>，欢迎符合条件的</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参加</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项目编号：ZCB-2023068</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项目名称</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：中山大学孙逸仙纪念医院公务车辆定点加油服务项目（第二次）</w:t>
      </w:r>
      <w:r>
        <w:rPr>
          <w:rFonts w:hint="eastAsia" w:ascii="仿宋" w:hAnsi="仿宋" w:eastAsia="仿宋" w:cs="仿宋"/>
          <w:b/>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仿宋" w:hAnsi="仿宋" w:eastAsia="仿宋" w:cs="仿宋"/>
          <w:b/>
          <w:bCs w:val="0"/>
          <w:color w:val="000000" w:themeColor="text1"/>
          <w:sz w:val="24"/>
          <w:szCs w:val="24"/>
          <w:highlight w:val="none"/>
          <w14:textFill>
            <w14:solidFill>
              <w14:schemeClr w14:val="tx1"/>
            </w14:solidFill>
          </w14:textFill>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eastAsia="zh-CN"/>
          <w14:textFill>
            <w14:solidFill>
              <w14:schemeClr w14:val="tx1"/>
            </w14:solidFill>
          </w14:textFill>
        </w:rPr>
        <w:t>项目</w:t>
      </w:r>
      <w:r>
        <w:rPr>
          <w:rFonts w:hint="eastAsia" w:ascii="仿宋" w:hAnsi="仿宋" w:eastAsia="仿宋" w:cs="仿宋"/>
          <w:b/>
          <w:bCs w:val="0"/>
          <w:color w:val="000000" w:themeColor="text1"/>
          <w:sz w:val="24"/>
          <w:szCs w:val="24"/>
          <w:highlight w:val="none"/>
          <w14:textFill>
            <w14:solidFill>
              <w14:schemeClr w14:val="tx1"/>
            </w14:solidFill>
          </w14:textFill>
        </w:rPr>
        <w:t>内容及需求：</w:t>
      </w:r>
    </w:p>
    <w:tbl>
      <w:tblPr>
        <w:tblStyle w:val="19"/>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83"/>
        <w:gridCol w:w="1180"/>
        <w:gridCol w:w="1150"/>
        <w:gridCol w:w="1998"/>
        <w:gridCol w:w="138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5"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包号</w:t>
            </w:r>
          </w:p>
        </w:tc>
        <w:tc>
          <w:tcPr>
            <w:tcW w:w="1883"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8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115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油品标号</w:t>
            </w:r>
          </w:p>
        </w:tc>
        <w:tc>
          <w:tcPr>
            <w:tcW w:w="1998"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tc>
        <w:tc>
          <w:tcPr>
            <w:tcW w:w="1384"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成交供应商</w:t>
            </w:r>
          </w:p>
        </w:tc>
        <w:tc>
          <w:tcPr>
            <w:tcW w:w="113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包组1</w:t>
            </w:r>
          </w:p>
        </w:tc>
        <w:tc>
          <w:tcPr>
            <w:tcW w:w="188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北院区</w:t>
            </w:r>
            <w:r>
              <w:rPr>
                <w:rFonts w:hint="eastAsia" w:ascii="仿宋" w:hAnsi="仿宋" w:eastAsia="仿宋" w:cs="仿宋"/>
                <w:b w:val="0"/>
                <w:bCs w:val="0"/>
                <w:color w:val="000000" w:themeColor="text1"/>
                <w:sz w:val="22"/>
                <w:szCs w:val="22"/>
                <w:highlight w:val="none"/>
                <w14:textFill>
                  <w14:solidFill>
                    <w14:schemeClr w14:val="tx1"/>
                  </w14:solidFill>
                </w14:textFill>
              </w:rPr>
              <w:t>公务车辆定点加油服务</w:t>
            </w:r>
          </w:p>
        </w:tc>
        <w:tc>
          <w:tcPr>
            <w:tcW w:w="118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95#汽油</w:t>
            </w:r>
          </w:p>
        </w:tc>
        <w:tc>
          <w:tcPr>
            <w:tcW w:w="199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38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1家</w:t>
            </w:r>
          </w:p>
        </w:tc>
        <w:tc>
          <w:tcPr>
            <w:tcW w:w="1133" w:type="dxa"/>
            <w:vMerge w:val="restar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供应商可兼投不可兼中。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包组2</w:t>
            </w:r>
          </w:p>
        </w:tc>
        <w:tc>
          <w:tcPr>
            <w:tcW w:w="188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南院区公务车辆定点加油服务</w:t>
            </w:r>
          </w:p>
        </w:tc>
        <w:tc>
          <w:tcPr>
            <w:tcW w:w="118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0#柴油国VI、95#汽油</w:t>
            </w:r>
          </w:p>
        </w:tc>
        <w:tc>
          <w:tcPr>
            <w:tcW w:w="199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000000"/>
          <w:spacing w:val="0"/>
          <w:sz w:val="24"/>
          <w:szCs w:val="24"/>
          <w:u w:val="none"/>
          <w:vertAlign w:val="baseline"/>
          <w:lang w:val="en-US" w:eastAsia="zh-CN"/>
        </w:rPr>
      </w:pPr>
      <w:r>
        <w:rPr>
          <w:rStyle w:val="22"/>
          <w:rFonts w:hint="eastAsia" w:ascii="仿宋" w:hAnsi="仿宋" w:eastAsia="仿宋" w:cs="仿宋"/>
          <w:b w:val="0"/>
          <w:bCs w:val="0"/>
          <w:i w:val="0"/>
          <w:iCs w:val="0"/>
          <w:caps w:val="0"/>
          <w:color w:val="000000"/>
          <w:spacing w:val="0"/>
          <w:sz w:val="24"/>
          <w:szCs w:val="24"/>
          <w:u w:val="none"/>
          <w:vertAlign w:val="baseline"/>
          <w:lang w:val="en-US" w:eastAsia="zh-CN"/>
        </w:rPr>
        <w:t>1.详细技术规范请参阅谈判文件中的“用户需求书”。</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000000"/>
          <w:spacing w:val="0"/>
          <w:sz w:val="24"/>
          <w:szCs w:val="24"/>
          <w:u w:val="none"/>
          <w:vertAlign w:val="baseline"/>
          <w:lang w:val="en-US" w:eastAsia="zh-CN"/>
        </w:rPr>
      </w:pPr>
      <w:r>
        <w:rPr>
          <w:rStyle w:val="22"/>
          <w:rFonts w:hint="eastAsia" w:ascii="仿宋" w:hAnsi="仿宋" w:eastAsia="仿宋" w:cs="仿宋"/>
          <w:b w:val="0"/>
          <w:bCs w:val="0"/>
          <w:i w:val="0"/>
          <w:iCs w:val="0"/>
          <w:caps w:val="0"/>
          <w:color w:val="000000"/>
          <w:spacing w:val="0"/>
          <w:sz w:val="24"/>
          <w:szCs w:val="24"/>
          <w:u w:val="none"/>
          <w:vertAlign w:val="baseline"/>
          <w:lang w:val="en-US" w:eastAsia="zh-CN"/>
        </w:rPr>
        <w:t>2.采用院内谈判方式采购2家广州市内定点加油站分别为中山大学孙逸仙纪念医院北院区、南院区的公务车辆提供加油服务。</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（1）北院区地址：广州市越秀区沿江西路107号；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default" w:ascii="仿宋" w:hAnsi="仿宋" w:eastAsia="仿宋" w:cs="仿宋"/>
          <w:b w:val="0"/>
          <w:bCs w:val="0"/>
          <w:i w:val="0"/>
          <w:iCs w:val="0"/>
          <w:caps w:val="0"/>
          <w:color w:val="000000"/>
          <w:spacing w:val="0"/>
          <w:sz w:val="24"/>
          <w:szCs w:val="24"/>
          <w:u w:val="none"/>
          <w:vertAlign w:val="baseline"/>
          <w:lang w:val="en-US" w:eastAsia="zh-CN"/>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（2）南院区地址：广州市海珠区盈丰路33号。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2"/>
          <w:rFonts w:hint="eastAsia" w:ascii="仿宋" w:hAnsi="仿宋" w:eastAsia="仿宋" w:cs="仿宋"/>
          <w:b/>
          <w:bCs/>
          <w:i w:val="0"/>
          <w:iCs w:val="0"/>
          <w:caps w:val="0"/>
          <w:color w:val="000000"/>
          <w:spacing w:val="0"/>
          <w:sz w:val="24"/>
          <w:szCs w:val="24"/>
          <w:u w:val="none"/>
          <w:vertAlign w:val="baseline"/>
          <w:lang w:val="en-US" w:eastAsia="zh-CN"/>
        </w:rPr>
        <w:t>四</w:t>
      </w:r>
      <w:r>
        <w:rPr>
          <w:rStyle w:val="22"/>
          <w:rFonts w:hint="eastAsia" w:ascii="仿宋" w:hAnsi="仿宋" w:eastAsia="仿宋" w:cs="仿宋"/>
          <w:b/>
          <w:bCs/>
          <w:i w:val="0"/>
          <w:iCs w:val="0"/>
          <w:caps w:val="0"/>
          <w:color w:val="000000"/>
          <w:spacing w:val="0"/>
          <w:sz w:val="24"/>
          <w:szCs w:val="24"/>
          <w:u w:val="none"/>
          <w:vertAlign w:val="baseline"/>
        </w:rPr>
        <w:t>、提供资料相关事项</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u w:val="none"/>
          <w:vertAlign w:val="baseline"/>
        </w:rPr>
      </w:pPr>
      <w:r>
        <w:rPr>
          <w:rStyle w:val="22"/>
          <w:rFonts w:hint="eastAsia" w:ascii="仿宋" w:hAnsi="仿宋" w:eastAsia="仿宋" w:cs="仿宋"/>
          <w:b w:val="0"/>
          <w:bCs w:val="0"/>
          <w:i w:val="0"/>
          <w:iCs w:val="0"/>
          <w:caps w:val="0"/>
          <w:color w:val="000000"/>
          <w:spacing w:val="0"/>
          <w:sz w:val="24"/>
          <w:szCs w:val="24"/>
          <w:u w:val="none"/>
          <w:vertAlign w:val="baseline"/>
          <w:lang w:val="en-US" w:eastAsia="zh-CN"/>
        </w:rPr>
        <w:t>1</w:t>
      </w:r>
      <w:r>
        <w:rPr>
          <w:rStyle w:val="22"/>
          <w:rFonts w:hint="eastAsia" w:ascii="仿宋" w:hAnsi="仿宋" w:eastAsia="仿宋" w:cs="仿宋"/>
          <w:b w:val="0"/>
          <w:bCs w:val="0"/>
          <w:i w:val="0"/>
          <w:iCs w:val="0"/>
          <w:caps w:val="0"/>
          <w:color w:val="000000"/>
          <w:spacing w:val="0"/>
          <w:sz w:val="24"/>
          <w:szCs w:val="24"/>
          <w:u w:val="none"/>
          <w:vertAlign w:val="baseline"/>
        </w:rPr>
        <w:t>.报名方式：</w:t>
      </w:r>
      <w:r>
        <w:rPr>
          <w:rFonts w:hint="eastAsia" w:ascii="仿宋" w:hAnsi="仿宋" w:eastAsia="仿宋" w:cs="仿宋"/>
          <w:b w:val="0"/>
          <w:bCs w:val="0"/>
          <w:i w:val="0"/>
          <w:iCs w:val="0"/>
          <w:caps w:val="0"/>
          <w:color w:val="000000"/>
          <w:spacing w:val="0"/>
          <w:sz w:val="24"/>
          <w:szCs w:val="24"/>
          <w:u w:val="none"/>
          <w:vertAlign w:val="baseline"/>
        </w:rPr>
        <w:t>电子邮件报名。</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邮件主题：</w:t>
      </w:r>
      <w:r>
        <w:rPr>
          <w:rFonts w:hint="eastAsia" w:ascii="仿宋" w:hAnsi="仿宋" w:eastAsia="仿宋" w:cs="仿宋"/>
          <w:i w:val="0"/>
          <w:iCs w:val="0"/>
          <w:caps w:val="0"/>
          <w:color w:val="000000"/>
          <w:spacing w:val="0"/>
          <w:sz w:val="24"/>
          <w:szCs w:val="24"/>
          <w:u w:val="none"/>
          <w:vertAlign w:val="baseline"/>
          <w:lang w:val="en-US" w:eastAsia="zh-CN"/>
        </w:rPr>
        <w:t>包号+</w:t>
      </w:r>
      <w:r>
        <w:rPr>
          <w:rFonts w:hint="eastAsia" w:ascii="仿宋" w:hAnsi="仿宋" w:eastAsia="仿宋" w:cs="仿宋"/>
          <w:i w:val="0"/>
          <w:iCs w:val="0"/>
          <w:caps w:val="0"/>
          <w:color w:val="000000"/>
          <w:spacing w:val="0"/>
          <w:sz w:val="24"/>
          <w:szCs w:val="24"/>
          <w:u w:val="none"/>
          <w:vertAlign w:val="baseline"/>
        </w:rPr>
        <w:t>车辆定点加油-某某公司</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3</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邮件正文：公司名称全</w:t>
      </w:r>
      <w:bookmarkStart w:id="22" w:name="_GoBack"/>
      <w:bookmarkEnd w:id="22"/>
      <w:r>
        <w:rPr>
          <w:rFonts w:hint="eastAsia" w:ascii="仿宋" w:hAnsi="仿宋" w:eastAsia="仿宋" w:cs="仿宋"/>
          <w:i w:val="0"/>
          <w:iCs w:val="0"/>
          <w:caps w:val="0"/>
          <w:color w:val="000000"/>
          <w:spacing w:val="0"/>
          <w:sz w:val="24"/>
          <w:szCs w:val="24"/>
          <w:u w:val="none"/>
          <w:vertAlign w:val="baseline"/>
        </w:rPr>
        <w:t>称、项目联系人、联系电话（手机号码）</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4</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报名截止时间：2023年</w:t>
      </w:r>
      <w:r>
        <w:rPr>
          <w:rFonts w:hint="eastAsia" w:ascii="仿宋" w:hAnsi="仿宋" w:eastAsia="仿宋" w:cs="仿宋"/>
          <w:i w:val="0"/>
          <w:iCs w:val="0"/>
          <w:caps w:val="0"/>
          <w:color w:val="000000"/>
          <w:spacing w:val="0"/>
          <w:sz w:val="24"/>
          <w:szCs w:val="24"/>
          <w:u w:val="none"/>
          <w:vertAlign w:val="baseline"/>
          <w:lang w:val="en-US" w:eastAsia="zh-CN"/>
        </w:rPr>
        <w:t>8</w:t>
      </w:r>
      <w:r>
        <w:rPr>
          <w:rFonts w:hint="eastAsia" w:ascii="仿宋" w:hAnsi="仿宋" w:eastAsia="仿宋" w:cs="仿宋"/>
          <w:i w:val="0"/>
          <w:iCs w:val="0"/>
          <w:caps w:val="0"/>
          <w:color w:val="000000"/>
          <w:spacing w:val="0"/>
          <w:sz w:val="24"/>
          <w:szCs w:val="24"/>
          <w:u w:val="none"/>
          <w:vertAlign w:val="baseline"/>
        </w:rPr>
        <w:t>月</w:t>
      </w:r>
      <w:r>
        <w:rPr>
          <w:rFonts w:hint="eastAsia" w:ascii="仿宋" w:hAnsi="仿宋" w:eastAsia="仿宋" w:cs="仿宋"/>
          <w:i w:val="0"/>
          <w:iCs w:val="0"/>
          <w:caps w:val="0"/>
          <w:color w:val="000000"/>
          <w:spacing w:val="0"/>
          <w:sz w:val="24"/>
          <w:szCs w:val="24"/>
          <w:u w:val="none"/>
          <w:vertAlign w:val="baseline"/>
          <w:lang w:val="en-US" w:eastAsia="zh-CN"/>
        </w:rPr>
        <w:t>9</w:t>
      </w:r>
      <w:r>
        <w:rPr>
          <w:rFonts w:hint="eastAsia" w:ascii="仿宋" w:hAnsi="仿宋" w:eastAsia="仿宋" w:cs="仿宋"/>
          <w:i w:val="0"/>
          <w:iCs w:val="0"/>
          <w:caps w:val="0"/>
          <w:color w:val="000000"/>
          <w:spacing w:val="0"/>
          <w:sz w:val="24"/>
          <w:szCs w:val="24"/>
          <w:u w:val="none"/>
          <w:vertAlign w:val="baseline"/>
        </w:rPr>
        <w:t>日下午17:00，以邮件接收时间为准，超时视为无效报名。</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2"/>
          <w:rFonts w:hint="eastAsia" w:ascii="仿宋" w:hAnsi="仿宋" w:eastAsia="仿宋" w:cs="仿宋"/>
          <w:i w:val="0"/>
          <w:iCs w:val="0"/>
          <w:caps w:val="0"/>
          <w:color w:val="FF0000"/>
          <w:spacing w:val="0"/>
          <w:sz w:val="24"/>
          <w:szCs w:val="24"/>
          <w:u w:val="none"/>
          <w:vertAlign w:val="baseline"/>
          <w:lang w:val="en-US" w:eastAsia="zh-CN"/>
        </w:rPr>
        <w:t>5</w:t>
      </w:r>
      <w:r>
        <w:rPr>
          <w:rStyle w:val="22"/>
          <w:rFonts w:hint="eastAsia" w:ascii="仿宋" w:hAnsi="仿宋" w:eastAsia="仿宋" w:cs="仿宋"/>
          <w:i w:val="0"/>
          <w:iCs w:val="0"/>
          <w:caps w:val="0"/>
          <w:color w:val="FF0000"/>
          <w:spacing w:val="0"/>
          <w:sz w:val="24"/>
          <w:szCs w:val="24"/>
          <w:u w:val="none"/>
          <w:vertAlign w:val="baseline"/>
        </w:rPr>
        <w:t>.报名所需提供资料及要求</w:t>
      </w:r>
      <w:r>
        <w:rPr>
          <w:rFonts w:hint="eastAsia" w:ascii="仿宋" w:hAnsi="仿宋" w:eastAsia="仿宋" w:cs="仿宋"/>
          <w:i w:val="0"/>
          <w:iCs w:val="0"/>
          <w:caps w:val="0"/>
          <w:color w:val="FF0000"/>
          <w:spacing w:val="0"/>
          <w:sz w:val="24"/>
          <w:szCs w:val="24"/>
          <w:u w:val="none"/>
          <w:vertAlign w:val="baseline"/>
        </w:rPr>
        <w:t>：详见附件</w:t>
      </w:r>
      <w:r>
        <w:rPr>
          <w:rFonts w:hint="eastAsia" w:ascii="仿宋" w:hAnsi="仿宋" w:eastAsia="仿宋" w:cs="仿宋"/>
          <w:i w:val="0"/>
          <w:iCs w:val="0"/>
          <w:caps w:val="0"/>
          <w:color w:val="FF0000"/>
          <w:spacing w:val="0"/>
          <w:sz w:val="24"/>
          <w:szCs w:val="24"/>
          <w:u w:val="none"/>
          <w:vertAlign w:val="baseline"/>
          <w:lang w:val="en-US" w:eastAsia="zh-CN"/>
        </w:rPr>
        <w:t>2</w:t>
      </w:r>
      <w:r>
        <w:rPr>
          <w:rFonts w:hint="eastAsia" w:ascii="仿宋" w:hAnsi="仿宋" w:eastAsia="仿宋" w:cs="仿宋"/>
          <w:i w:val="0"/>
          <w:iCs w:val="0"/>
          <w:caps w:val="0"/>
          <w:color w:val="FF0000"/>
          <w:spacing w:val="0"/>
          <w:sz w:val="24"/>
          <w:szCs w:val="24"/>
          <w:u w:val="none"/>
          <w:vertAlign w:val="baseline"/>
        </w:rPr>
        <w:t>报名资料。</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u w:val="none"/>
        </w:rPr>
      </w:pPr>
      <w:r>
        <w:rPr>
          <w:rStyle w:val="22"/>
          <w:rFonts w:hint="eastAsia" w:ascii="仿宋" w:hAnsi="仿宋" w:eastAsia="仿宋" w:cs="仿宋"/>
          <w:b/>
          <w:bCs/>
          <w:i w:val="0"/>
          <w:iCs w:val="0"/>
          <w:caps w:val="0"/>
          <w:color w:val="FF0000"/>
          <w:spacing w:val="0"/>
          <w:sz w:val="24"/>
          <w:szCs w:val="24"/>
          <w:u w:val="none"/>
          <w:vertAlign w:val="baseline"/>
        </w:rPr>
        <w:t>*温馨告知：</w:t>
      </w:r>
      <w:r>
        <w:rPr>
          <w:rFonts w:hint="eastAsia" w:ascii="仿宋" w:hAnsi="仿宋" w:eastAsia="仿宋" w:cs="仿宋"/>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u w:val="none"/>
          <w:vertAlign w:val="baseline"/>
          <w:lang w:eastAsia="zh-CN"/>
        </w:rPr>
        <w:t>比选环节</w:t>
      </w:r>
      <w:r>
        <w:rPr>
          <w:rFonts w:hint="eastAsia" w:ascii="仿宋" w:hAnsi="仿宋" w:eastAsia="仿宋" w:cs="仿宋"/>
          <w:i w:val="0"/>
          <w:iCs w:val="0"/>
          <w:caps w:val="0"/>
          <w:color w:val="FF0000"/>
          <w:spacing w:val="0"/>
          <w:sz w:val="24"/>
          <w:szCs w:val="24"/>
          <w:u w:val="none"/>
          <w:vertAlign w:val="baseline"/>
        </w:rPr>
        <w:t>等严重后果由供应商自行负责。</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供应商资质要求</w:t>
      </w:r>
      <w:r>
        <w:rPr>
          <w:rFonts w:hint="eastAsia" w:ascii="仿宋" w:hAnsi="仿宋" w:eastAsia="仿宋" w:cs="仿宋"/>
          <w:b/>
          <w:bCs/>
          <w:color w:val="000000"/>
          <w:sz w:val="24"/>
          <w:szCs w:val="24"/>
          <w:highlight w:val="none"/>
          <w:lang w:val="en-US" w:eastAsia="zh-CN"/>
        </w:rPr>
        <w:t>（提供声明函，模板详见附件2报名资料）</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6、供应商须具备有效的《成品油批发经营批准证书》或《成品油零售经营批准证书》、《危险化学品经营许可证》。</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eastAsia="zh-CN"/>
        </w:rPr>
        <w:t>7、供应商在</w:t>
      </w:r>
      <w:r>
        <w:rPr>
          <w:rFonts w:hint="eastAsia" w:ascii="仿宋" w:hAnsi="仿宋" w:eastAsia="仿宋" w:cs="仿宋"/>
          <w:sz w:val="24"/>
          <w:szCs w:val="24"/>
          <w:highlight w:val="none"/>
          <w:lang w:val="en-US" w:eastAsia="zh-CN"/>
        </w:rPr>
        <w:t>参加本次采购活动前3年内没有发生严重违约行为以及发生重大质量安全事故。</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eastAsia="zh-CN"/>
        </w:rPr>
        <w:t>8</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、响应文件提交的截止时间、地点：</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待定</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响应文件仅受理纸质，纸质材料一式叁份（正本1份/副本2份），具体要求详见格式《院内谈判文件》的第五章响应文件编制要求</w:t>
      </w:r>
      <w:r>
        <w:rPr>
          <w:rFonts w:hint="eastAsia" w:ascii="仿宋" w:hAnsi="仿宋" w:eastAsia="仿宋" w:cs="仿宋"/>
          <w:sz w:val="24"/>
          <w:szCs w:val="24"/>
          <w:highlight w:val="none"/>
          <w:u w:val="singl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九、谈判会议时间、地点：待定。</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1、本项目设有现场谈判报价环节。</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2、请报名成功的供应商安排1-2名人员准时出席谈判会议。</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中山大学</w:t>
      </w:r>
      <w:r>
        <w:rPr>
          <w:rFonts w:hint="eastAsia" w:ascii="仿宋" w:hAnsi="仿宋" w:eastAsia="仿宋" w:cs="仿宋"/>
          <w:color w:val="000000" w:themeColor="text1"/>
          <w:sz w:val="24"/>
          <w:szCs w:val="24"/>
          <w:highlight w:val="none"/>
          <w:lang w:eastAsia="zh-CN"/>
          <w14:textFill>
            <w14:solidFill>
              <w14:schemeClr w14:val="tx1"/>
            </w14:solidFill>
          </w14:textFill>
        </w:rPr>
        <w:t>孙逸仙纪念医院</w:t>
      </w:r>
      <w:r>
        <w:rPr>
          <w:rFonts w:hint="eastAsia" w:ascii="仿宋" w:hAnsi="仿宋" w:eastAsia="仿宋" w:cs="仿宋"/>
          <w:color w:val="000000" w:themeColor="text1"/>
          <w:sz w:val="24"/>
          <w:szCs w:val="24"/>
          <w:highlight w:val="none"/>
          <w14:textFill>
            <w14:solidFill>
              <w14:schemeClr w14:val="tx1"/>
            </w14:solidFill>
          </w14:textFill>
        </w:rPr>
        <w:t xml:space="preserve">                                                                2023年</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日</w:t>
      </w: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000000" w:themeColor="text1"/>
          <w:sz w:val="32"/>
          <w:szCs w:val="32"/>
          <w:highlight w:val="none"/>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000000" w:themeColor="text1"/>
          <w:sz w:val="32"/>
          <w:szCs w:val="32"/>
          <w:highlight w:val="none"/>
          <w:lang w:val="en-US" w:eastAsia="zh-CN"/>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ind w:left="0" w:leftChars="0" w:firstLine="0" w:firstLineChars="0"/>
        <w:rPr>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8" w:name="_Toc50736468"/>
      <w:bookmarkStart w:id="9" w:name="_Toc76354916"/>
      <w:bookmarkStart w:id="10" w:name="_Toc50691021"/>
      <w:bookmarkStart w:id="11" w:name="_Toc50737288"/>
      <w:bookmarkStart w:id="12" w:name="_Toc50737320"/>
      <w:bookmarkStart w:id="13" w:name="_Toc385940869"/>
      <w:bookmarkStart w:id="14" w:name="_Toc385939528"/>
      <w:bookmarkStart w:id="15" w:name="_Toc417914518"/>
      <w:r>
        <w:rPr>
          <w:rFonts w:hint="eastAsia" w:ascii="微软雅黑" w:hAnsi="微软雅黑" w:eastAsia="微软雅黑" w:cs="微软雅黑"/>
          <w:color w:val="000000" w:themeColor="text1"/>
          <w:highlight w:val="none"/>
          <w14:textFill>
            <w14:solidFill>
              <w14:schemeClr w14:val="tx1"/>
            </w14:solidFill>
          </w14:textFill>
        </w:rPr>
        <w:t xml:space="preserve">第二章  </w:t>
      </w:r>
      <w:bookmarkEnd w:id="8"/>
      <w:bookmarkEnd w:id="9"/>
      <w:bookmarkEnd w:id="10"/>
      <w:bookmarkEnd w:id="11"/>
      <w:bookmarkEnd w:id="12"/>
      <w:r>
        <w:rPr>
          <w:rFonts w:hint="eastAsia" w:ascii="微软雅黑" w:hAnsi="微软雅黑" w:eastAsia="微软雅黑" w:cs="微软雅黑"/>
          <w:color w:val="000000" w:themeColor="text1"/>
          <w:highlight w:val="none"/>
          <w14:textFill>
            <w14:solidFill>
              <w14:schemeClr w14:val="tx1"/>
            </w14:solidFill>
          </w14:textFill>
        </w:rPr>
        <w:t>用户需求</w:t>
      </w:r>
      <w:bookmarkEnd w:id="13"/>
      <w:bookmarkEnd w:id="14"/>
      <w:r>
        <w:rPr>
          <w:rFonts w:hint="eastAsia" w:ascii="微软雅黑" w:hAnsi="微软雅黑" w:eastAsia="微软雅黑" w:cs="微软雅黑"/>
          <w:color w:val="000000" w:themeColor="text1"/>
          <w:highlight w:val="none"/>
          <w14:textFill>
            <w14:solidFill>
              <w14:schemeClr w14:val="tx1"/>
            </w14:solidFill>
          </w14:textFill>
        </w:rPr>
        <w:t>书</w:t>
      </w:r>
      <w:bookmarkEnd w:id="15"/>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themeColor="text1"/>
          <w:kern w:val="44"/>
          <w:sz w:val="36"/>
          <w:szCs w:val="36"/>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kern w:val="44"/>
          <w:sz w:val="36"/>
          <w:szCs w:val="36"/>
          <w:highlight w:val="none"/>
          <w14:textFill>
            <w14:solidFill>
              <w14:schemeClr w14:val="tx1"/>
            </w14:solidFill>
          </w14:textFill>
        </w:rPr>
        <w:t>用户需求书</w:t>
      </w:r>
    </w:p>
    <w:p>
      <w:pPr>
        <w:keepNext w:val="0"/>
        <w:keepLines w:val="0"/>
        <w:widowControl/>
        <w:suppressLineNumbers w:val="0"/>
        <w:jc w:val="left"/>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 xml:space="preserve">说明： </w:t>
      </w:r>
    </w:p>
    <w:p>
      <w:pPr>
        <w:keepNext w:val="0"/>
        <w:keepLines w:val="0"/>
        <w:widowControl/>
        <w:suppressLineNumbers w:val="0"/>
        <w:jc w:val="left"/>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 xml:space="preserve">1.响应人须对本项目所有标的物进行整体响应，任何只对其中一部分内容进行的响应都被视为无效响应。 </w:t>
      </w:r>
    </w:p>
    <w:p>
      <w:pPr>
        <w:keepNext w:val="0"/>
        <w:keepLines w:val="0"/>
        <w:widowControl/>
        <w:suppressLineNumbers w:val="0"/>
        <w:jc w:val="left"/>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pPr>
        <w:pStyle w:val="26"/>
        <w:rPr>
          <w:rFonts w:hint="eastAsia" w:ascii="仿宋" w:hAnsi="仿宋" w:eastAsia="仿宋" w:cs="仿宋"/>
          <w:color w:val="000000" w:themeColor="text1"/>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eastAsia="zh-CN"/>
        </w:rPr>
      </w:pPr>
      <w:bookmarkStart w:id="16" w:name="_Toc385939529"/>
      <w:bookmarkStart w:id="17" w:name="_Toc417914519"/>
      <w:bookmarkStart w:id="18" w:name="_Toc385940875"/>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采购项目内容：</w:t>
      </w:r>
    </w:p>
    <w:tbl>
      <w:tblPr>
        <w:tblStyle w:val="19"/>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83"/>
        <w:gridCol w:w="1180"/>
        <w:gridCol w:w="1150"/>
        <w:gridCol w:w="1998"/>
        <w:gridCol w:w="138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5"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包号</w:t>
            </w:r>
          </w:p>
        </w:tc>
        <w:tc>
          <w:tcPr>
            <w:tcW w:w="1883"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8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115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油品标号</w:t>
            </w:r>
          </w:p>
        </w:tc>
        <w:tc>
          <w:tcPr>
            <w:tcW w:w="1998"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tc>
        <w:tc>
          <w:tcPr>
            <w:tcW w:w="1384"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成交供应商</w:t>
            </w:r>
          </w:p>
        </w:tc>
        <w:tc>
          <w:tcPr>
            <w:tcW w:w="113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包组1</w:t>
            </w:r>
          </w:p>
        </w:tc>
        <w:tc>
          <w:tcPr>
            <w:tcW w:w="188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北院区</w:t>
            </w:r>
            <w:r>
              <w:rPr>
                <w:rFonts w:hint="eastAsia" w:ascii="仿宋" w:hAnsi="仿宋" w:eastAsia="仿宋" w:cs="仿宋"/>
                <w:b w:val="0"/>
                <w:bCs w:val="0"/>
                <w:color w:val="000000" w:themeColor="text1"/>
                <w:sz w:val="22"/>
                <w:szCs w:val="22"/>
                <w:highlight w:val="none"/>
                <w14:textFill>
                  <w14:solidFill>
                    <w14:schemeClr w14:val="tx1"/>
                  </w14:solidFill>
                </w14:textFill>
              </w:rPr>
              <w:t>公务车辆定点加油服务</w:t>
            </w:r>
          </w:p>
        </w:tc>
        <w:tc>
          <w:tcPr>
            <w:tcW w:w="1180" w:type="dxa"/>
            <w:vMerge w:val="restar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95#汽油</w:t>
            </w:r>
          </w:p>
        </w:tc>
        <w:tc>
          <w:tcPr>
            <w:tcW w:w="199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38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1家</w:t>
            </w:r>
          </w:p>
        </w:tc>
        <w:tc>
          <w:tcPr>
            <w:tcW w:w="1133" w:type="dxa"/>
            <w:vMerge w:val="restar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供应商可兼投不可兼中。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包组2</w:t>
            </w:r>
          </w:p>
        </w:tc>
        <w:tc>
          <w:tcPr>
            <w:tcW w:w="188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南院区公务车辆定点加油服务</w:t>
            </w:r>
          </w:p>
        </w:tc>
        <w:tc>
          <w:tcPr>
            <w:tcW w:w="1180" w:type="dxa"/>
            <w:vMerge w:val="continue"/>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15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0#柴油国VI、95#汽油</w:t>
            </w:r>
          </w:p>
        </w:tc>
        <w:tc>
          <w:tcPr>
            <w:tcW w:w="199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人必须对本项目的全部内容进行响应报价，如有缺漏或超出采购预算，将导致响应无效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26"/>
        <w:keepNext w:val="0"/>
        <w:keepLines w:val="0"/>
        <w:pageBreakBefore w:val="0"/>
        <w:widowControl w:val="0"/>
        <w:numPr>
          <w:ilvl w:val="8"/>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1.基于采购人不同院区分布的特点，现分为两个包组进行，不同院区各油种的每年使用量分别为：</w:t>
      </w:r>
    </w:p>
    <w:p>
      <w:pPr>
        <w:pStyle w:val="26"/>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北院区：95#汽油约4.15万升；</w:t>
      </w:r>
    </w:p>
    <w:p>
      <w:pPr>
        <w:pStyle w:val="26"/>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南院区：95#汽油约3.94万升，0#柴油约0.35万升。</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最终采购数量以采购人院区实际使用数量为准。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项目服务期限为自合同生效之日起2年或支付达到35万元为止，纳入本次服务范围为本单位所有车辆及合同期内新增的车辆。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二、服务要求</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1．供应商所提供的燃油油品质量必须达到国家相关标准及要求，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保证</w:t>
      </w:r>
      <w:r>
        <w:rPr>
          <w:rFonts w:hint="eastAsia" w:ascii="仿宋" w:hAnsi="仿宋" w:eastAsia="仿宋" w:cs="仿宋"/>
          <w:color w:val="000000" w:themeColor="text1"/>
          <w:sz w:val="24"/>
          <w:szCs w:val="24"/>
          <w:highlight w:val="none"/>
          <w:lang w:val="zh-TW"/>
          <w14:textFill>
            <w14:solidFill>
              <w14:schemeClr w14:val="tx1"/>
            </w14:solidFill>
          </w14:textFill>
        </w:rPr>
        <w:t>油品来源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渠道合法合规</w:t>
      </w:r>
      <w:r>
        <w:rPr>
          <w:rFonts w:hint="eastAsia" w:ascii="仿宋" w:hAnsi="仿宋" w:eastAsia="仿宋" w:cs="仿宋"/>
          <w:color w:val="000000" w:themeColor="text1"/>
          <w:sz w:val="24"/>
          <w:szCs w:val="24"/>
          <w:highlight w:val="none"/>
          <w:lang w:val="zh-TW"/>
          <w14:textFill>
            <w14:solidFill>
              <w14:schemeClr w14:val="tx1"/>
            </w14:solidFill>
          </w14:textFill>
        </w:rPr>
        <w:t>，严禁提供假冒伪劣、过期变质物资</w:t>
      </w: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如经第三方检测机构认定因油质问题致使医院车辆部件损坏的，除鉴定费用由供应商支付外，供应商还须无条件赔偿医院所受损失，同时医院有权单方终止采购合同。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TW"/>
          <w14:textFill>
            <w14:solidFill>
              <w14:schemeClr w14:val="tx1"/>
            </w14:solidFill>
          </w14:textFill>
        </w:rPr>
        <w:t>医院有权对供应商所供应油品不定期不限次抽检。若经相关部门鉴定确立存在问题时（以国家或者地方政府指定检测部门抽检油站油品检验结果为基准），鉴定费用由供应商支付，并由供应商承担责任，赔偿损失。</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供应商加油站应在距离医院</w:t>
      </w:r>
      <w:r>
        <w:rPr>
          <w:rFonts w:hint="default"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公里直径范围内，具备给</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中型</w:t>
      </w:r>
      <w:r>
        <w:rPr>
          <w:rFonts w:hint="eastAsia" w:ascii="仿宋" w:hAnsi="仿宋" w:eastAsia="仿宋" w:cs="仿宋"/>
          <w:color w:val="000000" w:themeColor="text1"/>
          <w:sz w:val="24"/>
          <w:szCs w:val="24"/>
          <w:highlight w:val="none"/>
          <w:lang w:val="zh-TW"/>
          <w14:textFill>
            <w14:solidFill>
              <w14:schemeClr w14:val="tx1"/>
            </w14:solidFill>
          </w14:textFill>
        </w:rPr>
        <w:t>客车加油的场地。</w:t>
      </w:r>
      <w:r>
        <w:rPr>
          <w:rFonts w:hint="default" w:ascii="仿宋" w:hAnsi="仿宋" w:eastAsia="仿宋" w:cs="仿宋"/>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zh-TW"/>
          <w14:textFill>
            <w14:solidFill>
              <w14:schemeClr w14:val="tx1"/>
            </w14:solidFill>
          </w14:textFill>
        </w:rPr>
        <w:t>时必须标明加油站详细地址、地图、经营面积、油枪数目、距离</w:t>
      </w:r>
      <w:r>
        <w:rPr>
          <w:rFonts w:hint="default" w:ascii="仿宋" w:hAnsi="仿宋" w:eastAsia="仿宋" w:cs="仿宋"/>
          <w:color w:val="000000" w:themeColor="text1"/>
          <w:sz w:val="24"/>
          <w:szCs w:val="24"/>
          <w:highlight w:val="none"/>
          <w14:textFill>
            <w14:solidFill>
              <w14:schemeClr w14:val="tx1"/>
            </w14:solidFill>
          </w14:textFill>
        </w:rPr>
        <w:t>中山大学孙逸仙纪念医院北院区/南院区</w:t>
      </w:r>
      <w:r>
        <w:rPr>
          <w:rFonts w:hint="eastAsia" w:ascii="仿宋" w:hAnsi="仿宋" w:eastAsia="仿宋" w:cs="仿宋"/>
          <w:color w:val="000000" w:themeColor="text1"/>
          <w:sz w:val="24"/>
          <w:szCs w:val="24"/>
          <w:highlight w:val="none"/>
          <w:lang w:val="zh-TW"/>
          <w14:textFill>
            <w14:solidFill>
              <w14:schemeClr w14:val="tx1"/>
            </w14:solidFill>
          </w14:textFill>
        </w:rPr>
        <w:t>的实际驾车里程（提供百度地图实际驾车里程截图）。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4.供应商须保证给采购人公务车辆足量加油。</w:t>
      </w:r>
      <w:r>
        <w:rPr>
          <w:rFonts w:hint="eastAsia" w:ascii="仿宋" w:hAnsi="仿宋" w:eastAsia="仿宋" w:cs="仿宋"/>
          <w:color w:val="000000" w:themeColor="text1"/>
          <w:sz w:val="24"/>
          <w:szCs w:val="24"/>
          <w:highlight w:val="none"/>
          <w:lang w:val="zh-TW"/>
          <w14:textFill>
            <w14:solidFill>
              <w14:schemeClr w14:val="tx1"/>
            </w14:solidFill>
          </w14:textFill>
        </w:rPr>
        <w:t>供应商加油设备必须通过质量技术监督局计量部门监测，保证加油机油量符合国家标准。</w:t>
      </w:r>
      <w:r>
        <w:rPr>
          <w:rFonts w:hint="eastAsia" w:ascii="仿宋" w:hAnsi="仿宋" w:eastAsia="仿宋" w:cs="仿宋"/>
          <w:color w:val="000000" w:themeColor="text1"/>
          <w:sz w:val="24"/>
          <w:szCs w:val="24"/>
          <w:highlight w:val="none"/>
          <w:lang w:val="en-US" w:eastAsia="zh-CN"/>
          <w14:textFill>
            <w14:solidFill>
              <w14:schemeClr w14:val="tx1"/>
            </w14:solidFill>
          </w14:textFill>
        </w:rPr>
        <w:t>如采购人对加油足量情况有疑问，采购人有权向市场监督部门反馈。如情况属实，采购人有权提前终止合同。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zh-TW"/>
          <w14:textFill>
            <w14:solidFill>
              <w14:schemeClr w14:val="tx1"/>
            </w14:solidFill>
          </w14:textFill>
        </w:rPr>
        <w:t>供应商的服务方案应包括服务工作流程、服务标准、服务质量保障措施、突发情况应急预案等确保方案合理化，人员安排合理化。</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val="zh-TW"/>
          <w14:textFill>
            <w14:solidFill>
              <w14:schemeClr w14:val="tx1"/>
            </w14:solidFill>
          </w14:textFill>
        </w:rPr>
        <w:t>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按照医院提供的车辆资料及要求办理加油卡</w:t>
      </w:r>
      <w:r>
        <w:rPr>
          <w:rFonts w:hint="eastAsia" w:ascii="仿宋" w:hAnsi="仿宋" w:eastAsia="仿宋" w:cs="仿宋"/>
          <w:color w:val="000000" w:themeColor="text1"/>
          <w:sz w:val="24"/>
          <w:szCs w:val="24"/>
          <w:highlight w:val="none"/>
          <w:lang w:val="zh-TW"/>
          <w14:textFill>
            <w14:solidFill>
              <w14:schemeClr w14:val="tx1"/>
            </w14:solidFill>
          </w14:textFill>
        </w:rPr>
        <w:t>，加油卡实行一车一卡，签订合同之日起3个工作日内根据医院提供的车牌号码办理加油卡，所有加油卡设置密码、限制油品、限车牌</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供应商应</w:t>
      </w:r>
      <w:r>
        <w:rPr>
          <w:rFonts w:hint="eastAsia" w:ascii="仿宋" w:hAnsi="仿宋" w:eastAsia="仿宋" w:cs="仿宋"/>
          <w:color w:val="000000" w:themeColor="text1"/>
          <w:sz w:val="24"/>
          <w:szCs w:val="24"/>
          <w:highlight w:val="none"/>
          <w:lang w:val="zh-TW" w:eastAsia="zh-CN"/>
          <w14:textFill>
            <w14:solidFill>
              <w14:schemeClr w14:val="tx1"/>
            </w14:solidFill>
          </w14:textFill>
        </w:rPr>
        <w:t>配合医院做好车辆加油监督管理</w:t>
      </w:r>
      <w:r>
        <w:rPr>
          <w:rFonts w:hint="eastAsia" w:ascii="仿宋" w:hAnsi="仿宋" w:eastAsia="仿宋" w:cs="仿宋"/>
          <w:color w:val="000000" w:themeColor="text1"/>
          <w:sz w:val="24"/>
          <w:szCs w:val="24"/>
          <w:highlight w:val="none"/>
          <w:lang w:val="zh-TW"/>
          <w14:textFill>
            <w14:solidFill>
              <w14:schemeClr w14:val="tx1"/>
            </w14:solidFill>
          </w14:textFill>
        </w:rPr>
        <w:t>。当医院出现加油卡丢失或损坏时，供应商负责更换新的加油卡，并将丢失或损坏的加油卡剩余金额转入更换后的新卡。</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val="zh-TW"/>
          <w14:textFill>
            <w14:solidFill>
              <w14:schemeClr w14:val="tx1"/>
            </w14:solidFill>
          </w14:textFill>
        </w:rPr>
        <w:t>加油卡</w:t>
      </w:r>
      <w:r>
        <w:rPr>
          <w:rFonts w:hint="eastAsia" w:ascii="仿宋" w:hAnsi="仿宋" w:eastAsia="仿宋" w:cs="仿宋"/>
          <w:color w:val="000000" w:themeColor="text1"/>
          <w:sz w:val="24"/>
          <w:szCs w:val="24"/>
          <w:highlight w:val="none"/>
          <w:lang w:val="en-US" w:eastAsia="zh-CN"/>
          <w14:textFill>
            <w14:solidFill>
              <w14:schemeClr w14:val="tx1"/>
            </w14:solidFill>
          </w14:textFill>
        </w:rPr>
        <w:t>可以实现</w:t>
      </w:r>
      <w:r>
        <w:rPr>
          <w:rFonts w:hint="eastAsia" w:ascii="仿宋" w:hAnsi="仿宋" w:eastAsia="仿宋" w:cs="仿宋"/>
          <w:color w:val="000000" w:themeColor="text1"/>
          <w:sz w:val="24"/>
          <w:szCs w:val="24"/>
          <w:highlight w:val="none"/>
          <w:lang w:val="zh-TW"/>
          <w14:textFill>
            <w14:solidFill>
              <w14:schemeClr w14:val="tx1"/>
            </w14:solidFill>
          </w14:textFill>
        </w:rPr>
        <w:t>资料变更、</w:t>
      </w:r>
      <w:r>
        <w:rPr>
          <w:rFonts w:hint="eastAsia" w:ascii="仿宋" w:hAnsi="仿宋" w:eastAsia="仿宋" w:cs="仿宋"/>
          <w:color w:val="000000" w:themeColor="text1"/>
          <w:sz w:val="24"/>
          <w:szCs w:val="24"/>
          <w:highlight w:val="none"/>
          <w:lang w:val="en-US" w:eastAsia="zh-CN"/>
          <w14:textFill>
            <w14:solidFill>
              <w14:schemeClr w14:val="tx1"/>
            </w14:solidFill>
          </w14:textFill>
        </w:rPr>
        <w:t>查询</w:t>
      </w:r>
      <w:r>
        <w:rPr>
          <w:rFonts w:hint="eastAsia" w:ascii="仿宋" w:hAnsi="仿宋" w:eastAsia="仿宋" w:cs="仿宋"/>
          <w:color w:val="000000" w:themeColor="text1"/>
          <w:sz w:val="24"/>
          <w:szCs w:val="24"/>
          <w:highlight w:val="none"/>
          <w:lang w:val="zh-TW"/>
          <w14:textFill>
            <w14:solidFill>
              <w14:schemeClr w14:val="tx1"/>
            </w14:solidFill>
          </w14:textFill>
        </w:rPr>
        <w:t>加油信息及资金划转</w:t>
      </w:r>
      <w:r>
        <w:rPr>
          <w:rFonts w:hint="eastAsia" w:ascii="仿宋" w:hAnsi="仿宋" w:eastAsia="仿宋" w:cs="仿宋"/>
          <w:color w:val="000000" w:themeColor="text1"/>
          <w:sz w:val="24"/>
          <w:szCs w:val="24"/>
          <w:highlight w:val="none"/>
          <w:lang w:val="en-US" w:eastAsia="zh-CN"/>
          <w14:textFill>
            <w14:solidFill>
              <w14:schemeClr w14:val="tx1"/>
            </w14:solidFill>
          </w14:textFill>
        </w:rPr>
        <w:t>记录</w:t>
      </w:r>
      <w:r>
        <w:rPr>
          <w:rFonts w:hint="eastAsia" w:ascii="仿宋" w:hAnsi="仿宋" w:eastAsia="仿宋" w:cs="仿宋"/>
          <w:color w:val="000000" w:themeColor="text1"/>
          <w:sz w:val="24"/>
          <w:szCs w:val="24"/>
          <w:highlight w:val="none"/>
          <w:lang w:val="zh-TW"/>
          <w14:textFill>
            <w14:solidFill>
              <w14:schemeClr w14:val="tx1"/>
            </w14:solidFill>
          </w14:textFill>
        </w:rPr>
        <w:t>等</w:t>
      </w:r>
      <w:r>
        <w:rPr>
          <w:rFonts w:hint="eastAsia" w:ascii="仿宋" w:hAnsi="仿宋" w:eastAsia="仿宋" w:cs="仿宋"/>
          <w:color w:val="000000" w:themeColor="text1"/>
          <w:sz w:val="24"/>
          <w:szCs w:val="24"/>
          <w:highlight w:val="none"/>
          <w:lang w:val="en-US" w:eastAsia="zh-CN"/>
          <w14:textFill>
            <w14:solidFill>
              <w14:schemeClr w14:val="tx1"/>
            </w14:solidFill>
          </w14:textFill>
        </w:rPr>
        <w:t>功能</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有新增车辆需要增加</w:t>
      </w:r>
      <w:r>
        <w:rPr>
          <w:rFonts w:hint="eastAsia" w:ascii="仿宋" w:hAnsi="仿宋" w:eastAsia="仿宋" w:cs="仿宋"/>
          <w:color w:val="000000" w:themeColor="text1"/>
          <w:sz w:val="24"/>
          <w:szCs w:val="24"/>
          <w:highlight w:val="none"/>
          <w:lang w:val="en-US" w:eastAsia="zh-CN"/>
          <w14:textFill>
            <w14:solidFill>
              <w14:schemeClr w14:val="tx1"/>
            </w14:solidFill>
          </w14:textFill>
        </w:rPr>
        <w:t>加油卡</w:t>
      </w:r>
      <w:r>
        <w:rPr>
          <w:rFonts w:hint="eastAsia" w:ascii="仿宋" w:hAnsi="仿宋" w:eastAsia="仿宋" w:cs="仿宋"/>
          <w:color w:val="000000" w:themeColor="text1"/>
          <w:sz w:val="24"/>
          <w:szCs w:val="24"/>
          <w:highlight w:val="none"/>
          <w:lang w:val="zh-TW"/>
          <w14:textFill>
            <w14:solidFill>
              <w14:schemeClr w14:val="tx1"/>
            </w14:solidFill>
          </w14:textFill>
        </w:rPr>
        <w:t>数量的，需持</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lang w:val="zh-TW"/>
          <w14:textFill>
            <w14:solidFill>
              <w14:schemeClr w14:val="tx1"/>
            </w14:solidFill>
          </w14:textFill>
        </w:rPr>
        <w:t>单位车辆行驶证复印件、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采购人书面通知</w:t>
      </w:r>
      <w:r>
        <w:rPr>
          <w:rFonts w:hint="eastAsia" w:ascii="仿宋" w:hAnsi="仿宋" w:eastAsia="仿宋" w:cs="仿宋"/>
          <w:color w:val="000000" w:themeColor="text1"/>
          <w:sz w:val="24"/>
          <w:szCs w:val="24"/>
          <w:highlight w:val="none"/>
          <w:lang w:val="zh-TW"/>
          <w14:textFill>
            <w14:solidFill>
              <w14:schemeClr w14:val="tx1"/>
            </w14:solidFill>
          </w14:textFill>
        </w:rPr>
        <w:t>方可办理。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zh-TW"/>
          <w14:textFill>
            <w14:solidFill>
              <w14:schemeClr w14:val="tx1"/>
            </w14:solidFill>
          </w14:textFill>
        </w:rPr>
        <w:t>建立加油人员、管理人员双层审核等相关管理制度</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val="zh-TW"/>
          <w14:textFill>
            <w14:solidFill>
              <w14:schemeClr w14:val="tx1"/>
            </w14:solidFill>
          </w14:textFill>
        </w:rPr>
        <w:t>供应商提供的油品数量必须保证每天都能满足医院的需求，特别是油品紧缺时也要力争保证医院每天的正常需要（在同等条件下优先提供加油服务)。</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供应商在工作过程中接触到采购人的任何资料（车辆号牌、书面或电子文档），负有为采购人保密的责任，未经采购人书面同意，供应商不得以任何形式向第三方提供或透露。属电子文档的应从电脑存储设备上永久清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2" w:firstLineChars="200"/>
        <w:jc w:val="left"/>
        <w:textAlignment w:val="auto"/>
        <w:rPr>
          <w:rFonts w:hint="eastAsia" w:ascii="仿宋" w:hAnsi="仿宋" w:eastAsia="仿宋" w:cs="仿宋"/>
          <w:b/>
          <w:bCs/>
          <w:color w:val="000000" w:themeColor="text1"/>
          <w:sz w:val="24"/>
          <w:szCs w:val="24"/>
          <w:highlight w:val="none"/>
          <w:lang w:val="zh-TW"/>
          <w14:textFill>
            <w14:solidFill>
              <w14:schemeClr w14:val="tx1"/>
            </w14:solidFill>
          </w14:textFill>
        </w:rPr>
      </w:pPr>
      <w:r>
        <w:rPr>
          <w:rFonts w:hint="eastAsia" w:ascii="仿宋" w:hAnsi="仿宋" w:eastAsia="仿宋" w:cs="仿宋"/>
          <w:b/>
          <w:bCs/>
          <w:color w:val="000000" w:themeColor="text1"/>
          <w:sz w:val="24"/>
          <w:szCs w:val="24"/>
          <w:highlight w:val="none"/>
          <w:lang w:val="zh-TW"/>
          <w14:textFill>
            <w14:solidFill>
              <w14:schemeClr w14:val="tx1"/>
            </w14:solidFill>
          </w14:textFill>
        </w:rPr>
        <w:t>三、</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报价要求</w:t>
      </w:r>
      <w:r>
        <w:rPr>
          <w:rFonts w:hint="eastAsia" w:ascii="仿宋" w:hAnsi="仿宋" w:eastAsia="仿宋" w:cs="仿宋"/>
          <w:b/>
          <w:bCs/>
          <w:color w:val="000000" w:themeColor="text1"/>
          <w:sz w:val="24"/>
          <w:szCs w:val="24"/>
          <w:highlight w:val="none"/>
          <w:lang w:val="zh-TW"/>
          <w14:textFill>
            <w14:solidFill>
              <w14:schemeClr w14:val="tx1"/>
            </w14:solidFill>
          </w14:textFill>
        </w:rPr>
        <w:t xml:space="preserve">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default"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TW"/>
          <w14:textFill>
            <w14:solidFill>
              <w14:schemeClr w14:val="tx1"/>
            </w14:solidFill>
          </w14:textFill>
        </w:rPr>
        <w:t>供应商须按照加油站挂牌零售价的折扣率报价，报价包含单位货物价款、运输费、保险费用、税费及售后服务等一切费用。（如遇国家价格调整，在价格调整基础上折扣不变。）优惠折扣率为固定且唯一的报价，双方签订合同后，不得以任何原因进行更改，否则视为违约并承担相应责任。</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单次加油服务</w:t>
      </w:r>
      <w:r>
        <w:rPr>
          <w:rFonts w:hint="eastAsia" w:ascii="仿宋" w:hAnsi="仿宋" w:eastAsia="仿宋" w:cs="仿宋"/>
          <w:color w:val="000000" w:themeColor="text1"/>
          <w:sz w:val="24"/>
          <w:szCs w:val="24"/>
          <w:highlight w:val="none"/>
          <w:lang w:val="zh-TW"/>
          <w14:textFill>
            <w14:solidFill>
              <w14:schemeClr w14:val="tx1"/>
            </w14:solidFill>
          </w14:textFill>
        </w:rPr>
        <w:t>实际</w:t>
      </w:r>
      <w:r>
        <w:rPr>
          <w:rFonts w:hint="eastAsia" w:ascii="仿宋" w:hAnsi="仿宋" w:eastAsia="仿宋" w:cs="仿宋"/>
          <w:color w:val="000000" w:themeColor="text1"/>
          <w:sz w:val="24"/>
          <w:szCs w:val="24"/>
          <w:highlight w:val="none"/>
          <w:lang w:val="en-US" w:eastAsia="zh-CN"/>
          <w14:textFill>
            <w14:solidFill>
              <w14:schemeClr w14:val="tx1"/>
            </w14:solidFill>
          </w14:textFill>
        </w:rPr>
        <w:t>结算价格</w:t>
      </w:r>
      <w:r>
        <w:rPr>
          <w:rFonts w:hint="eastAsia" w:ascii="仿宋" w:hAnsi="仿宋" w:eastAsia="仿宋" w:cs="仿宋"/>
          <w:color w:val="000000" w:themeColor="text1"/>
          <w:sz w:val="24"/>
          <w:szCs w:val="24"/>
          <w:highlight w:val="none"/>
          <w:lang w:val="zh-TW"/>
          <w14:textFill>
            <w14:solidFill>
              <w14:schemeClr w14:val="tx1"/>
            </w14:solidFill>
          </w14:textFill>
        </w:rPr>
        <w:t>=车辆加油油品当日挂牌价格*折扣率（优惠活动期间享受优惠叠加）。例如：油品当日挂牌价格为7元/升，折扣率为9</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lang w:val="zh-TW"/>
          <w14:textFill>
            <w14:solidFill>
              <w14:schemeClr w14:val="tx1"/>
            </w14:solidFill>
          </w14:textFill>
        </w:rPr>
        <w:t>定点加油</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lang w:val="zh-TW"/>
          <w14:textFill>
            <w14:solidFill>
              <w14:schemeClr w14:val="tx1"/>
            </w14:solidFill>
          </w14:textFill>
        </w:rPr>
        <w:t>价格则为6.</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元/升。</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default" w:ascii="仿宋" w:hAnsi="仿宋" w:eastAsia="仿宋" w:cs="仿宋"/>
          <w:color w:val="000000" w:themeColor="text1"/>
          <w:sz w:val="24"/>
          <w:szCs w:val="24"/>
          <w:highlight w:val="none"/>
          <w:lang w:eastAsia="zh-CN"/>
          <w14:textFill>
            <w14:solidFill>
              <w14:schemeClr w14:val="tx1"/>
            </w14:solidFill>
          </w14:textFill>
        </w:rPr>
        <w:t>.供应商在调整油价之前，应将调整油价通知提供给医院，调整后价格按政府批文日期执行。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供应商应充分了解项目区域的条件、情况以及影响报价的其他要素，结合市场情况进行报价。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default"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少报漏报的内容，均已包含在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24"/>
          <w:highlight w:val="none"/>
          <w:lang w:val="zh-TW"/>
          <w14:textFill>
            <w14:solidFill>
              <w14:schemeClr w14:val="tx1"/>
            </w14:solidFill>
          </w14:textFill>
        </w:rPr>
        <w:t>内，成交人不得以任何的形式向采购人索要追加任何的费用。</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lang w:val="zh-TW"/>
          <w14:textFill>
            <w14:solidFill>
              <w14:schemeClr w14:val="tx1"/>
            </w14:solidFill>
          </w14:textFill>
        </w:rPr>
        <w:t>、</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结算方式</w:t>
      </w:r>
    </w:p>
    <w:p>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签订合同后，采购人须向供应商指定账户支付3万元的保证金。医院公务车辆到供应商实行记账加油方式，每月结算一次，定点加油服务结算金额是按医院公务车辆上月实际发生的加油量进行结算支付。</w:t>
      </w:r>
    </w:p>
    <w:p>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转账充值。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kern w:val="2"/>
          <w:sz w:val="24"/>
          <w:szCs w:val="24"/>
          <w:lang w:val="en-US" w:eastAsia="zh-CN" w:bidi="ar-SA"/>
          <w14:textFill>
            <w14:solidFill>
              <w14:schemeClr w14:val="tx1"/>
            </w14:solidFill>
          </w14:textFill>
        </w:rPr>
        <w:t>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对</w:t>
      </w:r>
      <w:r>
        <w:rPr>
          <w:rFonts w:hint="eastAsia" w:ascii="仿宋" w:hAnsi="仿宋" w:eastAsia="仿宋" w:cs="仿宋"/>
          <w:color w:val="000000" w:themeColor="text1"/>
          <w:kern w:val="2"/>
          <w:sz w:val="24"/>
          <w:szCs w:val="24"/>
          <w:lang w:val="en-US" w:eastAsia="zh-CN" w:bidi="ar-SA"/>
          <w14:textFill>
            <w14:solidFill>
              <w14:schemeClr w14:val="tx1"/>
            </w14:solidFill>
          </w14:textFill>
        </w:rPr>
        <w:t>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提供的明细表有异议，应在收到明细表五个工作日内通知供应商，双方共同审核交易明细。</w:t>
      </w:r>
    </w:p>
    <w:p>
      <w:pP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第三章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w:t>
      </w:r>
      <w:r>
        <w:rPr>
          <w:rFonts w:hint="eastAsia" w:ascii="微软雅黑" w:hAnsi="微软雅黑" w:eastAsia="微软雅黑" w:cs="微软雅黑"/>
          <w:color w:val="000000" w:themeColor="text1"/>
          <w:highlight w:val="none"/>
          <w14:textFill>
            <w14:solidFill>
              <w14:schemeClr w14:val="tx1"/>
            </w14:solidFill>
          </w14:textFill>
        </w:rPr>
        <w:t>须知</w:t>
      </w:r>
      <w:bookmarkEnd w:id="16"/>
      <w:bookmarkEnd w:id="17"/>
      <w:bookmarkEnd w:id="18"/>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bookmarkStart w:id="19" w:name="_Toc385940880"/>
    </w:p>
    <w:p>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sz w:val="36"/>
          <w:szCs w:val="36"/>
          <w:highlight w:val="none"/>
          <w14:textFill>
            <w14:solidFill>
              <w14:schemeClr w14:val="tx1"/>
            </w14:solidFill>
          </w14:textFill>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一、响应文件基本要求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的响应文件必须满足本次采购的实质目的，完全实现所应有的全部要求。供应商若存在任何理解上无法确定之处，均应当按照谈判文件所规定的响应前的澄清等程序提出，否则，可能导致的任何不利后果均应当由供应商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须按本</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中提供的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响应文件编制要求</w:t>
      </w:r>
      <w:r>
        <w:rPr>
          <w:rFonts w:hint="eastAsia" w:ascii="仿宋" w:hAnsi="仿宋" w:eastAsia="仿宋" w:cs="仿宋"/>
          <w:color w:val="000000" w:themeColor="text1"/>
          <w:sz w:val="24"/>
          <w:szCs w:val="24"/>
          <w:highlight w:val="none"/>
          <w14:textFill>
            <w14:solidFill>
              <w14:schemeClr w14:val="tx1"/>
            </w14:solidFill>
          </w14:textFill>
        </w:rPr>
        <w:t>（见</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第五章</w:t>
      </w:r>
      <w:r>
        <w:rPr>
          <w:rFonts w:hint="eastAsia" w:ascii="仿宋" w:hAnsi="仿宋" w:eastAsia="仿宋" w:cs="仿宋"/>
          <w:color w:val="000000" w:themeColor="text1"/>
          <w:sz w:val="24"/>
          <w:szCs w:val="24"/>
          <w:highlight w:val="none"/>
          <w14:textFill>
            <w14:solidFill>
              <w14:schemeClr w14:val="tx1"/>
            </w14:solidFill>
          </w14:textFill>
        </w:rPr>
        <w:t>）以A4版面统一编制（每份内页须按顺序加注页码），以及按有关要求提供相关的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w:t>
      </w:r>
      <w:r>
        <w:rPr>
          <w:rFonts w:hint="eastAsia" w:ascii="仿宋" w:hAnsi="仿宋" w:eastAsia="仿宋" w:cs="仿宋"/>
          <w:color w:val="000000" w:themeColor="text1"/>
          <w:sz w:val="24"/>
          <w:szCs w:val="24"/>
          <w:highlight w:val="none"/>
          <w14:textFill>
            <w14:solidFill>
              <w14:schemeClr w14:val="tx1"/>
            </w14:solidFill>
          </w14:textFill>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三、响应</w:t>
      </w:r>
      <w:r>
        <w:rPr>
          <w:rFonts w:hint="eastAsia" w:ascii="仿宋" w:hAnsi="仿宋" w:eastAsia="仿宋" w:cs="仿宋"/>
          <w:b/>
          <w:bCs/>
          <w:color w:val="000000" w:themeColor="text1"/>
          <w:sz w:val="24"/>
          <w:szCs w:val="24"/>
          <w:highlight w:val="none"/>
          <w14:textFill>
            <w14:solidFill>
              <w14:schemeClr w14:val="tx1"/>
            </w14:solidFill>
          </w14:textFill>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（一）响应</w:t>
      </w:r>
      <w:r>
        <w:rPr>
          <w:rFonts w:hint="eastAsia" w:ascii="仿宋" w:hAnsi="仿宋" w:eastAsia="仿宋" w:cs="仿宋"/>
          <w:b w:val="0"/>
          <w:bCs/>
          <w:color w:val="000000" w:themeColor="text1"/>
          <w:sz w:val="24"/>
          <w:szCs w:val="24"/>
          <w:highlight w:val="none"/>
          <w14:textFill>
            <w14:solidFill>
              <w14:schemeClr w14:val="tx1"/>
            </w14:solidFill>
          </w14:textFill>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1.响应人</w:t>
      </w:r>
      <w:r>
        <w:rPr>
          <w:rFonts w:hint="eastAsia" w:ascii="仿宋" w:hAnsi="仿宋" w:eastAsia="仿宋" w:cs="仿宋"/>
          <w:color w:val="000000" w:themeColor="text1"/>
          <w:sz w:val="24"/>
          <w:szCs w:val="24"/>
          <w:highlight w:val="none"/>
          <w14:textFill>
            <w14:solidFill>
              <w14:schemeClr w14:val="tx1"/>
            </w14:solidFill>
          </w14:textFill>
        </w:rPr>
        <w:t>应将纸质</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并在每一密封的信封封面上按以下要求清楚标明：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响应</w:t>
            </w:r>
            <w:r>
              <w:rPr>
                <w:rFonts w:hint="eastAsia" w:ascii="仿宋" w:hAnsi="仿宋" w:eastAsia="仿宋" w:cs="仿宋"/>
                <w:b/>
                <w:bCs/>
                <w:color w:val="000000" w:themeColor="text1"/>
                <w:sz w:val="30"/>
                <w:szCs w:val="30"/>
                <w:highlight w:val="none"/>
                <w14:textFill>
                  <w14:solidFill>
                    <w14:schemeClr w14:val="tx1"/>
                  </w14:solidFill>
                </w14:textFill>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2.为保证响应信息在谈判前不被透露，响应人应将《首次报价表》单独封装，信封封口处加盖公章，并在信封封面上按以下要求清楚标明：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首次报价表信封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谈判邀请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谈判会议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w:t>
      </w:r>
      <w:r>
        <w:rPr>
          <w:rFonts w:hint="eastAsia" w:ascii="仿宋" w:hAnsi="仿宋" w:eastAsia="仿宋" w:cs="仿宋"/>
          <w:b w:val="0"/>
          <w:bCs/>
          <w:color w:val="000000"/>
          <w:sz w:val="24"/>
          <w:szCs w:val="24"/>
          <w:highlight w:val="none"/>
          <w:lang w:val="en-US" w:eastAsia="zh-CN"/>
        </w:rPr>
        <w:t>谈判会议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四、谈判会议和评审原则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（一）组织谈判会议</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采购人按照约定的时间、地点组织谈判会议。原则上应有采购人代表和响应人代表参加，参加谈判会议的代表应签到以证明出席。通过资格、符合性、“★”条款响应审查的响应人不足3家的，我院将组织本项目第二次公告挂网。</w:t>
      </w:r>
    </w:p>
    <w:p>
      <w:pPr>
        <w:pStyle w:val="26"/>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2.谈判会议正式开始前时，由响应人或其推选的代表检查响应文件的密封情况。</w:t>
      </w:r>
      <w:r>
        <w:rPr>
          <w:rFonts w:hint="eastAsia" w:ascii="仿宋" w:hAnsi="仿宋" w:eastAsia="仿宋" w:cs="仿宋"/>
          <w:b w:val="0"/>
          <w:bCs w:val="0"/>
          <w:color w:val="auto"/>
          <w:sz w:val="24"/>
          <w:szCs w:val="24"/>
          <w:highlight w:val="none"/>
          <w:lang w:val="en-US" w:eastAsia="zh-CN"/>
        </w:rPr>
        <w:t>在谈判过程中，评审委员会应当严格遵循保密原则，未经响应供应商同意不得向任何人透露当事人技术、价格和其他重要信息。</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审委员会根据谈判文件规定的程序、评定成交的标准等事项与实质性响应谈判文件要求的供应商进行谈判。评审委员会所有成员应当集中与单一供应商分别进行谈判，并给予所有参加谈判的供应商平等的谈判机会。</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在谈判过程中，评审委员会可以根据谈判文件和谈判情况实质性变动采购需求中的技术、服务要求以及合同条款，但不得变动谈判文件中的其他内容。实质性变动的内容，须经采购人代表确认。在此情况下，评审委员会将以书面形式将修改内容同时通知所有参加谈判的供应商。对谈判文件作出的实质性变动是谈判文件的有效组成部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5.供应商可以根据上一轮谈判情况对谈判报价内容进行调整和提出新的报价。谈判结束后，所有继续参加谈判的供应商在规定时间内提交最后报价。最后报价是供应商响应文件的有效组成部分。</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6.最后报价时间过后，供应商不得对报价进行修改、撤回或撤销。</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7.评审委员会应当根据评审记录和评审结果编写评审报告。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2.本次评审采用最低价法，</w:t>
      </w:r>
      <w:r>
        <w:rPr>
          <w:rFonts w:hint="eastAsia" w:ascii="仿宋" w:hAnsi="仿宋" w:eastAsia="仿宋" w:cs="仿宋"/>
          <w:b/>
          <w:bCs/>
          <w:color w:val="auto"/>
          <w:sz w:val="24"/>
          <w:szCs w:val="24"/>
          <w:highlight w:val="none"/>
          <w:lang w:val="en-US" w:eastAsia="zh-CN"/>
        </w:rPr>
        <w:t>设有现场谈判报价环节，最终报价以现场谈判的最终报价为准。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谈判文件的商务、技术中的实质性要求。对符合性评审认定意见不一致的，评审委员会按少数服从多数原则表决决定。</w:t>
      </w:r>
    </w:p>
    <w:p>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5.资格审查或符合性审查不通过的均视为无效响应。</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6.评审内容：评审委员会对符合资质要求且实质上响应谈判文件要求的响应文件进行评价和比较。    </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themeColor="text1"/>
          <w:sz w:val="24"/>
          <w:szCs w:val="28"/>
          <w:highlight w:val="none"/>
          <w14:textFill>
            <w14:solidFill>
              <w14:schemeClr w14:val="tx1"/>
            </w14:solidFill>
          </w14:textFill>
        </w:rPr>
      </w:pPr>
      <w:r>
        <w:rPr>
          <w:rFonts w:hint="eastAsia" w:ascii="仿宋" w:hAnsi="仿宋" w:eastAsia="仿宋" w:cs="仿宋"/>
          <w:b/>
          <w:bCs w:val="0"/>
          <w:color w:val="000000" w:themeColor="text1"/>
          <w:sz w:val="24"/>
          <w:szCs w:val="28"/>
          <w:highlight w:val="none"/>
          <w14:textFill>
            <w14:solidFill>
              <w14:schemeClr w14:val="tx1"/>
            </w14:solidFill>
          </w14:textFill>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w:t>
            </w:r>
            <w:r>
              <w:rPr>
                <w:rFonts w:hint="eastAsia" w:ascii="仿宋" w:hAnsi="仿宋" w:eastAsia="仿宋" w:cs="仿宋"/>
                <w:color w:val="000000" w:themeColor="text1"/>
                <w:sz w:val="20"/>
                <w:szCs w:val="20"/>
                <w:highlight w:val="none"/>
                <w14:textFill>
                  <w14:solidFill>
                    <w14:schemeClr w14:val="tx1"/>
                  </w14:solidFill>
                </w14:textFill>
              </w:rPr>
              <w:t>人应具备以下条件：（</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w:t>
            </w:r>
            <w:r>
              <w:rPr>
                <w:rFonts w:hint="eastAsia" w:ascii="仿宋" w:hAnsi="仿宋" w:eastAsia="仿宋" w:cs="仿宋"/>
                <w:sz w:val="20"/>
                <w:szCs w:val="20"/>
                <w:lang w:val="zh-CN"/>
              </w:rPr>
              <w:t>现场查询：经</w:t>
            </w:r>
            <w:r>
              <w:rPr>
                <w:rFonts w:hint="eastAsia" w:ascii="仿宋" w:hAnsi="仿宋" w:eastAsia="仿宋" w:cs="仿宋"/>
                <w:sz w:val="20"/>
                <w:szCs w:val="20"/>
                <w:lang w:val="en-US" w:eastAsia="zh-CN"/>
              </w:rPr>
              <w:t>查询</w:t>
            </w:r>
            <w:r>
              <w:rPr>
                <w:rFonts w:hint="eastAsia" w:ascii="仿宋" w:hAnsi="仿宋" w:eastAsia="仿宋" w:cs="仿宋"/>
                <w:sz w:val="20"/>
                <w:szCs w:val="20"/>
                <w:lang w:val="zh-CN"/>
              </w:rPr>
              <w:t>“信用中国”网站（www.creditchina.gov.cn）网站</w:t>
            </w:r>
            <w:r>
              <w:rPr>
                <w:rFonts w:hint="eastAsia" w:ascii="仿宋" w:hAnsi="仿宋" w:eastAsia="仿宋" w:cs="仿宋"/>
                <w:sz w:val="20"/>
                <w:szCs w:val="20"/>
                <w:lang w:val="en-US" w:eastAsia="zh-CN"/>
              </w:rPr>
              <w:t>和</w:t>
            </w:r>
            <w:r>
              <w:rPr>
                <w:rFonts w:hint="eastAsia" w:ascii="仿宋" w:hAnsi="仿宋" w:eastAsia="仿宋" w:cs="仿宋"/>
                <w:sz w:val="20"/>
                <w:szCs w:val="20"/>
                <w:lang w:val="zh-CN"/>
              </w:rPr>
              <w:t>“中国政府采购网”网站（www.ccgp.gov.cn），</w:t>
            </w:r>
            <w:r>
              <w:rPr>
                <w:rFonts w:hint="eastAsia" w:ascii="仿宋" w:hAnsi="仿宋" w:eastAsia="仿宋" w:cs="仿宋"/>
                <w:sz w:val="20"/>
                <w:szCs w:val="20"/>
                <w:lang w:val="en-US" w:eastAsia="zh-CN"/>
              </w:rPr>
              <w:t>被</w:t>
            </w:r>
            <w:r>
              <w:rPr>
                <w:rFonts w:hint="eastAsia" w:ascii="仿宋" w:hAnsi="仿宋" w:eastAsia="仿宋" w:cs="仿宋"/>
                <w:sz w:val="20"/>
                <w:szCs w:val="20"/>
                <w:lang w:val="zh-CN"/>
              </w:rPr>
              <w:t>列入失信被执行人、重大税收违法失信主体、政府采购严重违法失信行为记录名单（处罚期限尚未届满的）的供应商，</w:t>
            </w:r>
            <w:r>
              <w:rPr>
                <w:rFonts w:hint="eastAsia" w:ascii="仿宋" w:hAnsi="仿宋" w:eastAsia="仿宋" w:cs="仿宋"/>
                <w:sz w:val="20"/>
                <w:szCs w:val="20"/>
                <w:lang w:val="en-US" w:eastAsia="zh-CN"/>
              </w:rPr>
              <w:t>均</w:t>
            </w:r>
            <w:r>
              <w:rPr>
                <w:rFonts w:hint="eastAsia" w:ascii="仿宋" w:hAnsi="仿宋" w:eastAsia="仿宋" w:cs="仿宋"/>
                <w:sz w:val="20"/>
                <w:szCs w:val="20"/>
                <w:lang w:val="zh-CN"/>
              </w:rPr>
              <w:t>不得参加本采购项目。（</w:t>
            </w:r>
            <w:r>
              <w:rPr>
                <w:rFonts w:hint="eastAsia" w:ascii="仿宋" w:hAnsi="仿宋" w:eastAsia="仿宋" w:cs="仿宋"/>
                <w:sz w:val="20"/>
                <w:szCs w:val="20"/>
                <w:lang w:val="en-US" w:eastAsia="zh-CN"/>
              </w:rPr>
              <w:t>响应人无需提供证明资料，以谈判会议现场查询结果为准</w:t>
            </w:r>
            <w:r>
              <w:rPr>
                <w:rFonts w:hint="eastAsia" w:ascii="仿宋" w:hAnsi="仿宋" w:eastAsia="仿宋" w:cs="仿宋"/>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本项目不接受联合体响应，</w:t>
            </w:r>
            <w:r>
              <w:rPr>
                <w:rFonts w:hint="eastAsia" w:ascii="仿宋" w:hAnsi="仿宋" w:eastAsia="仿宋" w:cs="仿宋"/>
                <w:color w:val="000000" w:themeColor="text1"/>
                <w:sz w:val="20"/>
                <w:szCs w:val="20"/>
                <w:highlight w:val="none"/>
                <w:lang w:val="en-US" w:eastAsia="zh-CN"/>
                <w14:textFill>
                  <w14:solidFill>
                    <w14:schemeClr w14:val="tx1"/>
                  </w14:solidFill>
                </w14:textFill>
              </w:rPr>
              <w:t>成交供应商不得以任何方式转包或分包本项目</w:t>
            </w:r>
            <w:r>
              <w:rPr>
                <w:rFonts w:hint="eastAsia" w:ascii="仿宋" w:hAnsi="仿宋" w:eastAsia="仿宋" w:cs="仿宋"/>
                <w:color w:val="000000" w:themeColor="text1"/>
                <w:sz w:val="20"/>
                <w:szCs w:val="20"/>
                <w:highlight w:val="none"/>
                <w:lang w:val="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供应商在参加本次采购活动前3年内没有发生严重违约行为以及发生重大质量安全事故。</w:t>
            </w:r>
            <w:r>
              <w:rPr>
                <w:rFonts w:hint="eastAsia" w:ascii="仿宋" w:hAnsi="仿宋" w:eastAsia="仿宋" w:cs="仿宋"/>
                <w:color w:val="000000" w:themeColor="text1"/>
                <w:sz w:val="20"/>
                <w:szCs w:val="20"/>
                <w:highlight w:val="none"/>
                <w14:textFill>
                  <w14:solidFill>
                    <w14:schemeClr w14:val="tx1"/>
                  </w14:solidFill>
                </w14:textFill>
              </w:rPr>
              <w:t>（</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已</w:t>
            </w:r>
            <w:r>
              <w:rPr>
                <w:rFonts w:hint="eastAsia" w:ascii="仿宋" w:hAnsi="仿宋" w:eastAsia="仿宋" w:cs="仿宋"/>
                <w:color w:val="000000" w:themeColor="text1"/>
                <w:sz w:val="20"/>
                <w:szCs w:val="20"/>
                <w:highlight w:val="none"/>
                <w:lang w:val="en-US" w:eastAsia="zh-CN"/>
                <w14:textFill>
                  <w14:solidFill>
                    <w14:schemeClr w14:val="tx1"/>
                  </w14:solidFill>
                </w14:textFill>
              </w:rPr>
              <w:t>成功报名本项目</w:t>
            </w:r>
            <w:r>
              <w:rPr>
                <w:rFonts w:hint="eastAsia" w:ascii="仿宋" w:hAnsi="仿宋" w:eastAsia="仿宋" w:cs="仿宋"/>
                <w:color w:val="000000" w:themeColor="text1"/>
                <w:sz w:val="20"/>
                <w:szCs w:val="20"/>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供应商须具备有效的《成品油批发经营批准证书》或《成品油零售经营批准证书》、《危险化学品经营许可证》。</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资格审查第7条所要求的《供应商廉洁守约承诺书》，响应人除了在响应文件中装订成册，须在递交谈判文件时另外提供一份盖章签字版的承诺书。若未单独提供，可能影响对响应文件的评价，但不作为一票否决的条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8.符合性审查</w:t>
      </w:r>
    </w:p>
    <w:p>
      <w:pPr>
        <w:pStyle w:val="17"/>
        <w:keepNext w:val="0"/>
        <w:keepLines w:val="0"/>
        <w:widowControl w:val="0"/>
        <w:suppressLineNumbers w:val="0"/>
        <w:spacing w:before="0" w:beforeAutospacing="0" w:after="0" w:afterAutospacing="0"/>
        <w:ind w:left="0" w:right="0" w:firstLine="482" w:firstLineChars="200"/>
        <w:jc w:val="center"/>
        <w:rPr>
          <w:rFonts w:hint="eastAsia" w:ascii="仿宋" w:hAnsi="仿宋" w:eastAsia="仿宋" w:cs="仿宋"/>
          <w:b/>
          <w:bCs/>
          <w:color w:val="000000" w:themeColor="text1"/>
          <w:kern w:val="2"/>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序号</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①响应报价未超过本项目最高限价</w:t>
            </w:r>
            <w:r>
              <w:rPr>
                <w:rFonts w:hint="eastAsia" w:ascii="仿宋" w:hAnsi="仿宋" w:eastAsia="仿宋" w:cs="仿宋"/>
                <w:color w:val="000000" w:themeColor="text1"/>
                <w:sz w:val="20"/>
                <w:szCs w:val="20"/>
                <w:lang w:eastAsia="zh-CN"/>
                <w14:textFill>
                  <w14:solidFill>
                    <w14:schemeClr w14:val="tx1"/>
                  </w14:solidFill>
                </w14:textFill>
              </w:rPr>
              <w:t>。</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④响应报价是唯一确定的，不得存在区间值（如90%～95%）。</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提供《响应</w:t>
            </w:r>
            <w:r>
              <w:rPr>
                <w:rFonts w:hint="eastAsia" w:ascii="仿宋" w:hAnsi="仿宋" w:eastAsia="仿宋" w:cs="仿宋"/>
                <w:color w:val="000000" w:themeColor="text1"/>
                <w:sz w:val="20"/>
                <w:szCs w:val="20"/>
                <w:lang w:val="en-US" w:eastAsia="zh-CN"/>
                <w14:textFill>
                  <w14:solidFill>
                    <w14:schemeClr w14:val="tx1"/>
                  </w14:solidFill>
                </w14:textFill>
              </w:rPr>
              <w:t>承诺</w:t>
            </w:r>
            <w:r>
              <w:rPr>
                <w:rFonts w:hint="eastAsia" w:ascii="仿宋" w:hAnsi="仿宋" w:eastAsia="仿宋" w:cs="仿宋"/>
                <w:color w:val="000000" w:themeColor="text1"/>
                <w:sz w:val="20"/>
                <w:szCs w:val="20"/>
                <w14:textFill>
                  <w14:solidFill>
                    <w14:schemeClr w14:val="tx1"/>
                  </w14:solidFill>
                </w14:textFill>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响应文件按照</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规定要求签署、盖章</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包括封面、骑缝以及含有“签字”“盖章”字眼的每一处</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不得改动本谈判文件中已明确要求不得擅自删改的部分，以及遵守谈判文件中已列明必须遵照执行否则按无效响应处理的各类要求。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5</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本</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中的“★”号条款要求：响应方案</w:t>
            </w:r>
            <w:r>
              <w:rPr>
                <w:rFonts w:hint="eastAsia" w:ascii="仿宋" w:hAnsi="仿宋" w:eastAsia="仿宋" w:cs="仿宋"/>
                <w:color w:val="000000" w:themeColor="text1"/>
                <w:sz w:val="20"/>
                <w:szCs w:val="20"/>
                <w:lang w:val="en-US" w:eastAsia="zh-CN"/>
                <w14:textFill>
                  <w14:solidFill>
                    <w14:schemeClr w14:val="tx1"/>
                  </w14:solidFill>
                </w14:textFill>
              </w:rPr>
              <w:t>一一</w:t>
            </w:r>
            <w:r>
              <w:rPr>
                <w:rFonts w:hint="eastAsia" w:ascii="仿宋" w:hAnsi="仿宋" w:eastAsia="仿宋" w:cs="仿宋"/>
                <w:color w:val="000000" w:themeColor="text1"/>
                <w:sz w:val="20"/>
                <w:szCs w:val="20"/>
                <w14:textFill>
                  <w14:solidFill>
                    <w14:schemeClr w14:val="tx1"/>
                  </w14:solidFill>
                </w14:textFill>
              </w:rPr>
              <w:t>满足</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响应</w:t>
            </w:r>
            <w:r>
              <w:rPr>
                <w:rFonts w:hint="eastAsia" w:ascii="仿宋" w:hAnsi="仿宋" w:eastAsia="仿宋" w:cs="仿宋"/>
                <w:color w:val="000000" w:themeColor="text1"/>
                <w:sz w:val="20"/>
                <w:szCs w:val="20"/>
                <w14:textFill>
                  <w14:solidFill>
                    <w14:schemeClr w14:val="tx1"/>
                  </w14:solidFill>
                </w14:textFill>
              </w:rPr>
              <w:t>文件未含有采购人不能接受的附加条件</w:t>
            </w:r>
            <w:r>
              <w:rPr>
                <w:rFonts w:hint="eastAsia" w:ascii="仿宋" w:hAnsi="仿宋" w:eastAsia="仿宋" w:cs="仿宋"/>
                <w:color w:val="000000" w:themeColor="text1"/>
                <w:sz w:val="20"/>
                <w:szCs w:val="20"/>
                <w:lang w:eastAsia="zh-CN"/>
                <w14:textFill>
                  <w14:solidFill>
                    <w14:schemeClr w14:val="tx1"/>
                  </w14:solidFill>
                </w14:textFill>
              </w:rPr>
              <w:t>。</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9.“★”条款响应审查</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公务车辆定点加油</w:t>
            </w:r>
          </w:p>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服务</w:t>
            </w:r>
            <w:r>
              <w:rPr>
                <w:rFonts w:hint="eastAsia" w:ascii="仿宋" w:hAnsi="仿宋" w:eastAsia="仿宋" w:cs="仿宋"/>
                <w:b/>
                <w:bCs/>
                <w:kern w:val="0"/>
                <w:sz w:val="24"/>
                <w:highlight w:val="none"/>
                <w:lang w:val="en-US" w:eastAsia="zh-CN"/>
              </w:rPr>
              <w:t>项目</w:t>
            </w:r>
          </w:p>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color w:val="000000"/>
                <w:szCs w:val="21"/>
                <w:highlight w:val="none"/>
              </w:rPr>
              <w:t>供应商所提供的燃油油品质量必须达到国家相关标准及要求，保证油品来源渠道合法合规，严禁提供假冒伪劣、过期变质物资。如经第三方检测机构认定因油质问题致使医院车辆部件损坏的，除鉴定费用由供应商支付外，供应商还须无条件赔偿医院所受损失，同时医院有权单方终止采购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szCs w:val="21"/>
                <w:highlight w:val="none"/>
              </w:rPr>
              <w:t>供应商加油站应在距离医院3公里直径范围内，具备给中型客车加油的场地。响应时必须标明加油站详细地址、地图、经营面积、油枪数目、距离中山大学孙逸仙纪念医院北院区/南院区的实际驾车里程。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供应商须保证给采购人公务车辆足量加油。供应商加油设备必须通过质量技术监督局计量部门监测，保证加油机油量符合国家标准。如采购人对加油足量情况有疑问，采购人有权向市场监督部门反馈。如情况属实，采购人有权提前终止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rPr>
          <w:trHeight w:val="550"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医院有权对供应商所供应油品不定期不限次抽检。若经相关部门鉴定确立存在问题时（以国家或者地方政府指定检测部门抽检油站油品检验结果为基准），鉴定费用由供应商支付，并由供应商承担责任，赔偿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34"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lang w:val="en-US" w:eastAsia="zh-CN"/>
              </w:rPr>
              <w:t>★报价要求：</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供应商须按照加油站当日挂牌零售价的折扣率报价，报价包含单位货物价款、运输费、保险费用、税费及售后服务等一切费用。（如遇国家价格调整，在价格调整基础上折扣不变。）</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供应商在调整油价之前，应将调整油价通知提供给医院，调整后价格按政府批文日期执行。</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460" w:hRule="atLeast"/>
        </w:trPr>
        <w:tc>
          <w:tcPr>
            <w:tcW w:w="611"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color w:val="000000"/>
                <w:szCs w:val="21"/>
                <w:highlight w:val="none"/>
                <w:lang w:val="en-US" w:eastAsia="zh-CN"/>
              </w:rPr>
            </w:pPr>
            <w:r>
              <w:rPr>
                <w:rFonts w:hint="eastAsia" w:ascii="仿宋" w:hAnsi="仿宋" w:eastAsia="仿宋" w:cs="仿宋"/>
                <w:b/>
                <w:bCs/>
                <w:color w:val="000000"/>
                <w:szCs w:val="21"/>
                <w:highlight w:val="none"/>
                <w:lang w:val="en-US" w:eastAsia="zh-CN"/>
              </w:rPr>
              <w:t>★结算方式：</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1.签订合同后，采购人须向供应商指定账户支付3万元的保证金。医院公务车辆到供应商实行记账加油方式，每月结算一次，定点加油服务结算金额是按医院公务车辆上月实际发生的加油量进行结算支付。</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转账充值。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3.若采购人对供应商提供的明细表有异议，应在收到明细表五个工作日内通知供应商，双方共同审核交易明细。</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供应商必须按谈判文件中“★”条款要求内容据实填写，不得虚假应答，否则将取消其成交资格。</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10.价格比较。在对最后报价的供应商进行排序前，评审委员会对响应文件的有效性、完整性和响应程度进行最终审查。评审委员会对实质性响应谈判文件要求的供应商进行价格比较。</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11.评定成交标准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评审委员会应当从质量和服务均能满足院内谈判文件实质性响应要求的供应商中，按照最后报价由低到高的顺序推荐成交候选人。</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12.评审委员会</w:t>
      </w:r>
      <w:r>
        <w:rPr>
          <w:rFonts w:hint="eastAsia" w:ascii="仿宋" w:hAnsi="仿宋" w:eastAsia="仿宋" w:cs="仿宋"/>
          <w:color w:val="000000" w:themeColor="text1"/>
          <w:sz w:val="24"/>
          <w:szCs w:val="24"/>
          <w:highlight w:val="none"/>
          <w14:textFill>
            <w14:solidFill>
              <w14:schemeClr w14:val="tx1"/>
            </w14:solidFill>
          </w14:textFill>
        </w:rPr>
        <w:t>对响应文件中的报价出现前后不一致的，按照下列规定修正：</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响应文件中</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内容与响应文件中相应内容不一致的，以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大写金额和小写金额不一致的，以大写金额为准；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单价金额小数点或者百分比有明显错位的，以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的总价为准，并修改单价；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总价金额与按单价汇总金额不一致的，以单价金额计算结果为准。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书面确认后产生约束力，</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不确认的，其响应无效。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评审报告应当由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全体人员签字认可。</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对需要共同</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评定</w:t>
      </w:r>
      <w:r>
        <w:rPr>
          <w:rFonts w:hint="eastAsia" w:ascii="仿宋" w:hAnsi="仿宋" w:eastAsia="仿宋" w:cs="仿宋"/>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评审报告</w:t>
      </w:r>
      <w:r>
        <w:rPr>
          <w:rFonts w:hint="eastAsia" w:ascii="仿宋" w:hAnsi="仿宋" w:eastAsia="仿宋" w:cs="仿宋"/>
          <w:color w:val="000000" w:themeColor="text1"/>
          <w:sz w:val="24"/>
          <w:szCs w:val="24"/>
          <w:highlight w:val="none"/>
          <w14:textFill>
            <w14:solidFill>
              <w14:schemeClr w14:val="tx1"/>
            </w14:solidFill>
          </w14:textFill>
        </w:rPr>
        <w:t>上签署不同意见并说明理由，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sz w:val="24"/>
          <w:szCs w:val="24"/>
          <w:highlight w:val="none"/>
          <w14:textFill>
            <w14:solidFill>
              <w14:schemeClr w14:val="tx1"/>
            </w14:solidFill>
          </w14:textFill>
        </w:rPr>
        <w:t>拒绝在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报告上签字又不书面说明其不同意见和理由的，视为同意评审报告。</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推荐</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候选人名单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审委员会从推荐的成交候选人中确定排名第一的供应商成交。排名第一的供应商放弃成交或出现法定原因不能成交的，可以确定排名第二的供应商为成交供应商，并以此类推，也可重新采购。拒绝签订采购合同的成交供应商不得参加对该项目重新开展的采购活动。</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发布</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七、质疑与投诉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1、提出质疑的供应商应当是参与所质疑项目采购活动的供应商。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w:t>
      </w:r>
      <w:r>
        <w:rPr>
          <w:rFonts w:hint="eastAsia" w:ascii="仿宋" w:hAnsi="仿宋" w:eastAsia="仿宋" w:cs="仿宋"/>
          <w:color w:val="000000" w:themeColor="text1"/>
          <w:sz w:val="24"/>
          <w:szCs w:val="24"/>
          <w:highlight w:val="none"/>
          <w:lang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、采购过程、中标或者成交结果使自己的权益受到损害的，可以在知道或者应知其权益受到损害之日起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向采购人提出质疑。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八、合同的订立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采购人与成交人自成交通知书发出之日起三十日内，按谈判文件要求和成交人响应文件承诺签订采购合同，但不得超出谈判文件和成交人响应文件的范围、也不得再行订立背离合同实质性内容的其他协议。</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rPr>
          <w:rFonts w:hint="eastAsia"/>
        </w:rPr>
      </w:pPr>
    </w:p>
    <w:p>
      <w:pPr>
        <w:pStyle w:val="26"/>
        <w:rPr>
          <w:rFonts w:hint="eastAsia"/>
        </w:rPr>
      </w:pPr>
    </w:p>
    <w:p>
      <w:pPr>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四</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合同参考文本</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4"/>
        <w:rPr>
          <w:rFonts w:hint="eastAsia" w:ascii="仿宋" w:hAnsi="仿宋" w:eastAsia="仿宋" w:cs="仿宋"/>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19"/>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6"/>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根据《中华人民共和国民法典》及中山大学孙逸仙纪念医院公务车辆定点加油服务项目的采购结果和谈判文件的要求，经双方协商，本着平等互利和诚实信用的原则，</w:t>
      </w:r>
      <w:r>
        <w:rPr>
          <w:rFonts w:hint="eastAsia" w:ascii="仿宋" w:hAnsi="仿宋" w:eastAsia="仿宋" w:cs="仿宋"/>
          <w:color w:val="auto"/>
          <w:kern w:val="28"/>
          <w:szCs w:val="21"/>
          <w:highlight w:val="none"/>
        </w:rPr>
        <w:t>一致同意签订本合同如下。</w:t>
      </w:r>
    </w:p>
    <w:p>
      <w:pPr>
        <w:keepNext w:val="0"/>
        <w:keepLines w:val="0"/>
        <w:pageBreakBefore w:val="0"/>
        <w:widowControl w:val="0"/>
        <w:tabs>
          <w:tab w:val="left" w:pos="630"/>
          <w:tab w:val="left" w:pos="960"/>
        </w:tabs>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一、采购服务标的、数量 </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服务内容：中山大学孙逸仙纪念医院</w:t>
      </w:r>
      <w:r>
        <w:rPr>
          <w:rFonts w:hint="eastAsia" w:ascii="仿宋" w:hAnsi="仿宋" w:eastAsia="仿宋" w:cs="仿宋"/>
          <w:b/>
          <w:bCs/>
          <w:color w:val="auto"/>
          <w:szCs w:val="21"/>
          <w:highlight w:val="yellow"/>
          <w:u w:val="single"/>
          <w:lang w:val="en-US" w:eastAsia="zh-CN"/>
        </w:rPr>
        <w:t xml:space="preserve"> 北院区/南院区 </w:t>
      </w:r>
      <w:r>
        <w:rPr>
          <w:rFonts w:hint="eastAsia" w:ascii="仿宋" w:hAnsi="仿宋" w:eastAsia="仿宋" w:cs="仿宋"/>
          <w:color w:val="auto"/>
          <w:szCs w:val="21"/>
          <w:highlight w:val="none"/>
        </w:rPr>
        <w:t>公务车辆定点加油服务</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服务期限：合同</w:t>
      </w:r>
      <w:r>
        <w:rPr>
          <w:rFonts w:hint="eastAsia" w:ascii="仿宋" w:hAnsi="仿宋" w:eastAsia="仿宋" w:cs="仿宋"/>
          <w:color w:val="auto"/>
          <w:szCs w:val="21"/>
          <w:highlight w:val="none"/>
          <w:lang w:val="en-US" w:eastAsia="zh-CN"/>
        </w:rPr>
        <w:t>生效</w:t>
      </w:r>
      <w:r>
        <w:rPr>
          <w:rFonts w:hint="eastAsia" w:ascii="仿宋" w:hAnsi="仿宋" w:eastAsia="仿宋" w:cs="仿宋"/>
          <w:color w:val="auto"/>
          <w:szCs w:val="21"/>
          <w:highlight w:val="none"/>
        </w:rPr>
        <w:t>之日起2</w:t>
      </w:r>
      <w:r>
        <w:rPr>
          <w:rFonts w:hint="eastAsia" w:ascii="仿宋" w:hAnsi="仿宋" w:eastAsia="仿宋" w:cs="仿宋"/>
          <w:color w:val="auto"/>
          <w:szCs w:val="21"/>
          <w:highlight w:val="none"/>
          <w:lang w:val="en-US" w:eastAsia="zh-CN"/>
        </w:rPr>
        <w:t>年或支付达到35万元为止</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3.服务范围：</w:t>
      </w:r>
      <w:r>
        <w:rPr>
          <w:rFonts w:hint="eastAsia" w:ascii="仿宋" w:hAnsi="仿宋" w:eastAsia="仿宋" w:cs="仿宋"/>
          <w:color w:val="auto"/>
          <w:szCs w:val="21"/>
          <w:highlight w:val="none"/>
        </w:rPr>
        <w:t>中山大学孙逸仙纪念医院</w:t>
      </w:r>
      <w:r>
        <w:rPr>
          <w:rFonts w:hint="eastAsia" w:ascii="仿宋" w:hAnsi="仿宋" w:eastAsia="仿宋" w:cs="仿宋"/>
          <w:color w:val="auto"/>
          <w:szCs w:val="21"/>
          <w:highlight w:val="none"/>
          <w:lang w:val="en-US" w:eastAsia="zh-CN"/>
        </w:rPr>
        <w:t>所有车辆及合同期内新增的车辆</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二、合同金额</w:t>
      </w:r>
    </w:p>
    <w:p>
      <w:pPr>
        <w:pStyle w:val="11"/>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合同金额为（大写）：_________________元（￥___________元）人民币。具体以实际产生的费用结算，详见附件报价清单。</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三、服务要求</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所提供的燃油油品质量必须达到国家相关标准及要求，保证油品来源渠道合法合规，严禁提供假冒伪劣、过期变质物资。如经第三方检测机构认定因油质问题致使</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车辆部件损坏的，除鉴定费用由</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rPr>
        <w:t>支付外，</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rPr>
        <w:t>还须无条件赔偿医院所受损失，同时</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rPr>
        <w:t>有权单方终止采购合同。</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有权对</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所供应油品不定期不限次抽检。若经相关部门鉴定确立存在问题时（以国家或者地方政府指定检测部门抽检油站油品检验结果为基准），鉴定费用由</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支付，并由</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承担责任，赔偿损失。</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加油站应在距离医院3公里直径范围内，具备给中型客车加油的场地。</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lang w:eastAsia="zh-CN"/>
        </w:rPr>
        <w:t>须保证给</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公务车辆足量加油。</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lang w:eastAsia="zh-CN"/>
        </w:rPr>
        <w:t>加油设备必须通过质量技术监督局计量部门监测，保证加油机油量符合国家标准。如</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对加油足量情况有疑问，</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有权向市场监督部门反馈。如情况属实，</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有权提前终止合同。</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在工作过程中接触到</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的任何资料（车辆号牌、书面或电子文档），负有为</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保密的责任，未经</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书面同意，</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不得以任何形式向第三方提供或透露。属电子文档的应从电脑存储设备上永久清除。</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按照</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提供的车辆资料及要求办理加油卡，加油卡实行一车一卡，签订合同之日起3个工作日内根据</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提供的车牌号码办理加油卡，所有加油卡设置密码、限制油品、限车牌，</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应配合</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做好车辆加油监督管理。当</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出现加油卡丢失或损坏时，</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负责更换新的加油卡，并将丢失或损坏的加油卡剩余金额转入更换后的新卡。</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7.加油卡可以实现资料变更、查询加油信息及资金划转记录等功能。有新增车辆需要增加加油卡数量的，需持</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车辆行驶证复印件、</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书面通知方可办理。</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8.加油时，</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rPr>
        <w:t>加油人员应确认加油卡信息与车号一致，方可加油；否则，不予加油。严禁卡号与车号不符加油、持卡给桶等其他容器加油、持卡提现金或购买其他物品等违规违纪问题。如发生违规违纪问题，</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有权责令其整改，对拒不整改或拖延整改的，</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将根据情况除有权决定单方解除合同，取消其采购定点单位资格外，</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还应赔偿由此给</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造成的损失。</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提供的油品数量必须保证每天都能满足</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的需求，特别是油品紧缺时也要力争保证</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每天的正常需要（在同等条件下优先提供加油服务)。</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四、付款方式</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乙方须提供加油站挂牌零售价的</w:t>
      </w:r>
      <w:r>
        <w:rPr>
          <w:rFonts w:hint="eastAsia" w:ascii="仿宋" w:hAnsi="仿宋" w:eastAsia="仿宋" w:cs="仿宋"/>
          <w:color w:val="auto"/>
          <w:szCs w:val="21"/>
          <w:highlight w:val="none"/>
          <w:lang w:val="en-US" w:eastAsia="zh-CN"/>
        </w:rPr>
        <w:t>优惠</w:t>
      </w:r>
      <w:r>
        <w:rPr>
          <w:rFonts w:hint="eastAsia" w:ascii="仿宋" w:hAnsi="仿宋" w:eastAsia="仿宋" w:cs="仿宋"/>
          <w:color w:val="auto"/>
          <w:szCs w:val="21"/>
          <w:highlight w:val="none"/>
        </w:rPr>
        <w:t>折扣率报价。即每次</w:t>
      </w:r>
      <w:r>
        <w:rPr>
          <w:rFonts w:hint="eastAsia" w:ascii="仿宋" w:hAnsi="仿宋" w:eastAsia="仿宋" w:cs="仿宋"/>
          <w:color w:val="auto"/>
          <w:szCs w:val="21"/>
          <w:highlight w:val="none"/>
          <w:lang w:val="en-US" w:eastAsia="zh-CN"/>
        </w:rPr>
        <w:t>加油</w:t>
      </w:r>
      <w:r>
        <w:rPr>
          <w:rFonts w:hint="eastAsia" w:ascii="仿宋" w:hAnsi="仿宋" w:eastAsia="仿宋" w:cs="仿宋"/>
          <w:color w:val="auto"/>
          <w:szCs w:val="21"/>
          <w:highlight w:val="none"/>
        </w:rPr>
        <w:t>消费的实际支付金额=车辆加油油品当日挂牌价格*</w:t>
      </w:r>
      <w:r>
        <w:rPr>
          <w:rFonts w:hint="eastAsia" w:ascii="仿宋" w:hAnsi="仿宋" w:eastAsia="仿宋" w:cs="仿宋"/>
          <w:color w:val="auto"/>
          <w:szCs w:val="21"/>
          <w:highlight w:val="none"/>
          <w:lang w:val="en-US" w:eastAsia="zh-CN"/>
        </w:rPr>
        <w:t>优惠</w:t>
      </w:r>
      <w:r>
        <w:rPr>
          <w:rFonts w:hint="eastAsia" w:ascii="仿宋" w:hAnsi="仿宋" w:eastAsia="仿宋" w:cs="仿宋"/>
          <w:color w:val="auto"/>
          <w:szCs w:val="21"/>
          <w:highlight w:val="none"/>
        </w:rPr>
        <w:t>折扣率（优惠活动期间享受优惠叠加）。</w:t>
      </w:r>
      <w:r>
        <w:rPr>
          <w:rFonts w:hint="eastAsia" w:ascii="仿宋" w:hAnsi="仿宋" w:eastAsia="仿宋" w:cs="仿宋"/>
          <w:color w:val="auto"/>
          <w:szCs w:val="21"/>
          <w:highlight w:val="none"/>
          <w:lang w:val="en-US" w:eastAsia="zh-CN"/>
        </w:rPr>
        <w:t>优惠</w:t>
      </w:r>
      <w:r>
        <w:rPr>
          <w:rFonts w:hint="eastAsia" w:ascii="仿宋" w:hAnsi="仿宋" w:eastAsia="仿宋" w:cs="仿宋"/>
          <w:color w:val="auto"/>
          <w:szCs w:val="21"/>
          <w:highlight w:val="none"/>
        </w:rPr>
        <w:t>折扣率为固定且唯一的报价，双方签订合同后，不得以任何原因进行更改，否则视为违约并承担相应责任。如遇国家价格调整，在价格调整基础上折扣不变。</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2.签订合同后，</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须向</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指定账户支付3万元的保证金。</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公务车辆到</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实行记账加油方式，每月结算一次，定点加油服务结算金额是按</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公务车辆上月实际发生的加油量进行结算支付。</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负责提供</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上月实际发生的油料情况明细表（即：每台车辆的加油明细及汇总金额），经</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审核确认后，</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根据</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上月油款情况开具正规发票。</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在收到</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的正规发票后30日内，以转账充值形式付清结算周期所发生的油款。</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.若</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对</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提供的明细表有异议，应在收到明细表五个工作日内通知</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，双方共同审核交易明细。</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五、违约责任与赔偿损失</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乙方有下列行为，甲方有权单方面解除合同并要求乙方承担赔偿责任</w:t>
      </w:r>
      <w:r>
        <w:rPr>
          <w:rFonts w:hint="eastAsia" w:ascii="仿宋" w:hAnsi="仿宋" w:eastAsia="仿宋" w:cs="仿宋"/>
          <w:color w:val="auto"/>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lang w:val="en-US" w:eastAsia="zh-CN"/>
        </w:rPr>
        <w:t>1.</w:t>
      </w:r>
      <w:r>
        <w:rPr>
          <w:rFonts w:hint="eastAsia" w:ascii="仿宋" w:hAnsi="仿宋" w:eastAsia="仿宋" w:cs="仿宋"/>
          <w:b w:val="0"/>
          <w:bCs/>
          <w:color w:val="auto"/>
          <w:szCs w:val="21"/>
          <w:highlight w:val="none"/>
        </w:rPr>
        <w:t>乙方未按本合同的服务承诺提供服务</w:t>
      </w:r>
      <w:r>
        <w:rPr>
          <w:rFonts w:hint="eastAsia" w:ascii="仿宋" w:hAnsi="仿宋" w:eastAsia="仿宋" w:cs="仿宋"/>
          <w:b w:val="0"/>
          <w:bCs/>
          <w:color w:val="auto"/>
          <w:szCs w:val="21"/>
          <w:highlight w:val="none"/>
          <w:lang w:eastAsia="zh-CN"/>
        </w:rPr>
        <w:t>，</w:t>
      </w:r>
      <w:r>
        <w:rPr>
          <w:rFonts w:hint="eastAsia" w:ascii="仿宋" w:hAnsi="仿宋" w:eastAsia="仿宋" w:cs="仿宋"/>
          <w:b w:val="0"/>
          <w:bCs/>
          <w:color w:val="auto"/>
          <w:szCs w:val="21"/>
          <w:highlight w:val="none"/>
        </w:rPr>
        <w:t>本合同第</w:t>
      </w:r>
      <w:r>
        <w:rPr>
          <w:rFonts w:hint="eastAsia" w:ascii="仿宋" w:hAnsi="仿宋" w:eastAsia="仿宋" w:cs="仿宋"/>
          <w:b w:val="0"/>
          <w:bCs/>
          <w:color w:val="auto"/>
          <w:szCs w:val="21"/>
          <w:highlight w:val="none"/>
          <w:lang w:val="en-US" w:eastAsia="zh-CN"/>
        </w:rPr>
        <w:t>三</w:t>
      </w:r>
      <w:r>
        <w:rPr>
          <w:rFonts w:hint="eastAsia" w:ascii="仿宋" w:hAnsi="仿宋" w:eastAsia="仿宋" w:cs="仿宋"/>
          <w:b w:val="0"/>
          <w:bCs/>
          <w:color w:val="auto"/>
          <w:szCs w:val="21"/>
          <w:highlight w:val="none"/>
        </w:rPr>
        <w:t>条第</w:t>
      </w:r>
      <w:r>
        <w:rPr>
          <w:rFonts w:hint="eastAsia" w:ascii="仿宋" w:hAnsi="仿宋" w:eastAsia="仿宋" w:cs="仿宋"/>
          <w:b w:val="0"/>
          <w:bCs/>
          <w:color w:val="auto"/>
          <w:szCs w:val="21"/>
          <w:highlight w:val="none"/>
          <w:lang w:val="en-US" w:eastAsia="zh-CN"/>
        </w:rPr>
        <w:t>9</w:t>
      </w:r>
      <w:r>
        <w:rPr>
          <w:rFonts w:hint="eastAsia" w:ascii="仿宋" w:hAnsi="仿宋" w:eastAsia="仿宋" w:cs="仿宋"/>
          <w:b w:val="0"/>
          <w:bCs/>
          <w:color w:val="auto"/>
          <w:szCs w:val="21"/>
          <w:highlight w:val="none"/>
        </w:rPr>
        <w:t>条款（乙方有权限量或暂停供油，但必须提前通知甲方）情况除外</w:t>
      </w:r>
      <w:r>
        <w:rPr>
          <w:rFonts w:hint="eastAsia" w:ascii="仿宋" w:hAnsi="仿宋" w:eastAsia="仿宋" w:cs="仿宋"/>
          <w:b w:val="0"/>
          <w:b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val="en-US" w:eastAsia="zh-CN"/>
        </w:rPr>
        <w:t>将</w:t>
      </w:r>
      <w:r>
        <w:rPr>
          <w:rFonts w:hint="eastAsia" w:ascii="仿宋" w:hAnsi="仿宋" w:eastAsia="仿宋" w:cs="仿宋"/>
          <w:color w:val="auto"/>
          <w:szCs w:val="21"/>
          <w:highlight w:val="none"/>
        </w:rPr>
        <w:t>部分或全部转让其应履行的合同项下的义务；</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3.如发生卡号与车号不符加油、持卡给桶等其他容器加油、持卡提现金或购买其他物品等违规违纪问题，且当甲方责令乙方整改后，仍然对拒不整改或拖延整改的；</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b w:val="0"/>
          <w:bCs/>
          <w:color w:val="auto"/>
          <w:szCs w:val="21"/>
          <w:highlight w:val="none"/>
          <w:lang w:eastAsia="zh-CN"/>
        </w:rPr>
      </w:pPr>
      <w:r>
        <w:rPr>
          <w:rFonts w:hint="eastAsia" w:ascii="仿宋" w:hAnsi="仿宋" w:eastAsia="仿宋" w:cs="仿宋"/>
          <w:b w:val="0"/>
          <w:bCs w:val="0"/>
          <w:color w:val="auto"/>
          <w:szCs w:val="21"/>
          <w:highlight w:val="none"/>
          <w:lang w:val="en-US" w:eastAsia="zh-CN"/>
        </w:rPr>
        <w:t>4.乙方</w:t>
      </w:r>
      <w:r>
        <w:rPr>
          <w:rFonts w:hint="eastAsia" w:ascii="仿宋" w:hAnsi="仿宋" w:eastAsia="仿宋" w:cs="仿宋"/>
          <w:b w:val="0"/>
          <w:bCs/>
          <w:color w:val="auto"/>
          <w:szCs w:val="21"/>
          <w:highlight w:val="none"/>
        </w:rPr>
        <w:t>因油质问题，致使</w:t>
      </w:r>
      <w:r>
        <w:rPr>
          <w:rFonts w:hint="eastAsia" w:ascii="仿宋" w:hAnsi="仿宋" w:eastAsia="仿宋" w:cs="仿宋"/>
          <w:b w:val="0"/>
          <w:bCs/>
          <w:color w:val="auto"/>
          <w:szCs w:val="21"/>
          <w:highlight w:val="none"/>
          <w:lang w:val="en-US" w:eastAsia="zh-CN"/>
        </w:rPr>
        <w:t>甲方</w:t>
      </w:r>
      <w:r>
        <w:rPr>
          <w:rFonts w:hint="eastAsia" w:ascii="仿宋" w:hAnsi="仿宋" w:eastAsia="仿宋" w:cs="仿宋"/>
          <w:b w:val="0"/>
          <w:bCs/>
          <w:color w:val="auto"/>
          <w:szCs w:val="21"/>
          <w:highlight w:val="none"/>
        </w:rPr>
        <w:t>车辆部件损坏的</w:t>
      </w:r>
      <w:r>
        <w:rPr>
          <w:rFonts w:hint="eastAsia" w:ascii="仿宋" w:hAnsi="仿宋" w:eastAsia="仿宋" w:cs="仿宋"/>
          <w:b w:val="0"/>
          <w:b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b w:val="0"/>
          <w:bCs w:val="0"/>
          <w:color w:val="auto"/>
          <w:szCs w:val="21"/>
          <w:highlight w:val="none"/>
          <w:lang w:eastAsia="zh-CN"/>
        </w:rPr>
      </w:pPr>
      <w:r>
        <w:rPr>
          <w:rFonts w:hint="eastAsia" w:ascii="仿宋" w:hAnsi="仿宋" w:eastAsia="仿宋" w:cs="仿宋"/>
          <w:b w:val="0"/>
          <w:bCs w:val="0"/>
          <w:color w:val="auto"/>
          <w:szCs w:val="21"/>
          <w:highlight w:val="none"/>
          <w:lang w:val="en-US" w:eastAsia="zh-CN"/>
        </w:rPr>
        <w:t>5.乙方未为甲方公务车辆提供足量加油服务，且经</w:t>
      </w:r>
      <w:r>
        <w:rPr>
          <w:rFonts w:hint="eastAsia" w:ascii="仿宋" w:hAnsi="仿宋" w:eastAsia="仿宋" w:cs="仿宋"/>
          <w:b w:val="0"/>
          <w:bCs w:val="0"/>
          <w:color w:val="auto"/>
          <w:szCs w:val="21"/>
          <w:highlight w:val="none"/>
        </w:rPr>
        <w:t>须市场监督部门</w:t>
      </w:r>
      <w:r>
        <w:rPr>
          <w:rFonts w:hint="eastAsia" w:ascii="仿宋" w:hAnsi="仿宋" w:eastAsia="仿宋" w:cs="仿宋"/>
          <w:b w:val="0"/>
          <w:bCs w:val="0"/>
          <w:color w:val="auto"/>
          <w:szCs w:val="21"/>
          <w:highlight w:val="none"/>
          <w:lang w:val="en-US" w:eastAsia="zh-CN"/>
        </w:rPr>
        <w:t>鉴定情况属实的</w:t>
      </w:r>
      <w:r>
        <w:rPr>
          <w:rFonts w:hint="eastAsia" w:ascii="仿宋" w:hAnsi="仿宋" w:eastAsia="仿宋" w:cs="仿宋"/>
          <w:b w:val="0"/>
          <w:bCs w:val="0"/>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b w:val="0"/>
          <w:bCs w:val="0"/>
          <w:color w:val="auto"/>
          <w:szCs w:val="21"/>
          <w:highlight w:val="none"/>
          <w:lang w:val="en-US" w:eastAsia="zh-CN"/>
        </w:rPr>
        <w:t>乙方</w:t>
      </w:r>
      <w:r>
        <w:rPr>
          <w:rFonts w:hint="eastAsia" w:ascii="仿宋" w:hAnsi="仿宋" w:eastAsia="仿宋" w:cs="仿宋"/>
          <w:color w:val="auto"/>
          <w:szCs w:val="21"/>
          <w:highlight w:val="none"/>
        </w:rPr>
        <w:t>以其他方式损害</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利益或者对</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声誉造成不良影响的</w:t>
      </w:r>
      <w:r>
        <w:rPr>
          <w:rFonts w:hint="eastAsia" w:ascii="仿宋" w:hAnsi="仿宋" w:eastAsia="仿宋" w:cs="仿宋"/>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7.</w:t>
      </w:r>
      <w:r>
        <w:rPr>
          <w:rFonts w:hint="eastAsia" w:ascii="仿宋" w:hAnsi="仿宋" w:eastAsia="仿宋" w:cs="仿宋"/>
          <w:bCs/>
          <w:color w:val="auto"/>
          <w:szCs w:val="21"/>
          <w:highlight w:val="none"/>
        </w:rPr>
        <w:t>其它违约责任按《中华人民共和国民典法》处理。</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六、争议的解决</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签约双方在履约中发生争执和分歧，双方应通过友好协商解决，若经协商不能达成协议时，则向甲方所在地人民法院提起诉讼。受理期间，双方应继续执行合同其余部分。</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七、不可抗力 </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八、其它</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.本合同一式   份，具有同等法律效力，甲方执3份，乙方执   份。合同经双方法人代表或授权代表签字单位盖章后生效。本合同未尽事宜，由双方协商处理。</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本合同所有附件、谈判文件、响应文件、成交通知书均为合同的有效组成部分，与本合同具有同等法律效力。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val="en-US" w:eastAsia="zh-CN"/>
        </w:rPr>
        <w:t>3.</w:t>
      </w:r>
      <w:r>
        <w:rPr>
          <w:rFonts w:hint="eastAsia" w:ascii="仿宋" w:hAnsi="仿宋" w:eastAsia="仿宋" w:cs="仿宋"/>
          <w:color w:val="auto"/>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 xml:space="preserve">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甲方：中山大学孙逸仙纪念医院             乙方: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地址：广州市越秀区沿江西路107号         地址：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电话：                                   电话：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邮政编码：510120                         邮政编码：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盖章：                                   盖章：</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日期：                                   日期：</w:t>
      </w: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附件：</w:t>
      </w:r>
    </w:p>
    <w:p>
      <w:pPr>
        <w:pStyle w:val="25"/>
        <w:jc w:val="center"/>
        <w:rPr>
          <w:rFonts w:hint="default"/>
          <w:b/>
          <w:bCs/>
          <w:sz w:val="24"/>
          <w:szCs w:val="24"/>
          <w:lang w:val="en-US" w:eastAsia="zh-CN"/>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报价清单</w:t>
      </w:r>
    </w:p>
    <w:tbl>
      <w:tblPr>
        <w:tblStyle w:val="19"/>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366"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北院区（包组1）</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kern w:val="28"/>
                <w:sz w:val="24"/>
                <w:szCs w:val="24"/>
              </w:rPr>
              <w:t>95#汽油</w:t>
            </w:r>
          </w:p>
        </w:tc>
        <w:tc>
          <w:tcPr>
            <w:tcW w:w="3283"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pPr>
        <w:pStyle w:val="25"/>
        <w:jc w:val="center"/>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或</w:t>
      </w:r>
    </w:p>
    <w:tbl>
      <w:tblPr>
        <w:tblStyle w:val="19"/>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南院区（包组2）</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kern w:val="28"/>
                <w:sz w:val="24"/>
                <w:szCs w:val="24"/>
              </w:rPr>
              <w:t>95#汽油</w:t>
            </w:r>
          </w:p>
        </w:tc>
        <w:tc>
          <w:tcPr>
            <w:tcW w:w="32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3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kern w:val="28"/>
                <w:sz w:val="24"/>
                <w:szCs w:val="24"/>
              </w:rPr>
              <w:t>0#柴油国VI</w:t>
            </w:r>
          </w:p>
        </w:tc>
        <w:tc>
          <w:tcPr>
            <w:tcW w:w="3283"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pPr>
        <w:pStyle w:val="25"/>
        <w:rPr>
          <w:rFonts w:hint="eastAsia" w:ascii="微软雅黑" w:hAnsi="微软雅黑" w:eastAsia="微软雅黑" w:cs="微软雅黑"/>
          <w:color w:val="000000" w:themeColor="text1"/>
          <w:highlight w:val="none"/>
          <w14:textFill>
            <w14:solidFill>
              <w14:schemeClr w14:val="tx1"/>
            </w14:solidFill>
          </w14:textFill>
        </w:rPr>
      </w:pPr>
    </w:p>
    <w:p>
      <w:pPr>
        <w:pStyle w:val="3"/>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3"/>
        <w:jc w:val="both"/>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响应文件编制要求</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6"/>
        <w:rPr>
          <w:rFonts w:hint="eastAsia"/>
          <w:color w:val="FF0000"/>
          <w:highlight w:val="none"/>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spacing w:line="360" w:lineRule="auto"/>
        <w:ind w:left="0" w:leftChars="0" w:firstLine="0" w:firstLineChars="0"/>
        <w:jc w:val="cente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pPr>
      <w: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（本提示内容非</w:t>
      </w:r>
      <w:r>
        <w:rPr>
          <w:rFonts w:hint="eastAsia" w:ascii="黑体" w:hAnsi="黑体" w:eastAsia="黑体" w:cs="黑体"/>
          <w:color w:val="000000" w:themeColor="text1"/>
          <w:sz w:val="28"/>
          <w:szCs w:val="28"/>
          <w:highlight w:val="none"/>
          <w:lang w:eastAsia="zh-CN"/>
          <w14:textFill>
            <w14:solidFill>
              <w14:schemeClr w14:val="tx1"/>
            </w14:solidFill>
          </w14:textFill>
        </w:rPr>
        <w:t>谈判文件</w:t>
      </w:r>
      <w:r>
        <w:rPr>
          <w:rFonts w:hint="eastAsia" w:ascii="黑体" w:hAnsi="黑体" w:eastAsia="黑体" w:cs="黑体"/>
          <w:color w:val="000000" w:themeColor="text1"/>
          <w:sz w:val="28"/>
          <w:szCs w:val="28"/>
          <w:highlight w:val="none"/>
          <w:lang w:val="en-US" w:eastAsia="zh-CN"/>
          <w14:textFill>
            <w14:solidFill>
              <w14:schemeClr w14:val="tx1"/>
            </w14:solidFill>
          </w14:textFill>
        </w:rPr>
        <w:t>的组成部分，仅为善意提醒。如有不一致，以</w:t>
      </w:r>
      <w:r>
        <w:rPr>
          <w:rFonts w:hint="eastAsia" w:ascii="黑体" w:hAnsi="黑体" w:eastAsia="黑体" w:cs="黑体"/>
          <w:color w:val="000000" w:themeColor="text1"/>
          <w:sz w:val="28"/>
          <w:szCs w:val="28"/>
          <w:highlight w:val="none"/>
          <w:lang w:eastAsia="zh-CN"/>
          <w14:textFill>
            <w14:solidFill>
              <w14:schemeClr w14:val="tx1"/>
            </w14:solidFill>
          </w14:textFill>
        </w:rPr>
        <w:t>谈判文件</w:t>
      </w:r>
      <w:r>
        <w:rPr>
          <w:rFonts w:hint="eastAsia" w:ascii="黑体" w:hAnsi="黑体" w:eastAsia="黑体" w:cs="黑体"/>
          <w:color w:val="000000" w:themeColor="text1"/>
          <w:sz w:val="28"/>
          <w:szCs w:val="28"/>
          <w:highlight w:val="none"/>
          <w:lang w:val="en-US" w:eastAsia="zh-CN"/>
          <w14:textFill>
            <w14:solidFill>
              <w14:schemeClr w14:val="tx1"/>
            </w14:solidFill>
          </w14:textFill>
        </w:rPr>
        <w:t>为准。）</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人应仔细阅读</w:t>
      </w:r>
      <w:r>
        <w:rPr>
          <w:rFonts w:hint="eastAsia" w:ascii="黑体" w:hAnsi="黑体" w:eastAsia="黑体" w:cs="黑体"/>
          <w:color w:val="000000" w:themeColor="text1"/>
          <w:sz w:val="28"/>
          <w:szCs w:val="28"/>
          <w:highlight w:val="none"/>
          <w:lang w:val="en-US" w:eastAsia="zh-CN"/>
          <w14:textFill>
            <w14:solidFill>
              <w14:schemeClr w14:val="tx1"/>
            </w14:solidFill>
          </w14:textFill>
        </w:rPr>
        <w:t>谈判文件</w:t>
      </w:r>
      <w:r>
        <w:rPr>
          <w:rFonts w:hint="eastAsia" w:ascii="黑体" w:hAnsi="黑体" w:eastAsia="黑体" w:cs="黑体"/>
          <w:color w:val="000000" w:themeColor="text1"/>
          <w:sz w:val="28"/>
          <w:szCs w:val="28"/>
          <w:highlight w:val="none"/>
          <w14:textFill>
            <w14:solidFill>
              <w14:schemeClr w14:val="tx1"/>
            </w14:solidFill>
          </w14:textFill>
        </w:rPr>
        <w:t>中所有的事项、格式、条款和规范等，完整、真实、准确的填写</w:t>
      </w:r>
      <w:r>
        <w:rPr>
          <w:rFonts w:hint="eastAsia" w:ascii="黑体" w:hAnsi="黑体" w:eastAsia="黑体" w:cs="黑体"/>
          <w:color w:val="000000" w:themeColor="text1"/>
          <w:sz w:val="28"/>
          <w:szCs w:val="28"/>
          <w:highlight w:val="none"/>
          <w:lang w:val="en-US" w:eastAsia="zh-CN"/>
          <w14:textFill>
            <w14:solidFill>
              <w14:schemeClr w14:val="tx1"/>
            </w14:solidFill>
          </w14:textFill>
        </w:rPr>
        <w:t>谈判文件</w:t>
      </w:r>
      <w:r>
        <w:rPr>
          <w:rFonts w:hint="eastAsia" w:ascii="黑体" w:hAnsi="黑体" w:eastAsia="黑体" w:cs="黑体"/>
          <w:color w:val="000000" w:themeColor="text1"/>
          <w:sz w:val="28"/>
          <w:szCs w:val="28"/>
          <w:highlight w:val="none"/>
          <w14:textFill>
            <w14:solidFill>
              <w14:schemeClr w14:val="tx1"/>
            </w14:solidFill>
          </w14:textFill>
        </w:rPr>
        <w:t>中规定的所有内容</w:t>
      </w:r>
      <w:r>
        <w:rPr>
          <w:rFonts w:hint="eastAsia" w:ascii="黑体" w:hAnsi="黑体" w:eastAsia="黑体" w:cs="黑体"/>
          <w:color w:val="000000" w:themeColor="text1"/>
          <w:sz w:val="28"/>
          <w:szCs w:val="28"/>
          <w:highlight w:val="none"/>
          <w:lang w:eastAsia="zh-CN"/>
          <w14:textFill>
            <w14:solidFill>
              <w14:schemeClr w14:val="tx1"/>
            </w14:solidFill>
          </w14:textFill>
        </w:rPr>
        <w:t>。</w:t>
      </w:r>
    </w:p>
    <w:p>
      <w:pPr>
        <w:pStyle w:val="26"/>
        <w:numPr>
          <w:ilvl w:val="0"/>
          <w:numId w:val="9"/>
        </w:numPr>
        <w:spacing w:line="360" w:lineRule="auto"/>
        <w:ind w:left="70" w:leftChars="0" w:firstLine="560" w:firstLineChars="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按照</w:t>
      </w:r>
      <w:r>
        <w:rPr>
          <w:rFonts w:hint="eastAsia" w:ascii="黑体" w:hAnsi="黑体" w:eastAsia="黑体" w:cs="黑体"/>
          <w:color w:val="000000" w:themeColor="text1"/>
          <w:sz w:val="28"/>
          <w:szCs w:val="28"/>
          <w:highlight w:val="none"/>
          <w:lang w:val="en-US" w:eastAsia="zh-CN"/>
          <w14:textFill>
            <w14:solidFill>
              <w14:schemeClr w14:val="tx1"/>
            </w14:solidFill>
          </w14:textFill>
        </w:rPr>
        <w:t>谈判文件</w:t>
      </w:r>
      <w:r>
        <w:rPr>
          <w:rFonts w:hint="eastAsia" w:ascii="黑体" w:hAnsi="黑体" w:eastAsia="黑体" w:cs="黑体"/>
          <w:color w:val="000000" w:themeColor="text1"/>
          <w:sz w:val="28"/>
          <w:szCs w:val="28"/>
          <w:highlight w:val="none"/>
          <w14:textFill>
            <w14:solidFill>
              <w14:schemeClr w14:val="tx1"/>
            </w14:solidFill>
          </w14:textFill>
        </w:rPr>
        <w:t>的要求编制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文件，对</w:t>
      </w:r>
      <w:r>
        <w:rPr>
          <w:rFonts w:hint="eastAsia" w:ascii="黑体" w:hAnsi="黑体" w:eastAsia="黑体" w:cs="黑体"/>
          <w:color w:val="000000" w:themeColor="text1"/>
          <w:sz w:val="28"/>
          <w:szCs w:val="28"/>
          <w:highlight w:val="none"/>
          <w:lang w:val="en-US" w:eastAsia="zh-CN"/>
          <w14:textFill>
            <w14:solidFill>
              <w14:schemeClr w14:val="tx1"/>
            </w14:solidFill>
          </w14:textFill>
        </w:rPr>
        <w:t>谈判文件</w:t>
      </w:r>
      <w:r>
        <w:rPr>
          <w:rFonts w:hint="eastAsia" w:ascii="黑体" w:hAnsi="黑体" w:eastAsia="黑体" w:cs="黑体"/>
          <w:color w:val="000000" w:themeColor="text1"/>
          <w:sz w:val="28"/>
          <w:szCs w:val="28"/>
          <w:highlight w:val="none"/>
          <w14:textFill>
            <w14:solidFill>
              <w14:schemeClr w14:val="tx1"/>
            </w14:solidFill>
          </w14:textFill>
        </w:rPr>
        <w:t>提出的实质性要求和条件做出响应。否则，其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将被拒绝。</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凡关于谈判文件的所有响应资料（包含但不限于：承诺函、声明函等各类函件，资质证书等证明资料复印件，项目具体实施方案等)，</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都必须盖上响应人公章</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文件所附的相关资料复印件若模糊不清的，将影响其评审得分。</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人必须对其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文件所提供的全部资料的真实性承担法律责任，</w:t>
      </w:r>
      <w:r>
        <w:rPr>
          <w:rFonts w:hint="eastAsia" w:ascii="黑体" w:hAnsi="黑体" w:eastAsia="黑体" w:cs="黑体"/>
          <w:color w:val="000000" w:themeColor="text1"/>
          <w:sz w:val="28"/>
          <w:szCs w:val="28"/>
          <w:highlight w:val="none"/>
          <w:lang w:val="en-US" w:eastAsia="zh-CN"/>
          <w14:textFill>
            <w14:solidFill>
              <w14:schemeClr w14:val="tx1"/>
            </w14:solidFill>
          </w14:textFill>
        </w:rPr>
        <w:t>且</w:t>
      </w:r>
      <w:r>
        <w:rPr>
          <w:rFonts w:hint="eastAsia" w:ascii="黑体" w:hAnsi="黑体" w:eastAsia="黑体" w:cs="黑体"/>
          <w:color w:val="000000" w:themeColor="text1"/>
          <w:sz w:val="28"/>
          <w:szCs w:val="28"/>
          <w:highlight w:val="none"/>
          <w14:textFill>
            <w14:solidFill>
              <w14:schemeClr w14:val="tx1"/>
            </w14:solidFill>
          </w14:textFill>
        </w:rPr>
        <w:t>无条件接受集中采购机构或采购人及政府采购监管部门等对其中任何资料进行核实的要求。</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因场地有限，</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w:t>
      </w:r>
      <w:r>
        <w:rPr>
          <w:rFonts w:hint="eastAsia" w:ascii="黑体" w:hAnsi="黑体" w:eastAsia="黑体" w:cs="黑体"/>
          <w:color w:val="000000" w:themeColor="text1"/>
          <w:sz w:val="28"/>
          <w:szCs w:val="28"/>
          <w:highlight w:val="none"/>
          <w14:textFill>
            <w14:solidFill>
              <w14:schemeClr w14:val="tx1"/>
            </w14:solidFill>
          </w14:textFill>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right="0" w:rightChars="0"/>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5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52"/>
          <w:szCs w:val="32"/>
          <w:highlight w:val="none"/>
          <w14:textFill>
            <w14:solidFill>
              <w14:schemeClr w14:val="tx1"/>
            </w14:solidFill>
          </w14:textFill>
        </w:rPr>
      </w:pPr>
      <w:r>
        <w:rPr>
          <w:rFonts w:hint="eastAsia" w:ascii="仿宋" w:hAnsi="仿宋" w:eastAsia="仿宋" w:cs="仿宋"/>
          <w:b/>
          <w:color w:val="000000" w:themeColor="text1"/>
          <w:sz w:val="52"/>
          <w:szCs w:val="32"/>
          <w:highlight w:val="none"/>
          <w14:textFill>
            <w14:solidFill>
              <w14:schemeClr w14:val="tx1"/>
            </w14:solidFill>
          </w14:textFill>
        </w:rPr>
        <w:t>中山大学</w:t>
      </w:r>
      <w:r>
        <w:rPr>
          <w:rFonts w:hint="eastAsia" w:ascii="仿宋" w:hAnsi="仿宋" w:eastAsia="仿宋" w:cs="仿宋"/>
          <w:b/>
          <w:color w:val="000000" w:themeColor="text1"/>
          <w:sz w:val="52"/>
          <w:szCs w:val="32"/>
          <w:highlight w:val="none"/>
          <w:lang w:val="en-US" w:eastAsia="zh-CN"/>
          <w14:textFill>
            <w14:solidFill>
              <w14:schemeClr w14:val="tx1"/>
            </w14:solidFill>
          </w14:textFill>
        </w:rPr>
        <w:t>孙逸仙纪念</w:t>
      </w:r>
      <w:r>
        <w:rPr>
          <w:rFonts w:hint="eastAsia" w:ascii="仿宋" w:hAnsi="仿宋" w:eastAsia="仿宋" w:cs="仿宋"/>
          <w:b/>
          <w:color w:val="000000" w:themeColor="text1"/>
          <w:sz w:val="52"/>
          <w:szCs w:val="32"/>
          <w:highlight w:val="none"/>
          <w14:textFill>
            <w14:solidFill>
              <w14:schemeClr w14:val="tx1"/>
            </w14:solidFill>
          </w14:textFill>
        </w:rPr>
        <w:t>医院</w:t>
      </w:r>
    </w:p>
    <w:p>
      <w:pPr>
        <w:spacing w:line="360" w:lineRule="auto"/>
        <w:jc w:val="center"/>
        <w:rPr>
          <w:rFonts w:hint="eastAsia" w:ascii="仿宋" w:hAnsi="仿宋" w:eastAsia="仿宋" w:cs="仿宋"/>
          <w:b/>
          <w:color w:val="000000" w:themeColor="text1"/>
          <w:sz w:val="52"/>
          <w:szCs w:val="32"/>
          <w:highlight w:val="none"/>
          <w14:textFill>
            <w14:solidFill>
              <w14:schemeClr w14:val="tx1"/>
            </w14:solidFill>
          </w14:textFill>
        </w:rPr>
      </w:pPr>
      <w:r>
        <w:rPr>
          <w:rFonts w:hint="eastAsia" w:ascii="仿宋" w:hAnsi="仿宋" w:eastAsia="仿宋" w:cs="仿宋"/>
          <w:b/>
          <w:color w:val="000000" w:themeColor="text1"/>
          <w:sz w:val="52"/>
          <w:szCs w:val="32"/>
          <w:highlight w:val="none"/>
          <w:u w:val="single"/>
          <w14:textFill>
            <w14:solidFill>
              <w14:schemeClr w14:val="tx1"/>
            </w14:solidFill>
          </w14:textFill>
        </w:rPr>
        <w:t xml:space="preserve">             </w:t>
      </w:r>
      <w:r>
        <w:rPr>
          <w:rFonts w:hint="eastAsia" w:ascii="仿宋" w:hAnsi="仿宋" w:eastAsia="仿宋" w:cs="仿宋"/>
          <w:b/>
          <w:color w:val="000000" w:themeColor="text1"/>
          <w:sz w:val="52"/>
          <w:szCs w:val="32"/>
          <w:highlight w:val="none"/>
          <w14:textFill>
            <w14:solidFill>
              <w14:schemeClr w14:val="tx1"/>
            </w14:solidFill>
          </w14:textFill>
        </w:rPr>
        <w:t>项目</w:t>
      </w:r>
    </w:p>
    <w:p>
      <w:pPr>
        <w:spacing w:line="360" w:lineRule="auto"/>
        <w:jc w:val="center"/>
        <w:rPr>
          <w:rFonts w:hint="eastAsia" w:ascii="仿宋" w:hAnsi="仿宋" w:eastAsia="仿宋" w:cs="仿宋"/>
          <w:b/>
          <w:color w:val="000000" w:themeColor="text1"/>
          <w:sz w:val="52"/>
          <w:szCs w:val="32"/>
          <w:highlight w:val="none"/>
          <w14:textFill>
            <w14:solidFill>
              <w14:schemeClr w14:val="tx1"/>
            </w14:solidFill>
          </w14:textFill>
        </w:rPr>
      </w:pPr>
      <w:r>
        <w:rPr>
          <w:rFonts w:hint="eastAsia" w:ascii="仿宋" w:hAnsi="仿宋" w:eastAsia="仿宋" w:cs="仿宋"/>
          <w:b/>
          <w:color w:val="000000" w:themeColor="text1"/>
          <w:sz w:val="52"/>
          <w:szCs w:val="32"/>
          <w:highlight w:val="none"/>
          <w:lang w:val="en-US" w:eastAsia="zh-CN"/>
          <w14:textFill>
            <w14:solidFill>
              <w14:schemeClr w14:val="tx1"/>
            </w14:solidFill>
          </w14:textFill>
        </w:rPr>
        <w:t>响</w:t>
      </w:r>
      <w:r>
        <w:rPr>
          <w:rFonts w:hint="eastAsia" w:ascii="仿宋" w:hAnsi="仿宋" w:eastAsia="仿宋" w:cs="仿宋"/>
          <w:b/>
          <w:color w:val="000000" w:themeColor="text1"/>
          <w:sz w:val="52"/>
          <w:szCs w:val="32"/>
          <w:highlight w:val="none"/>
          <w14:textFill>
            <w14:solidFill>
              <w14:schemeClr w14:val="tx1"/>
            </w14:solidFill>
          </w14:textFill>
        </w:rPr>
        <w:t xml:space="preserve"> </w:t>
      </w:r>
      <w:r>
        <w:rPr>
          <w:rFonts w:hint="eastAsia" w:ascii="仿宋" w:hAnsi="仿宋" w:eastAsia="仿宋" w:cs="仿宋"/>
          <w:b/>
          <w:color w:val="000000" w:themeColor="text1"/>
          <w:sz w:val="52"/>
          <w:szCs w:val="32"/>
          <w:highlight w:val="none"/>
          <w:lang w:val="en-US" w:eastAsia="zh-CN"/>
          <w14:textFill>
            <w14:solidFill>
              <w14:schemeClr w14:val="tx1"/>
            </w14:solidFill>
          </w14:textFill>
        </w:rPr>
        <w:t>应</w:t>
      </w:r>
      <w:r>
        <w:rPr>
          <w:rFonts w:hint="eastAsia" w:ascii="仿宋" w:hAnsi="仿宋" w:eastAsia="仿宋" w:cs="仿宋"/>
          <w:b/>
          <w:color w:val="000000" w:themeColor="text1"/>
          <w:sz w:val="52"/>
          <w:szCs w:val="32"/>
          <w:highlight w:val="none"/>
          <w14:textFill>
            <w14:solidFill>
              <w14:schemeClr w14:val="tx1"/>
            </w14:solidFill>
          </w14:textFill>
        </w:rPr>
        <w:t xml:space="preserve"> </w:t>
      </w:r>
      <w:r>
        <w:rPr>
          <w:rFonts w:hint="eastAsia" w:ascii="仿宋" w:hAnsi="仿宋" w:eastAsia="仿宋" w:cs="仿宋"/>
          <w:b/>
          <w:color w:val="000000" w:themeColor="text1"/>
          <w:sz w:val="52"/>
          <w:szCs w:val="32"/>
          <w:highlight w:val="none"/>
          <w:lang w:val="en-US" w:eastAsia="zh-CN"/>
          <w14:textFill>
            <w14:solidFill>
              <w14:schemeClr w14:val="tx1"/>
            </w14:solidFill>
          </w14:textFill>
        </w:rPr>
        <w:t>文</w:t>
      </w:r>
      <w:r>
        <w:rPr>
          <w:rFonts w:hint="eastAsia" w:ascii="仿宋" w:hAnsi="仿宋" w:eastAsia="仿宋" w:cs="仿宋"/>
          <w:b/>
          <w:color w:val="000000" w:themeColor="text1"/>
          <w:sz w:val="52"/>
          <w:szCs w:val="32"/>
          <w:highlight w:val="none"/>
          <w14:textFill>
            <w14:solidFill>
              <w14:schemeClr w14:val="tx1"/>
            </w14:solidFill>
          </w14:textFill>
        </w:rPr>
        <w:t xml:space="preserve"> </w:t>
      </w:r>
      <w:r>
        <w:rPr>
          <w:rFonts w:hint="eastAsia" w:ascii="仿宋" w:hAnsi="仿宋" w:eastAsia="仿宋" w:cs="仿宋"/>
          <w:b/>
          <w:color w:val="000000" w:themeColor="text1"/>
          <w:sz w:val="52"/>
          <w:szCs w:val="32"/>
          <w:highlight w:val="none"/>
          <w:lang w:val="en-US" w:eastAsia="zh-CN"/>
          <w14:textFill>
            <w14:solidFill>
              <w14:schemeClr w14:val="tx1"/>
            </w14:solidFill>
          </w14:textFill>
        </w:rPr>
        <w:t>件</w:t>
      </w:r>
    </w:p>
    <w:p>
      <w:pPr>
        <w:pStyle w:val="11"/>
        <w:pageBreakBefore w:val="0"/>
        <w:kinsoku/>
        <w:wordWrap/>
        <w:overflowPunct/>
        <w:topLinePunct w:val="0"/>
        <w:bidi w:val="0"/>
        <w:spacing w:line="360" w:lineRule="auto"/>
        <w:ind w:left="0" w:leftChars="0" w:right="0" w:rightChars="0" w:firstLine="0" w:firstLineChars="0"/>
        <w:jc w:val="center"/>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(正本/副本）</w:t>
      </w: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1906" w:firstLineChars="678"/>
        <w:jc w:val="both"/>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公司名称</w:t>
      </w:r>
      <w:r>
        <w:rPr>
          <w:rFonts w:hint="eastAsia" w:ascii="仿宋" w:hAnsi="仿宋" w:eastAsia="仿宋" w:cs="仿宋"/>
          <w:b/>
          <w:color w:val="000000" w:themeColor="text1"/>
          <w:sz w:val="22"/>
          <w:szCs w:val="22"/>
          <w:highlight w:val="none"/>
          <w14:textFill>
            <w14:solidFill>
              <w14:schemeClr w14:val="tx1"/>
            </w14:solidFill>
          </w14:textFill>
        </w:rPr>
        <w:t>（盖章）</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 xml:space="preserve">                           </w:t>
      </w:r>
    </w:p>
    <w:p>
      <w:pPr>
        <w:pStyle w:val="11"/>
        <w:pageBreakBefore w:val="0"/>
        <w:kinsoku/>
        <w:wordWrap/>
        <w:overflowPunct/>
        <w:topLinePunct w:val="0"/>
        <w:bidi w:val="0"/>
        <w:spacing w:line="360" w:lineRule="auto"/>
        <w:ind w:left="0" w:leftChars="0" w:right="0" w:rightChars="0" w:firstLine="1906" w:firstLineChars="678"/>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法定代表人或法定授权代表</w:t>
      </w:r>
      <w:r>
        <w:rPr>
          <w:rFonts w:hint="eastAsia" w:ascii="仿宋" w:hAnsi="仿宋" w:eastAsia="仿宋" w:cs="仿宋"/>
          <w:b/>
          <w:color w:val="000000" w:themeColor="text1"/>
          <w:sz w:val="22"/>
          <w:szCs w:val="22"/>
          <w:highlight w:val="none"/>
          <w14:textFill>
            <w14:solidFill>
              <w14:schemeClr w14:val="tx1"/>
            </w14:solidFill>
          </w14:textFill>
        </w:rPr>
        <w:t>（签字）</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 xml:space="preserve">           </w:t>
      </w:r>
    </w:p>
    <w:p>
      <w:pPr>
        <w:pStyle w:val="11"/>
        <w:pageBreakBefore w:val="0"/>
        <w:kinsoku/>
        <w:wordWrap/>
        <w:overflowPunct/>
        <w:topLinePunct w:val="0"/>
        <w:bidi w:val="0"/>
        <w:spacing w:line="360" w:lineRule="auto"/>
        <w:ind w:left="0" w:leftChars="0" w:right="0" w:rightChars="0" w:firstLine="1906" w:firstLineChars="678"/>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联系方式：</w:t>
      </w:r>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 xml:space="preserve">                                 </w:t>
      </w:r>
    </w:p>
    <w:p>
      <w:pPr>
        <w:pStyle w:val="11"/>
        <w:pageBreakBefore w:val="0"/>
        <w:kinsoku/>
        <w:wordWrap/>
        <w:overflowPunct/>
        <w:topLinePunct w:val="0"/>
        <w:bidi w:val="0"/>
        <w:spacing w:line="360" w:lineRule="auto"/>
        <w:ind w:left="0" w:leftChars="0" w:right="0" w:rightChars="0" w:firstLine="1906" w:firstLineChars="678"/>
        <w:jc w:val="both"/>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日    期：</w:t>
      </w:r>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 xml:space="preserve">                                 </w:t>
      </w:r>
    </w:p>
    <w:p>
      <w:pPr>
        <w:pStyle w:val="4"/>
        <w:pageBreakBefore/>
        <w:jc w:val="center"/>
        <w:rPr>
          <w:rFonts w:ascii="Calibri" w:hAnsi="Calibri" w:eastAsia="宋体" w:cs="宋体"/>
          <w:color w:val="000000" w:themeColor="text1"/>
          <w:sz w:val="24"/>
          <w:highlight w:val="none"/>
          <w14:textFill>
            <w14:solidFill>
              <w14:schemeClr w14:val="tx1"/>
            </w14:solidFill>
          </w14:textFill>
        </w:rPr>
      </w:pPr>
      <w:bookmarkStart w:id="20" w:name="_Toc97049462"/>
      <w:bookmarkStart w:id="21" w:name="_Toc97049463"/>
      <w:r>
        <w:rPr>
          <w:rFonts w:hint="eastAsia" w:ascii="黑体" w:hAnsi="黑体" w:eastAsia="黑体" w:cs="黑体"/>
          <w:color w:val="000000" w:themeColor="text1"/>
          <w:sz w:val="36"/>
          <w:szCs w:val="36"/>
          <w:highlight w:val="none"/>
          <w:lang w:val="en-US" w:eastAsia="zh-CN"/>
          <w14:textFill>
            <w14:solidFill>
              <w14:schemeClr w14:val="tx1"/>
            </w14:solidFill>
          </w14:textFill>
        </w:rPr>
        <w:t>响应</w:t>
      </w:r>
      <w:r>
        <w:rPr>
          <w:rFonts w:hint="eastAsia" w:ascii="黑体" w:hAnsi="黑体" w:eastAsia="黑体" w:cs="黑体"/>
          <w:color w:val="000000" w:themeColor="text1"/>
          <w:sz w:val="36"/>
          <w:szCs w:val="36"/>
          <w:highlight w:val="none"/>
          <w14:textFill>
            <w14:solidFill>
              <w14:schemeClr w14:val="tx1"/>
            </w14:solidFill>
          </w14:textFill>
        </w:rPr>
        <w:t>文件目录</w:t>
      </w:r>
      <w:bookmarkEnd w:id="20"/>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TOC \o "1-3" \h \z \u </w:instrText>
      </w:r>
      <w:r>
        <w:rPr>
          <w:rFonts w:ascii="宋体" w:hAnsi="宋体"/>
          <w:color w:val="000000" w:themeColor="text1"/>
          <w:sz w:val="24"/>
          <w:highlight w:val="none"/>
          <w14:textFill>
            <w14:solidFill>
              <w14:schemeClr w14:val="tx1"/>
            </w14:solidFill>
          </w14:textFill>
        </w:rPr>
        <w:fldChar w:fldCharType="separate"/>
      </w:r>
    </w:p>
    <w:p>
      <w:pPr>
        <w:keepNext w:val="0"/>
        <w:keepLines w:val="0"/>
        <w:widowControl/>
        <w:suppressLineNumbers w:val="0"/>
        <w:jc w:val="left"/>
        <w:rPr>
          <w:rFonts w:hint="eastAsia"/>
          <w:color w:val="000000" w:themeColor="text1"/>
          <w:highlight w:val="none"/>
          <w14:textFill>
            <w14:solidFill>
              <w14:schemeClr w14:val="tx1"/>
            </w14:solidFill>
          </w14:textFill>
        </w:rPr>
      </w:pPr>
    </w:p>
    <w:p>
      <w:pPr>
        <w:shd w:val="clear" w:color="auto" w:fill="FFFFFF"/>
        <w:spacing w:line="360" w:lineRule="auto"/>
        <w:rPr>
          <w:rFonts w:hint="eastAsia" w:ascii="仿宋" w:hAnsi="仿宋" w:eastAsia="仿宋" w:cs="仿宋"/>
          <w:color w:val="auto"/>
          <w:sz w:val="24"/>
          <w:szCs w:val="36"/>
          <w:highlight w:val="none"/>
          <w:lang w:val="en-US"/>
        </w:rPr>
      </w:pPr>
      <w:r>
        <w:rPr>
          <w:rFonts w:hint="eastAsia" w:ascii="仿宋" w:hAnsi="仿宋" w:eastAsia="仿宋" w:cs="仿宋"/>
          <w:color w:val="auto"/>
          <w:sz w:val="24"/>
          <w:szCs w:val="36"/>
          <w:highlight w:val="none"/>
        </w:rPr>
        <w:t>一、</w:t>
      </w:r>
      <w:r>
        <w:rPr>
          <w:rFonts w:hint="eastAsia" w:ascii="仿宋" w:hAnsi="仿宋" w:eastAsia="仿宋" w:cs="仿宋"/>
          <w:color w:val="auto"/>
          <w:sz w:val="24"/>
          <w:szCs w:val="36"/>
          <w:highlight w:val="none"/>
          <w:lang w:val="en-US" w:eastAsia="zh-CN"/>
        </w:rPr>
        <w:t>报价…………………………………………………………………………第（  ）页</w:t>
      </w:r>
    </w:p>
    <w:p>
      <w:pPr>
        <w:pStyle w:val="26"/>
        <w:spacing w:line="360" w:lineRule="auto"/>
        <w:ind w:left="0" w:leftChars="0" w:firstLine="0" w:firstLineChars="0"/>
        <w:rPr>
          <w:rFonts w:hint="eastAsia" w:ascii="仿宋" w:hAnsi="仿宋" w:eastAsia="仿宋" w:cs="仿宋"/>
          <w:color w:val="auto"/>
          <w:sz w:val="24"/>
          <w:szCs w:val="36"/>
          <w:highlight w:val="none"/>
          <w:lang w:val="en-US" w:eastAsia="zh-CN"/>
        </w:rPr>
      </w:pPr>
      <w:r>
        <w:rPr>
          <w:rFonts w:hint="eastAsia" w:ascii="仿宋" w:hAnsi="仿宋" w:eastAsia="仿宋" w:cs="仿宋"/>
          <w:color w:val="auto"/>
          <w:sz w:val="24"/>
          <w:szCs w:val="36"/>
          <w:highlight w:val="none"/>
          <w:lang w:val="en-US" w:eastAsia="zh-CN"/>
        </w:rPr>
        <w:t>（一）首次报价表………………………………………………………………第（  ）页</w:t>
      </w:r>
    </w:p>
    <w:p>
      <w:pPr>
        <w:pStyle w:val="26"/>
        <w:spacing w:line="360" w:lineRule="auto"/>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color w:val="auto"/>
          <w:sz w:val="24"/>
          <w:szCs w:val="36"/>
          <w:highlight w:val="none"/>
          <w:lang w:val="en-US" w:eastAsia="zh-CN"/>
        </w:rPr>
        <w:t>（二）最终报价表………………………………………………………………第（  ）页</w:t>
      </w:r>
    </w:p>
    <w:p>
      <w:pPr>
        <w:shd w:val="clear" w:color="auto" w:fill="FFFFFF"/>
        <w:spacing w:line="360" w:lineRule="auto"/>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二、</w:t>
      </w:r>
      <w:r>
        <w:rPr>
          <w:rFonts w:hint="eastAsia" w:ascii="仿宋" w:hAnsi="仿宋" w:eastAsia="仿宋" w:cs="仿宋"/>
          <w:color w:val="000000" w:themeColor="text1"/>
          <w:szCs w:val="36"/>
          <w:highlight w:val="none"/>
          <w14:textFill>
            <w14:solidFill>
              <w14:schemeClr w14:val="tx1"/>
            </w14:solidFill>
          </w14:textFill>
        </w:rPr>
        <w:fldChar w:fldCharType="end"/>
      </w:r>
      <w:r>
        <w:rPr>
          <w:rFonts w:hint="eastAsia" w:ascii="仿宋" w:hAnsi="仿宋" w:eastAsia="仿宋" w:cs="仿宋"/>
          <w:color w:val="000000" w:themeColor="text1"/>
          <w:sz w:val="24"/>
          <w:szCs w:val="36"/>
          <w:highlight w:val="none"/>
          <w14:textFill>
            <w14:solidFill>
              <w14:schemeClr w14:val="tx1"/>
            </w14:solidFill>
          </w14:textFill>
        </w:rPr>
        <w:t>资格</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pPr>
        <w:pStyle w:val="26"/>
        <w:spacing w:line="360" w:lineRule="auto"/>
        <w:ind w:left="0" w:leftChars="0" w:firstLine="0" w:firstLineChars="0"/>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（一）资格自查表………………………………………………………………第（  ）页</w:t>
      </w:r>
    </w:p>
    <w:p>
      <w:pPr>
        <w:pStyle w:val="26"/>
        <w:spacing w:line="360" w:lineRule="auto"/>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（二）资格审查证明资料………………………………………………………第（  ）页</w:t>
      </w:r>
    </w:p>
    <w:p>
      <w:pPr>
        <w:shd w:val="clear" w:color="auto" w:fill="FFFFFF"/>
        <w:spacing w:line="360" w:lineRule="auto"/>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三、符合性</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pPr>
        <w:pStyle w:val="26"/>
        <w:spacing w:line="360" w:lineRule="auto"/>
        <w:ind w:left="0" w:leftChars="0" w:firstLine="0" w:firstLineChars="0"/>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（一）符合性自查表……………………………………………………………第（  ）页</w:t>
      </w:r>
    </w:p>
    <w:p>
      <w:pPr>
        <w:pStyle w:val="26"/>
        <w:spacing w:line="360" w:lineRule="auto"/>
        <w:ind w:left="0" w:leftChars="0" w:firstLine="0" w:firstLineChars="0"/>
        <w:rPr>
          <w:rFonts w:hint="eastAsia" w:ascii="仿宋" w:hAnsi="仿宋" w:eastAsia="仿宋" w:cs="仿宋"/>
          <w:color w:val="000000" w:themeColor="text1"/>
          <w:sz w:val="24"/>
          <w:szCs w:val="36"/>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（二）符合性审查证明资料……………………………………………………第（  ）页</w:t>
      </w:r>
    </w:p>
    <w:p>
      <w:pPr>
        <w:shd w:val="clear" w:color="auto" w:fill="FFFFFF"/>
        <w:spacing w:line="360" w:lineRule="auto"/>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四、</w:t>
      </w:r>
      <w:r>
        <w:rPr>
          <w:rFonts w:hint="eastAsia" w:ascii="仿宋" w:hAnsi="仿宋" w:eastAsia="仿宋" w:cs="仿宋"/>
          <w:color w:val="000000" w:themeColor="text1"/>
          <w:sz w:val="24"/>
          <w:szCs w:val="36"/>
          <w:highlight w:val="none"/>
          <w:lang w:val="en-US" w:eastAsia="zh-CN"/>
          <w14:textFill>
            <w14:solidFill>
              <w14:schemeClr w14:val="tx1"/>
            </w14:solidFill>
          </w14:textFill>
        </w:rPr>
        <w:t>“★”条款响应审查………………………………………………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pPr>
        <w:shd w:val="clear" w:color="auto" w:fill="FFFFFF"/>
        <w:spacing w:line="360" w:lineRule="auto"/>
        <w:rPr>
          <w:rFonts w:hint="eastAsia" w:ascii="仿宋" w:hAnsi="仿宋" w:eastAsia="仿宋" w:cs="仿宋"/>
          <w:color w:val="000000" w:themeColor="text1"/>
          <w:sz w:val="24"/>
          <w:szCs w:val="36"/>
          <w:highlight w:val="none"/>
          <w14:textFill>
            <w14:solidFill>
              <w14:schemeClr w14:val="tx1"/>
            </w14:solidFill>
          </w14:textFill>
        </w:rPr>
      </w:pPr>
    </w:p>
    <w:p>
      <w:pPr>
        <w:pStyle w:val="26"/>
        <w:rPr>
          <w:rFonts w:hint="eastAsia" w:ascii="仿宋" w:hAnsi="仿宋" w:eastAsia="仿宋" w:cs="仿宋"/>
          <w:color w:val="000000" w:themeColor="text1"/>
          <w:highlight w:val="none"/>
          <w14:textFill>
            <w14:solidFill>
              <w14:schemeClr w14:val="tx1"/>
            </w14:solidFill>
          </w14:textFill>
        </w:rPr>
      </w:pPr>
    </w:p>
    <w:p>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26"/>
        <w:ind w:firstLine="400"/>
        <w:rPr>
          <w:rFonts w:hint="eastAsia" w:ascii="仿宋" w:hAnsi="仿宋" w:eastAsia="仿宋" w:cs="仿宋"/>
          <w:color w:val="000000" w:themeColor="text1"/>
          <w:sz w:val="24"/>
          <w:szCs w:val="24"/>
          <w:highlight w:val="none"/>
          <w14:textFill>
            <w14:solidFill>
              <w14:schemeClr w14:val="tx1"/>
            </w14:solidFill>
          </w14:textFill>
        </w:rPr>
      </w:pPr>
    </w:p>
    <w:p>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特别提示与要求：</w:t>
      </w:r>
    </w:p>
    <w:p>
      <w:pPr>
        <w:pStyle w:val="26"/>
        <w:ind w:left="0" w:leftChars="0" w:firstLine="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请</w:t>
      </w:r>
      <w:r>
        <w:rPr>
          <w:rFonts w:hint="eastAsia" w:ascii="仿宋" w:hAnsi="仿宋" w:eastAsia="仿宋" w:cs="仿宋"/>
          <w:color w:val="000000" w:themeColor="text1"/>
          <w:sz w:val="24"/>
          <w:szCs w:val="24"/>
          <w:highlight w:val="none"/>
          <w:u w:val="single"/>
          <w14:textFill>
            <w14:solidFill>
              <w14:schemeClr w14:val="tx1"/>
            </w14:solidFill>
          </w14:textFill>
        </w:rPr>
        <w:t>响应人</w:t>
      </w:r>
      <w:r>
        <w:rPr>
          <w:rFonts w:hint="eastAsia" w:ascii="仿宋" w:hAnsi="仿宋" w:eastAsia="仿宋" w:cs="仿宋"/>
          <w:color w:val="000000" w:themeColor="text1"/>
          <w:sz w:val="24"/>
          <w:szCs w:val="24"/>
          <w:highlight w:val="none"/>
          <w:lang w:eastAsia="zh-CN"/>
          <w14:textFill>
            <w14:solidFill>
              <w14:schemeClr w14:val="tx1"/>
            </w14:solidFill>
          </w14:textFill>
        </w:rPr>
        <w:t>按照以下要求的格式、内容、顺序制作</w:t>
      </w:r>
      <w:r>
        <w:rPr>
          <w:rFonts w:hint="eastAsia" w:ascii="仿宋" w:hAnsi="仿宋" w:eastAsia="仿宋" w:cs="仿宋"/>
          <w:color w:val="000000" w:themeColor="text1"/>
          <w:sz w:val="24"/>
          <w:szCs w:val="24"/>
          <w:highlight w:val="none"/>
          <w:u w:val="single"/>
          <w14:textFill>
            <w14:solidFill>
              <w14:schemeClr w14:val="tx1"/>
            </w14:solidFill>
          </w14:textFill>
        </w:rPr>
        <w:t>响应文件</w:t>
      </w:r>
      <w:r>
        <w:rPr>
          <w:rFonts w:hint="eastAsia" w:ascii="仿宋" w:hAnsi="仿宋" w:eastAsia="仿宋" w:cs="仿宋"/>
          <w:color w:val="000000" w:themeColor="text1"/>
          <w:sz w:val="24"/>
          <w:szCs w:val="24"/>
          <w:highlight w:val="none"/>
          <w:lang w:eastAsia="zh-CN"/>
          <w14:textFill>
            <w14:solidFill>
              <w14:schemeClr w14:val="tx1"/>
            </w14:solidFill>
          </w14:textFill>
        </w:rPr>
        <w:t>，并请</w:t>
      </w:r>
      <w:r>
        <w:rPr>
          <w:rFonts w:hint="eastAsia" w:ascii="仿宋" w:hAnsi="仿宋" w:eastAsia="仿宋" w:cs="仿宋"/>
          <w:b/>
          <w:bCs/>
          <w:color w:val="000000" w:themeColor="text1"/>
          <w:sz w:val="24"/>
          <w:szCs w:val="24"/>
          <w:highlight w:val="none"/>
          <w:lang w:eastAsia="zh-CN"/>
          <w14:textFill>
            <w14:solidFill>
              <w14:schemeClr w14:val="tx1"/>
            </w14:solidFill>
          </w14:textFill>
        </w:rPr>
        <w:t>编制目录及页码</w:t>
      </w:r>
      <w:r>
        <w:rPr>
          <w:rFonts w:hint="eastAsia" w:ascii="仿宋" w:hAnsi="仿宋" w:eastAsia="仿宋" w:cs="仿宋"/>
          <w:color w:val="000000" w:themeColor="text1"/>
          <w:sz w:val="24"/>
          <w:szCs w:val="24"/>
          <w:highlight w:val="none"/>
          <w:lang w:eastAsia="zh-CN"/>
          <w14:textFill>
            <w14:solidFill>
              <w14:schemeClr w14:val="tx1"/>
            </w14:solidFill>
          </w14:textFill>
        </w:rPr>
        <w:t>，否则可能将影响对</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eastAsia="zh-CN"/>
          <w14:textFill>
            <w14:solidFill>
              <w14:schemeClr w14:val="tx1"/>
            </w14:solidFill>
          </w14:textFill>
        </w:rPr>
        <w:t>文件的评价。</w:t>
      </w:r>
    </w:p>
    <w:p>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响应人所递交的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所有</w:t>
      </w:r>
      <w:r>
        <w:rPr>
          <w:rFonts w:hint="eastAsia" w:ascii="仿宋" w:hAnsi="仿宋" w:eastAsia="仿宋" w:cs="仿宋"/>
          <w:b/>
          <w:bCs/>
          <w:color w:val="000000" w:themeColor="text1"/>
          <w:sz w:val="24"/>
          <w:szCs w:val="24"/>
          <w:highlight w:val="none"/>
          <w14:textFill>
            <w14:solidFill>
              <w14:schemeClr w14:val="tx1"/>
            </w14:solidFill>
          </w14:textFill>
        </w:rPr>
        <w:t>资料</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b/>
          <w:bCs/>
          <w:color w:val="000000" w:themeColor="text1"/>
          <w:sz w:val="24"/>
          <w:szCs w:val="24"/>
          <w:highlight w:val="none"/>
          <w14:textFill>
            <w14:solidFill>
              <w14:schemeClr w14:val="tx1"/>
            </w14:solidFill>
          </w14:textFill>
        </w:rPr>
        <w:t>加盖响应人公章。</w:t>
      </w:r>
    </w:p>
    <w:p>
      <w:pPr>
        <w:pStyle w:val="26"/>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36"/>
          <w:highlight w:val="none"/>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报价表</w:t>
      </w:r>
      <w:r>
        <w:rPr>
          <w:rFonts w:hint="eastAsia" w:ascii="仿宋" w:hAnsi="仿宋" w:eastAsia="仿宋" w:cs="仿宋"/>
          <w:color w:val="000000" w:themeColor="text1"/>
          <w:sz w:val="24"/>
          <w:szCs w:val="36"/>
          <w:highlight w:val="none"/>
          <w14:textFill>
            <w14:solidFill>
              <w14:schemeClr w14:val="tx1"/>
            </w14:solidFill>
          </w14:textFill>
        </w:rPr>
        <w:t>》应单独封装在</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36"/>
          <w:highlight w:val="none"/>
          <w14:textFill>
            <w14:solidFill>
              <w14:schemeClr w14:val="tx1"/>
            </w14:solidFill>
          </w14:textFill>
        </w:rPr>
        <w:t>信封中</w:t>
      </w:r>
      <w:r>
        <w:rPr>
          <w:rFonts w:hint="eastAsia" w:ascii="仿宋" w:hAnsi="仿宋" w:eastAsia="仿宋" w:cs="仿宋"/>
          <w:color w:val="000000" w:themeColor="text1"/>
          <w:sz w:val="24"/>
          <w:szCs w:val="36"/>
          <w:highlight w:val="none"/>
          <w:lang w:eastAsia="zh-CN"/>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具体要求同“第三章响应须知”</w:t>
      </w:r>
      <w:r>
        <w:rPr>
          <w:rFonts w:hint="eastAsia" w:ascii="仿宋" w:hAnsi="仿宋" w:eastAsia="仿宋" w:cs="仿宋"/>
          <w:color w:val="000000" w:themeColor="text1"/>
          <w:sz w:val="24"/>
          <w:szCs w:val="36"/>
          <w:highlight w:val="none"/>
          <w14:textFill>
            <w14:solidFill>
              <w14:schemeClr w14:val="tx1"/>
            </w14:solidFill>
          </w14:textFill>
        </w:rPr>
        <w:t>。</w:t>
      </w:r>
    </w:p>
    <w:p>
      <w:pPr>
        <w:pStyle w:val="16"/>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before="240" w:line="360" w:lineRule="auto"/>
        <w:rPr>
          <w:rFonts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lang w:val="zh-CN"/>
          <w14:textFill>
            <w14:solidFill>
              <w14:schemeClr w14:val="tx1"/>
            </w14:solidFill>
          </w14:textFill>
        </w:rPr>
        <w:fldChar w:fldCharType="end"/>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themeColor="text1"/>
          <w:sz w:val="21"/>
          <w:szCs w:val="28"/>
          <w:highlight w:val="none"/>
          <w:lang w:val="en-US" w:eastAsia="zh-CN"/>
          <w14:textFill>
            <w14:solidFill>
              <w14:schemeClr w14:val="tx1"/>
            </w14:solidFill>
          </w14:textFill>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t>一、</w:t>
      </w:r>
      <w:r>
        <w:rPr>
          <w:rFonts w:hint="eastAsia"/>
          <w:color w:val="000000" w:themeColor="text1"/>
          <w:sz w:val="36"/>
          <w:szCs w:val="36"/>
          <w:highlight w:val="none"/>
          <w:lang w:val="en-US" w:eastAsia="zh-CN"/>
          <w14:textFill>
            <w14:solidFill>
              <w14:schemeClr w14:val="tx1"/>
            </w14:solidFill>
          </w14:textFill>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华文仿宋" w:hAnsi="华文仿宋" w:eastAsia="华文仿宋" w:cs="华文仿宋"/>
          <w:b/>
          <w:bCs/>
          <w:color w:val="000000" w:themeColor="text1"/>
          <w:sz w:val="36"/>
          <w:szCs w:val="36"/>
          <w:highlight w:val="none"/>
          <w14:textFill>
            <w14:solidFill>
              <w14:schemeClr w14:val="tx1"/>
            </w14:solidFill>
          </w14:textFill>
        </w:rPr>
      </w:pPr>
      <w:r>
        <w:rPr>
          <w:rFonts w:hint="eastAsia" w:ascii="华文仿宋" w:hAnsi="华文仿宋" w:eastAsia="华文仿宋" w:cs="华文仿宋"/>
          <w:b/>
          <w:bCs/>
          <w:color w:val="000000" w:themeColor="text1"/>
          <w:sz w:val="36"/>
          <w:szCs w:val="36"/>
          <w:highlight w:val="none"/>
          <w:lang w:eastAsia="zh-CN"/>
          <w14:textFill>
            <w14:solidFill>
              <w14:schemeClr w14:val="tx1"/>
            </w14:solidFill>
          </w14:textFill>
        </w:rPr>
        <w:t>（</w:t>
      </w:r>
      <w:r>
        <w:rPr>
          <w:rFonts w:hint="eastAsia" w:ascii="华文仿宋" w:hAnsi="华文仿宋" w:eastAsia="华文仿宋" w:cs="华文仿宋"/>
          <w:b/>
          <w:bCs/>
          <w:color w:val="000000" w:themeColor="text1"/>
          <w:sz w:val="36"/>
          <w:szCs w:val="36"/>
          <w:highlight w:val="none"/>
          <w:lang w:val="en-US" w:eastAsia="zh-CN"/>
          <w14:textFill>
            <w14:solidFill>
              <w14:schemeClr w14:val="tx1"/>
            </w14:solidFill>
          </w14:textFill>
        </w:rPr>
        <w:t>一</w:t>
      </w:r>
      <w:r>
        <w:rPr>
          <w:rFonts w:hint="eastAsia" w:ascii="华文仿宋" w:hAnsi="华文仿宋" w:eastAsia="华文仿宋" w:cs="华文仿宋"/>
          <w:b/>
          <w:bCs/>
          <w:color w:val="000000" w:themeColor="text1"/>
          <w:sz w:val="36"/>
          <w:szCs w:val="36"/>
          <w:highlight w:val="none"/>
          <w:lang w:eastAsia="zh-CN"/>
          <w14:textFill>
            <w14:solidFill>
              <w14:schemeClr w14:val="tx1"/>
            </w14:solidFill>
          </w14:textFill>
        </w:rPr>
        <w:t>）</w:t>
      </w:r>
      <w:r>
        <w:rPr>
          <w:rFonts w:hint="eastAsia" w:ascii="华文仿宋" w:hAnsi="华文仿宋" w:eastAsia="华文仿宋" w:cs="华文仿宋"/>
          <w:b/>
          <w:bCs/>
          <w:color w:val="000000" w:themeColor="text1"/>
          <w:sz w:val="36"/>
          <w:szCs w:val="36"/>
          <w:highlight w:val="none"/>
          <w:lang w:val="en-US" w:eastAsia="zh-CN"/>
          <w14:textFill>
            <w14:solidFill>
              <w14:schemeClr w14:val="tx1"/>
            </w14:solidFill>
          </w14:textFill>
        </w:rPr>
        <w:t>首次报价</w:t>
      </w:r>
      <w:r>
        <w:rPr>
          <w:rFonts w:hint="eastAsia" w:ascii="华文仿宋" w:hAnsi="华文仿宋" w:eastAsia="华文仿宋" w:cs="华文仿宋"/>
          <w:b/>
          <w:bCs/>
          <w:color w:val="000000" w:themeColor="text1"/>
          <w:sz w:val="36"/>
          <w:szCs w:val="36"/>
          <w:highlight w:val="none"/>
          <w:lang w:eastAsia="zh-CN"/>
          <w14:textFill>
            <w14:solidFill>
              <w14:schemeClr w14:val="tx1"/>
            </w14:solidFill>
          </w14:textFill>
        </w:rPr>
        <w:t>表</w:t>
      </w:r>
    </w:p>
    <w:tbl>
      <w:tblPr>
        <w:tblStyle w:val="19"/>
        <w:tblW w:w="0" w:type="auto"/>
        <w:jc w:val="center"/>
        <w:tblLayout w:type="autofit"/>
        <w:tblCellMar>
          <w:top w:w="0" w:type="dxa"/>
          <w:left w:w="108" w:type="dxa"/>
          <w:bottom w:w="0" w:type="dxa"/>
          <w:right w:w="108" w:type="dxa"/>
        </w:tblCellMar>
      </w:tblPr>
      <w:tblGrid>
        <w:gridCol w:w="1560"/>
        <w:gridCol w:w="674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项目名称：</w:t>
            </w:r>
          </w:p>
        </w:tc>
        <w:tc>
          <w:tcPr>
            <w:tcW w:w="6746" w:type="dxa"/>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p>
        </w:tc>
      </w:tr>
    </w:tbl>
    <w:p>
      <w:pPr>
        <w:pStyle w:val="2"/>
        <w:spacing w:line="360" w:lineRule="auto"/>
        <w:jc w:val="left"/>
        <w:outlineLvl w:val="1"/>
        <w:rPr>
          <w:rFonts w:hint="eastAsia" w:ascii="仿宋" w:hAnsi="仿宋" w:eastAsia="仿宋" w:cs="仿宋"/>
          <w:bCs/>
          <w:color w:val="000000" w:themeColor="text1"/>
          <w:sz w:val="10"/>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pPr>
        <w:pStyle w:val="2"/>
        <w:rPr>
          <w:rFonts w:hint="eastAsia"/>
        </w:rPr>
      </w:pPr>
    </w:p>
    <w:tbl>
      <w:tblPr>
        <w:tblStyle w:val="19"/>
        <w:tblW w:w="5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报价</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r>
              <w:rPr>
                <w:rFonts w:hint="eastAsia" w:ascii="仿宋" w:hAnsi="仿宋" w:eastAsia="仿宋" w:cs="仿宋"/>
                <w:kern w:val="28"/>
                <w:sz w:val="24"/>
                <w:szCs w:val="24"/>
              </w:rPr>
              <w:t>95#汽油</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kern w:val="28"/>
                <w:sz w:val="24"/>
                <w:szCs w:val="24"/>
                <w:lang w:val="en-US" w:eastAsia="zh-CN"/>
              </w:rPr>
              <w:t>（包组1、包组2）</w:t>
            </w:r>
          </w:p>
        </w:tc>
        <w:tc>
          <w:tcPr>
            <w:tcW w:w="32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r>
              <w:rPr>
                <w:rFonts w:hint="eastAsia" w:ascii="仿宋" w:hAnsi="仿宋" w:eastAsia="仿宋" w:cs="仿宋"/>
                <w:kern w:val="28"/>
                <w:sz w:val="24"/>
                <w:szCs w:val="24"/>
              </w:rPr>
              <w:t>0#柴油国VI</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kern w:val="28"/>
                <w:sz w:val="24"/>
                <w:szCs w:val="24"/>
                <w:lang w:val="en-US" w:eastAsia="zh-CN"/>
              </w:rPr>
              <w:t>（仅限包组2）</w:t>
            </w:r>
          </w:p>
        </w:tc>
        <w:tc>
          <w:tcPr>
            <w:tcW w:w="3283"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pPr>
        <w:pStyle w:val="26"/>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2、此表是响应文件的必要组成文件。</w:t>
      </w:r>
    </w:p>
    <w:p>
      <w:pPr>
        <w:pStyle w:val="26"/>
        <w:rPr>
          <w:rFonts w:hint="eastAsia" w:ascii="仿宋" w:hAnsi="仿宋" w:eastAsia="仿宋" w:cs="仿宋"/>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2"/>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rPr>
      </w:pPr>
    </w:p>
    <w:p>
      <w:pPr>
        <w:pStyle w:val="2"/>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rPr>
      </w:pPr>
    </w:p>
    <w:p>
      <w:pPr>
        <w:rPr>
          <w:rFonts w:hint="eastAsia"/>
          <w:lang w:val="en-US" w:eastAsia="zh-CN"/>
        </w:rPr>
      </w:pPr>
    </w:p>
    <w:p>
      <w:pPr>
        <w:widowControl w:val="0"/>
        <w:numPr>
          <w:ilvl w:val="0"/>
          <w:numId w:val="1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最终报价</w:t>
      </w:r>
      <w:r>
        <w:rPr>
          <w:rFonts w:hint="eastAsia" w:ascii="仿宋" w:hAnsi="仿宋" w:eastAsia="仿宋" w:cs="仿宋"/>
          <w:b/>
          <w:bCs/>
          <w:color w:val="000000" w:themeColor="text1"/>
          <w:sz w:val="36"/>
          <w:szCs w:val="36"/>
          <w:highlight w:val="none"/>
          <w:lang w:eastAsia="zh-CN"/>
          <w14:textFill>
            <w14:solidFill>
              <w14:schemeClr w14:val="tx1"/>
            </w14:solidFill>
          </w14:textFill>
        </w:rPr>
        <w:t>表</w:t>
      </w:r>
    </w:p>
    <w:p>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现场谈判</w:t>
      </w:r>
      <w:r>
        <w:rPr>
          <w:rFonts w:hint="eastAsia" w:ascii="仿宋" w:hAnsi="仿宋" w:eastAsia="仿宋" w:cs="仿宋"/>
          <w:b/>
          <w:color w:val="auto"/>
          <w:sz w:val="30"/>
          <w:szCs w:val="30"/>
          <w:highlight w:val="none"/>
          <w:lang w:eastAsia="zh-CN"/>
        </w:rPr>
        <w:t>后再交）</w:t>
      </w:r>
    </w:p>
    <w:tbl>
      <w:tblPr>
        <w:tblStyle w:val="19"/>
        <w:tblW w:w="0" w:type="auto"/>
        <w:jc w:val="center"/>
        <w:tblLayout w:type="autofit"/>
        <w:tblCellMar>
          <w:top w:w="0" w:type="dxa"/>
          <w:left w:w="108" w:type="dxa"/>
          <w:bottom w:w="0" w:type="dxa"/>
          <w:right w:w="108" w:type="dxa"/>
        </w:tblCellMar>
      </w:tblPr>
      <w:tblGrid>
        <w:gridCol w:w="1560"/>
        <w:gridCol w:w="674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项目名称：</w:t>
            </w:r>
          </w:p>
        </w:tc>
        <w:tc>
          <w:tcPr>
            <w:tcW w:w="6746" w:type="dxa"/>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p>
        </w:tc>
      </w:tr>
    </w:tbl>
    <w:p>
      <w:pPr>
        <w:pStyle w:val="2"/>
        <w:spacing w:line="360" w:lineRule="auto"/>
        <w:jc w:val="left"/>
        <w:outlineLvl w:val="1"/>
        <w:rPr>
          <w:rFonts w:hint="eastAsia" w:ascii="仿宋" w:hAnsi="仿宋" w:eastAsia="仿宋" w:cs="仿宋"/>
          <w:bCs/>
          <w:color w:val="000000" w:themeColor="text1"/>
          <w:sz w:val="10"/>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pPr>
        <w:pStyle w:val="2"/>
        <w:rPr>
          <w:rFonts w:hint="eastAsia" w:ascii="仿宋" w:hAnsi="仿宋" w:eastAsia="仿宋" w:cs="仿宋"/>
          <w:sz w:val="21"/>
          <w:szCs w:val="21"/>
        </w:rPr>
      </w:pPr>
    </w:p>
    <w:p>
      <w:pPr>
        <w:rPr>
          <w:rFonts w:hint="eastAsia"/>
        </w:rPr>
      </w:pPr>
    </w:p>
    <w:tbl>
      <w:tblPr>
        <w:tblStyle w:val="19"/>
        <w:tblW w:w="7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7"/>
        <w:gridCol w:w="289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2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最终</w:t>
            </w:r>
            <w:r>
              <w:rPr>
                <w:rFonts w:hint="eastAsia" w:ascii="仿宋" w:hAnsi="仿宋" w:eastAsia="仿宋" w:cs="仿宋"/>
                <w:b/>
                <w:sz w:val="24"/>
                <w:szCs w:val="24"/>
              </w:rPr>
              <w:t>报价</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w:t>
            </w:r>
            <w:r>
              <w:rPr>
                <w:rFonts w:hint="eastAsia" w:ascii="仿宋" w:hAnsi="仿宋" w:eastAsia="仿宋" w:cs="仿宋"/>
                <w:sz w:val="24"/>
                <w:szCs w:val="24"/>
              </w:rPr>
              <w:t>）</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油站委托人签名确认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r>
              <w:rPr>
                <w:rFonts w:hint="eastAsia" w:ascii="仿宋" w:hAnsi="仿宋" w:eastAsia="仿宋" w:cs="仿宋"/>
                <w:kern w:val="28"/>
                <w:sz w:val="24"/>
                <w:szCs w:val="24"/>
              </w:rPr>
              <w:t>95#汽油</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kern w:val="28"/>
                <w:sz w:val="24"/>
                <w:szCs w:val="24"/>
                <w:lang w:val="en-US" w:eastAsia="zh-CN"/>
              </w:rPr>
              <w:t>（包组1、包组2）</w:t>
            </w:r>
          </w:p>
        </w:tc>
        <w:tc>
          <w:tcPr>
            <w:tcW w:w="289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c>
          <w:tcPr>
            <w:tcW w:w="19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r>
              <w:rPr>
                <w:rFonts w:hint="eastAsia" w:ascii="仿宋" w:hAnsi="仿宋" w:eastAsia="仿宋" w:cs="仿宋"/>
                <w:kern w:val="28"/>
                <w:sz w:val="24"/>
                <w:szCs w:val="24"/>
              </w:rPr>
              <w:t>0#柴油国VI</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kern w:val="28"/>
                <w:sz w:val="24"/>
                <w:szCs w:val="24"/>
                <w:lang w:val="en-US" w:eastAsia="zh-CN"/>
              </w:rPr>
              <w:t>（仅限包组2）</w:t>
            </w:r>
          </w:p>
        </w:tc>
        <w:tc>
          <w:tcPr>
            <w:tcW w:w="2897"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c>
          <w:tcPr>
            <w:tcW w:w="1981" w:type="dxa"/>
            <w:vMerge w:val="continue"/>
            <w:tcBorders>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p>
        </w:tc>
      </w:tr>
    </w:tbl>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pPr>
        <w:pStyle w:val="26"/>
        <w:numPr>
          <w:ilvl w:val="0"/>
          <w:numId w:val="0"/>
        </w:numPr>
        <w:spacing w:line="240" w:lineRule="auto"/>
        <w:ind w:firstLine="422" w:firstLineChars="200"/>
        <w:rPr>
          <w:rFonts w:hint="eastAsia" w:ascii="仿宋" w:hAnsi="仿宋" w:eastAsia="仿宋" w:cs="仿宋"/>
          <w:b/>
          <w:bCs/>
          <w:i w:val="0"/>
          <w:iCs w:val="0"/>
          <w:color w:val="FF0000"/>
          <w:sz w:val="21"/>
          <w:szCs w:val="21"/>
          <w:highlight w:val="yellow"/>
          <w:lang w:val="en-US" w:eastAsia="zh-CN"/>
        </w:rPr>
      </w:pPr>
      <w:r>
        <w:rPr>
          <w:rFonts w:hint="eastAsia" w:ascii="仿宋" w:hAnsi="仿宋" w:eastAsia="仿宋" w:cs="仿宋"/>
          <w:b/>
          <w:bCs/>
          <w:i w:val="0"/>
          <w:iCs w:val="0"/>
          <w:color w:val="FF0000"/>
          <w:sz w:val="21"/>
          <w:szCs w:val="21"/>
          <w:highlight w:val="yellow"/>
          <w:lang w:val="en-US" w:eastAsia="zh-CN"/>
        </w:rPr>
        <w:t>2、此表无需密封在响应文件中，可准备盖好公章的空白表格，在谈判评审当天提交。</w:t>
      </w:r>
    </w:p>
    <w:p>
      <w:pPr>
        <w:pStyle w:val="26"/>
        <w:rPr>
          <w:rFonts w:hint="eastAsia" w:ascii="仿宋" w:hAnsi="仿宋" w:eastAsia="仿宋" w:cs="仿宋"/>
          <w:color w:val="000000" w:themeColor="text1"/>
          <w:highlight w:val="none"/>
          <w14:textFill>
            <w14:solidFill>
              <w14:schemeClr w14:val="tx1"/>
            </w14:solidFill>
          </w14:textFill>
        </w:rPr>
      </w:pPr>
    </w:p>
    <w:p>
      <w:pPr>
        <w:pStyle w:val="26"/>
        <w:rPr>
          <w:rFonts w:hint="eastAsia" w:ascii="仿宋" w:hAnsi="仿宋" w:eastAsia="仿宋" w:cs="仿宋"/>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themeColor="text1"/>
          <w:sz w:val="32"/>
          <w:szCs w:val="40"/>
          <w:highlight w:val="none"/>
          <w:lang w:eastAsia="zh-CN"/>
          <w14:textFill>
            <w14:solidFill>
              <w14:schemeClr w14:val="tx1"/>
            </w14:solidFill>
          </w14:textFill>
        </w:rPr>
      </w:pPr>
      <w:r>
        <w:rPr>
          <w:rFonts w:hint="eastAsia" w:ascii="黑体" w:hAnsi="黑体" w:cs="黑体"/>
          <w:color w:val="000000" w:themeColor="text1"/>
          <w:sz w:val="36"/>
          <w:szCs w:val="36"/>
          <w:highlight w:val="none"/>
          <w:lang w:val="en-US" w:eastAsia="zh-CN"/>
          <w14:textFill>
            <w14:solidFill>
              <w14:schemeClr w14:val="tx1"/>
            </w14:solidFill>
          </w14:textFill>
        </w:rPr>
        <w:t>二、资格审查</w:t>
      </w:r>
    </w:p>
    <w:p>
      <w:pPr>
        <w:jc w:val="center"/>
        <w:rPr>
          <w:rFonts w:hint="eastAsia" w:ascii="仿宋" w:hAnsi="仿宋" w:eastAsia="仿宋" w:cs="仿宋"/>
          <w:b/>
          <w:bCs/>
          <w:color w:val="000000" w:themeColor="text1"/>
          <w:sz w:val="32"/>
          <w:szCs w:val="40"/>
          <w:highlight w:val="none"/>
          <w:lang w:eastAsia="zh-CN"/>
          <w14:textFill>
            <w14:solidFill>
              <w14:schemeClr w14:val="tx1"/>
            </w14:solidFill>
          </w14:textFill>
        </w:rPr>
      </w:pPr>
      <w:r>
        <w:rPr>
          <w:rFonts w:hint="eastAsia" w:ascii="仿宋" w:hAnsi="仿宋" w:eastAsia="仿宋" w:cs="仿宋"/>
          <w:b/>
          <w:bCs/>
          <w:color w:val="000000" w:themeColor="text1"/>
          <w:sz w:val="32"/>
          <w:szCs w:val="40"/>
          <w:highlight w:val="none"/>
          <w:lang w:eastAsia="zh-CN"/>
          <w14:textFill>
            <w14:solidFill>
              <w14:schemeClr w14:val="tx1"/>
            </w14:solidFill>
          </w14:textFill>
        </w:rPr>
        <w:t>（</w:t>
      </w:r>
      <w:r>
        <w:rPr>
          <w:rFonts w:hint="eastAsia" w:ascii="仿宋" w:hAnsi="仿宋" w:eastAsia="仿宋" w:cs="仿宋"/>
          <w:b/>
          <w:bCs/>
          <w:color w:val="000000" w:themeColor="text1"/>
          <w:sz w:val="32"/>
          <w:szCs w:val="40"/>
          <w:highlight w:val="none"/>
          <w:lang w:val="en-US" w:eastAsia="zh-CN"/>
          <w14:textFill>
            <w14:solidFill>
              <w14:schemeClr w14:val="tx1"/>
            </w14:solidFill>
          </w14:textFill>
        </w:rPr>
        <w:t>一</w:t>
      </w:r>
      <w:r>
        <w:rPr>
          <w:rFonts w:hint="eastAsia" w:ascii="仿宋" w:hAnsi="仿宋" w:eastAsia="仿宋" w:cs="仿宋"/>
          <w:b/>
          <w:bCs/>
          <w:color w:val="000000" w:themeColor="text1"/>
          <w:sz w:val="32"/>
          <w:szCs w:val="40"/>
          <w:highlight w:val="none"/>
          <w:lang w:eastAsia="zh-CN"/>
          <w14:textFill>
            <w14:solidFill>
              <w14:schemeClr w14:val="tx1"/>
            </w14:solidFill>
          </w14:textFill>
        </w:rPr>
        <w:t>）资格自查表</w:t>
      </w:r>
    </w:p>
    <w:tbl>
      <w:tblPr>
        <w:tblStyle w:val="1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（3）具备履行合同所必需的设备和专业技术能力；</w:t>
            </w:r>
          </w:p>
          <w:p>
            <w:pPr>
              <w:keepNext w:val="0"/>
              <w:keepLines w:val="0"/>
              <w:suppressLineNumbers w:val="0"/>
              <w:spacing w:before="0" w:beforeAutospacing="0" w:after="0" w:afterAutospacing="0"/>
              <w:ind w:left="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本项目不接受联合体响应，成交供应商不得以任何方式转包或分包本项目。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744"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谈判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22"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sz w:val="21"/>
                <w:szCs w:val="21"/>
                <w:highlight w:val="none"/>
                <w:lang w:val="en-US" w:eastAsia="zh-CN"/>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72"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4"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供应商须具备有效的《成品油批发经营批准证书》或《成品油零售经营批准证书》、《危险化学品经营许可证》。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供应商在参加本次采购活动前3年内没有发生严重违约行为以及发生重大质量安全事故。（出具有效的声明函加盖公章，格式详见“1、资格声明函”）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6"/>
        <w:rPr>
          <w:rFonts w:hint="eastAsia" w:ascii="仿宋" w:hAnsi="仿宋" w:eastAsia="仿宋" w:cs="仿宋"/>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谈判文件时另外单独提供一份盖章签字版的承诺书。若未单独提供，可能影响对响应文件的评价，但不作为一票否决的条款。</w:t>
      </w:r>
    </w:p>
    <w:p>
      <w:pPr>
        <w:pStyle w:val="26"/>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p>
    <w:p>
      <w:pPr>
        <w:pStyle w:val="26"/>
        <w:ind w:left="0" w:leftChars="0" w:firstLine="0" w:firstLineChars="0"/>
        <w:rPr>
          <w:rFonts w:hint="eastAsia" w:ascii="仿宋" w:hAnsi="仿宋" w:eastAsia="仿宋" w:cs="仿宋"/>
          <w:color w:val="000000" w:themeColor="text1"/>
          <w:szCs w:val="21"/>
          <w:highlight w:val="none"/>
          <w:lang w:eastAsia="zh-CN"/>
          <w14:textFill>
            <w14:solidFill>
              <w14:schemeClr w14:val="tx1"/>
            </w14:solidFill>
          </w14:textFill>
        </w:rPr>
      </w:pPr>
    </w:p>
    <w:p>
      <w:pPr>
        <w:pStyle w:val="26"/>
        <w:rPr>
          <w:rFonts w:hint="eastAsia" w:ascii="仿宋" w:hAnsi="仿宋" w:eastAsia="仿宋" w:cs="仿宋"/>
          <w:color w:val="000000" w:themeColor="text1"/>
          <w:szCs w:val="21"/>
          <w:highlight w:val="none"/>
          <w:lang w:eastAsia="zh-CN"/>
          <w14:textFill>
            <w14:solidFill>
              <w14:schemeClr w14:val="tx1"/>
            </w14:solidFill>
          </w14:textFill>
        </w:rPr>
      </w:pPr>
    </w:p>
    <w:p>
      <w:pPr>
        <w:pStyle w:val="26"/>
        <w:rPr>
          <w:rFonts w:hint="eastAsia" w:ascii="仿宋" w:hAnsi="仿宋" w:eastAsia="仿宋" w:cs="仿宋"/>
          <w:color w:val="000000" w:themeColor="text1"/>
          <w:szCs w:val="21"/>
          <w:highlight w:val="none"/>
          <w:lang w:eastAsia="zh-CN"/>
          <w14:textFill>
            <w14:solidFill>
              <w14:schemeClr w14:val="tx1"/>
            </w14:solidFill>
          </w14:textFill>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 w:val="36"/>
          <w:szCs w:val="44"/>
          <w:highlight w:val="none"/>
          <w:lang w:eastAsia="zh-CN"/>
          <w14:textFill>
            <w14:solidFill>
              <w14:schemeClr w14:val="tx1"/>
            </w14:solidFill>
          </w14:textFill>
        </w:rPr>
        <w:t>（</w:t>
      </w:r>
      <w:r>
        <w:rPr>
          <w:rFonts w:hint="eastAsia" w:ascii="仿宋" w:hAnsi="仿宋" w:eastAsia="仿宋" w:cs="仿宋"/>
          <w:b/>
          <w:bCs/>
          <w:color w:val="000000" w:themeColor="text1"/>
          <w:sz w:val="36"/>
          <w:szCs w:val="44"/>
          <w:highlight w:val="none"/>
          <w:lang w:val="en-US" w:eastAsia="zh-CN"/>
          <w14:textFill>
            <w14:solidFill>
              <w14:schemeClr w14:val="tx1"/>
            </w14:solidFill>
          </w14:textFill>
        </w:rPr>
        <w:t>二</w:t>
      </w:r>
      <w:r>
        <w:rPr>
          <w:rFonts w:hint="eastAsia" w:ascii="仿宋" w:hAnsi="仿宋" w:eastAsia="仿宋" w:cs="仿宋"/>
          <w:b/>
          <w:bCs/>
          <w:color w:val="000000" w:themeColor="text1"/>
          <w:sz w:val="36"/>
          <w:szCs w:val="44"/>
          <w:highlight w:val="none"/>
          <w:lang w:eastAsia="zh-CN"/>
          <w14:textFill>
            <w14:solidFill>
              <w14:schemeClr w14:val="tx1"/>
            </w14:solidFill>
          </w14:textFill>
        </w:rPr>
        <w:t>）</w:t>
      </w:r>
      <w:r>
        <w:rPr>
          <w:rFonts w:hint="eastAsia" w:ascii="仿宋" w:hAnsi="仿宋" w:eastAsia="仿宋" w:cs="仿宋"/>
          <w:b/>
          <w:bCs/>
          <w:color w:val="000000" w:themeColor="text1"/>
          <w:sz w:val="36"/>
          <w:szCs w:val="44"/>
          <w:highlight w:val="none"/>
          <w:lang w:val="en-US" w:eastAsia="zh-CN"/>
          <w14:textFill>
            <w14:solidFill>
              <w14:schemeClr w14:val="tx1"/>
            </w14:solidFill>
          </w14:textFill>
        </w:rPr>
        <w:t>资格审查证明资料</w:t>
      </w:r>
    </w:p>
    <w:p>
      <w:pPr>
        <w:keepNext w:val="0"/>
        <w:keepLines w:val="0"/>
        <w:widowControl/>
        <w:suppressLineNumbers w:val="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t>1、资格声明函</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本公司（企业）承诺</w:t>
      </w:r>
      <w:r>
        <w:rPr>
          <w:rFonts w:hint="eastAsia" w:ascii="仿宋" w:hAnsi="仿宋" w:eastAsia="仿宋" w:cs="仿宋"/>
          <w:color w:val="auto"/>
          <w:sz w:val="24"/>
          <w:szCs w:val="24"/>
          <w:highlight w:val="none"/>
        </w:rPr>
        <w:t>参加本次采购活动前3年内没有发生严重违约行为以及发生重大质量安全事故。</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600" w:firstLineChars="1500"/>
        <w:textAlignment w:val="auto"/>
        <w:rPr>
          <w:rFonts w:hint="eastAsia" w:ascii="仿宋" w:hAnsi="仿宋" w:eastAsia="仿宋" w:cs="仿宋"/>
          <w:color w:val="000000"/>
          <w:sz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600" w:firstLineChars="1500"/>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3600" w:firstLineChars="1500"/>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比选文件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日期：           年    月    日</w:t>
      </w: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4、《成品油批发经营批准证书》或《成品油零售经营批准证书》</w:t>
      </w:r>
    </w:p>
    <w:p>
      <w:pPr>
        <w:pStyle w:val="24"/>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kern w:val="0"/>
          <w:sz w:val="24"/>
          <w:szCs w:val="24"/>
          <w:highlight w:val="none"/>
          <w:lang w:val="en-US" w:eastAsia="zh-CN"/>
        </w:rPr>
        <w:t>（提供证件复印件,加盖公章）</w:t>
      </w: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5、《危险化学品经营许可证》</w:t>
      </w:r>
    </w:p>
    <w:p>
      <w:pPr>
        <w:pStyle w:val="24"/>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kern w:val="0"/>
          <w:sz w:val="24"/>
          <w:szCs w:val="24"/>
          <w:highlight w:val="none"/>
          <w:lang w:val="en-US" w:eastAsia="zh-CN"/>
        </w:rPr>
        <w:t>（提供证件复印件,加盖公章）</w:t>
      </w:r>
    </w:p>
    <w:p>
      <w:pPr>
        <w:pStyle w:val="24"/>
        <w:rPr>
          <w:rFonts w:hint="eastAsia" w:ascii="仿宋" w:hAnsi="仿宋" w:eastAsia="仿宋" w:cs="仿宋"/>
          <w:color w:val="000000" w:themeColor="text1"/>
          <w:highlight w:val="none"/>
          <w:lang w:val="en-US" w:eastAsia="zh-CN"/>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①响应报价未超过本项目最高限价</w:t>
            </w:r>
            <w:r>
              <w:rPr>
                <w:rFonts w:hint="eastAsia" w:ascii="仿宋" w:hAnsi="仿宋" w:eastAsia="仿宋" w:cs="仿宋"/>
                <w:color w:val="000000" w:themeColor="text1"/>
                <w:sz w:val="20"/>
                <w:szCs w:val="20"/>
                <w:lang w:eastAsia="zh-CN"/>
                <w14:textFill>
                  <w14:solidFill>
                    <w14:schemeClr w14:val="tx1"/>
                  </w14:solidFill>
                </w14:textFill>
              </w:rPr>
              <w:t>。</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④响应报价是唯一确定的，不得存在区间值（如90%～95%）。</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themeColor="text1"/>
                <w:sz w:val="20"/>
                <w:szCs w:val="20"/>
                <w14:textFill>
                  <w14:solidFill>
                    <w14:schemeClr w14:val="tx1"/>
                  </w14:solidFill>
                </w14:textFill>
              </w:rPr>
              <w:t>提供《响应</w:t>
            </w:r>
            <w:r>
              <w:rPr>
                <w:rFonts w:hint="eastAsia" w:ascii="仿宋" w:hAnsi="仿宋" w:eastAsia="仿宋" w:cs="仿宋"/>
                <w:color w:val="000000" w:themeColor="text1"/>
                <w:sz w:val="20"/>
                <w:szCs w:val="20"/>
                <w:lang w:val="en-US" w:eastAsia="zh-CN"/>
                <w14:textFill>
                  <w14:solidFill>
                    <w14:schemeClr w14:val="tx1"/>
                  </w14:solidFill>
                </w14:textFill>
              </w:rPr>
              <w:t>承诺</w:t>
            </w:r>
            <w:r>
              <w:rPr>
                <w:rFonts w:hint="eastAsia" w:ascii="仿宋" w:hAnsi="仿宋" w:eastAsia="仿宋" w:cs="仿宋"/>
                <w:color w:val="000000" w:themeColor="text1"/>
                <w:sz w:val="20"/>
                <w:szCs w:val="20"/>
                <w14:textFill>
                  <w14:solidFill>
                    <w14:schemeClr w14:val="tx1"/>
                  </w14:solidFill>
                </w14:textFill>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themeColor="text1"/>
                <w:sz w:val="20"/>
                <w:szCs w:val="20"/>
                <w14:textFill>
                  <w14:solidFill>
                    <w14:schemeClr w14:val="tx1"/>
                  </w14:solidFill>
                </w14:textFill>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6"/>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themeColor="text1"/>
                <w:sz w:val="20"/>
                <w:szCs w:val="20"/>
                <w14:textFill>
                  <w14:solidFill>
                    <w14:schemeClr w14:val="tx1"/>
                  </w14:solidFill>
                </w14:textFill>
              </w:rPr>
              <w:t>响应文件按照</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规定要求签署、盖章</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包括封面、骑缝以及含有“签字”“盖章”字眼的每一处</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不得改动本谈判文件中已明确要求不得擅自删改的部分，以及遵守谈判文件中已列明必须遵照执行否则按无效响应处理的各类要求。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9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w:t>
            </w:r>
            <w:r>
              <w:rPr>
                <w:rFonts w:hint="eastAsia" w:ascii="仿宋" w:hAnsi="仿宋" w:eastAsia="仿宋" w:cs="仿宋"/>
                <w:szCs w:val="21"/>
                <w:highlight w:val="none"/>
                <w:lang w:eastAsia="zh-CN"/>
              </w:rPr>
              <w:t>谈判文件</w:t>
            </w:r>
            <w:r>
              <w:rPr>
                <w:rFonts w:hint="eastAsia" w:ascii="仿宋" w:hAnsi="仿宋" w:eastAsia="仿宋" w:cs="仿宋"/>
                <w:szCs w:val="21"/>
                <w:highlight w:val="none"/>
              </w:rPr>
              <w:t>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themeColor="text1"/>
                <w:sz w:val="20"/>
                <w:szCs w:val="20"/>
                <w14:textFill>
                  <w14:solidFill>
                    <w14:schemeClr w14:val="tx1"/>
                  </w14:solidFill>
                </w14:textFill>
              </w:rPr>
              <w:t>本</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中的“★”号条款要求：响应方案</w:t>
            </w:r>
            <w:r>
              <w:rPr>
                <w:rFonts w:hint="eastAsia" w:ascii="仿宋" w:hAnsi="仿宋" w:eastAsia="仿宋" w:cs="仿宋"/>
                <w:color w:val="000000" w:themeColor="text1"/>
                <w:sz w:val="20"/>
                <w:szCs w:val="20"/>
                <w:lang w:val="en-US" w:eastAsia="zh-CN"/>
                <w14:textFill>
                  <w14:solidFill>
                    <w14:schemeClr w14:val="tx1"/>
                  </w14:solidFill>
                </w14:textFill>
              </w:rPr>
              <w:t>一一</w:t>
            </w:r>
            <w:r>
              <w:rPr>
                <w:rFonts w:hint="eastAsia" w:ascii="仿宋" w:hAnsi="仿宋" w:eastAsia="仿宋" w:cs="仿宋"/>
                <w:color w:val="000000" w:themeColor="text1"/>
                <w:sz w:val="20"/>
                <w:szCs w:val="20"/>
                <w14:textFill>
                  <w14:solidFill>
                    <w14:schemeClr w14:val="tx1"/>
                  </w14:solidFill>
                </w14:textFill>
              </w:rPr>
              <w:t>满足</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snapToGrid/>
              <w:spacing w:before="157" w:beforeLines="50" w:beforeAutospacing="0" w:after="0" w:afterAutospacing="0" w:line="240" w:lineRule="auto"/>
              <w:ind w:left="0" w:leftChars="0" w:right="0" w:rightChars="0"/>
              <w:textAlignment w:val="auto"/>
              <w:rPr>
                <w:rFonts w:hint="eastAsia" w:ascii="仿宋" w:hAnsi="仿宋" w:eastAsia="仿宋" w:cs="仿宋"/>
                <w:sz w:val="21"/>
                <w:szCs w:val="21"/>
                <w:highlight w:val="none"/>
              </w:rPr>
            </w:pPr>
            <w:r>
              <w:rPr>
                <w:rFonts w:hint="eastAsia" w:ascii="仿宋" w:hAnsi="仿宋" w:eastAsia="仿宋" w:cs="仿宋"/>
                <w:color w:val="000000" w:themeColor="text1"/>
                <w:sz w:val="20"/>
                <w:szCs w:val="20"/>
                <w:lang w:val="en-US" w:eastAsia="zh-CN"/>
                <w14:textFill>
                  <w14:solidFill>
                    <w14:schemeClr w14:val="tx1"/>
                  </w14:solidFill>
                </w14:textFill>
              </w:rPr>
              <w:t>响应</w:t>
            </w:r>
            <w:r>
              <w:rPr>
                <w:rFonts w:hint="eastAsia" w:ascii="仿宋" w:hAnsi="仿宋" w:eastAsia="仿宋" w:cs="仿宋"/>
                <w:color w:val="000000" w:themeColor="text1"/>
                <w:sz w:val="20"/>
                <w:szCs w:val="20"/>
                <w14:textFill>
                  <w14:solidFill>
                    <w14:schemeClr w14:val="tx1"/>
                  </w14:solidFill>
                </w14:textFill>
              </w:rPr>
              <w:t>文件未含有采购人不能接受的附加条件</w:t>
            </w:r>
            <w:r>
              <w:rPr>
                <w:rFonts w:hint="eastAsia" w:ascii="仿宋" w:hAnsi="仿宋" w:eastAsia="仿宋" w:cs="仿宋"/>
                <w:color w:val="000000" w:themeColor="text1"/>
                <w:sz w:val="20"/>
                <w:szCs w:val="20"/>
                <w:lang w:eastAsia="zh-CN"/>
                <w14:textFill>
                  <w14:solidFill>
                    <w14:schemeClr w14:val="tx1"/>
                  </w14:solidFill>
                </w14:textFill>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9"/>
        <w:shd w:val="clear" w:color="auto" w:fill="FFFFFF"/>
        <w:rPr>
          <w:rFonts w:hint="eastAsia" w:ascii="仿宋" w:hAnsi="仿宋" w:eastAsia="仿宋" w:cs="仿宋"/>
          <w:sz w:val="21"/>
          <w:szCs w:val="21"/>
          <w:highlight w:val="none"/>
        </w:rPr>
      </w:pPr>
    </w:p>
    <w:p>
      <w:pPr>
        <w:pStyle w:val="9"/>
        <w:shd w:val="clear" w:color="auto" w:fill="FFFFFF"/>
        <w:rPr>
          <w:rFonts w:hint="eastAsia" w:ascii="仿宋" w:hAnsi="仿宋" w:eastAsia="仿宋" w:cs="仿宋"/>
          <w:sz w:val="21"/>
          <w:szCs w:val="21"/>
          <w:highlight w:val="none"/>
        </w:rPr>
      </w:pPr>
    </w:p>
    <w:p>
      <w:pPr>
        <w:pStyle w:val="9"/>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pPr>
        <w:pStyle w:val="26"/>
        <w:rPr>
          <w:rFonts w:hint="eastAsia" w:ascii="仿宋" w:hAnsi="仿宋" w:eastAsia="仿宋" w:cs="仿宋"/>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0"/>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0"/>
        <w:tabs>
          <w:tab w:val="left" w:pos="900"/>
        </w:tabs>
        <w:spacing w:line="400" w:lineRule="exact"/>
        <w:ind w:firstLine="0"/>
        <w:rPr>
          <w:rFonts w:hint="eastAsia" w:ascii="仿宋" w:hAnsi="仿宋" w:eastAsia="仿宋" w:cs="仿宋"/>
          <w:bCs/>
          <w:color w:val="000000"/>
          <w:highlight w:val="none"/>
          <w:lang w:val="en-US"/>
        </w:rPr>
      </w:pP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3"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sR85e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IfY6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LEfOX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6"/>
        <w:ind w:left="0" w:leftChars="0" w:firstLine="0" w:firstLineChars="0"/>
        <w:rPr>
          <w:rFonts w:hint="eastAsia" w:ascii="仿宋" w:hAnsi="仿宋" w:eastAsia="仿宋" w:cs="仿宋"/>
          <w:highlight w:val="none"/>
          <w:lang w:eastAsia="zh-CN"/>
        </w:rPr>
      </w:pPr>
    </w:p>
    <w:p>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0"/>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6"/>
        <w:ind w:left="0" w:leftChars="0" w:firstLine="0" w:firstLineChars="0"/>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rFonts w:hint="eastAsia" w:ascii="仿宋" w:hAnsi="仿宋" w:eastAsia="仿宋" w:cs="仿宋"/>
          <w:sz w:val="20"/>
          <w:highlight w:val="none"/>
        </w:rPr>
      </w:pPr>
    </w:p>
    <w:p>
      <w:pPr>
        <w:pStyle w:val="26"/>
        <w:ind w:left="0" w:leftChars="0" w:firstLine="0" w:firstLineChars="0"/>
        <w:rPr>
          <w:rFonts w:hint="eastAsia" w:ascii="仿宋" w:hAnsi="仿宋" w:eastAsia="仿宋" w:cs="仿宋"/>
          <w:bCs/>
          <w:color w:val="000000"/>
          <w:sz w:val="30"/>
          <w:szCs w:val="30"/>
          <w:highlight w:val="none"/>
          <w:lang w:val="en-US"/>
        </w:rPr>
      </w:pPr>
    </w:p>
    <w:p>
      <w:pPr>
        <w:pStyle w:val="26"/>
        <w:ind w:left="0" w:leftChars="0" w:firstLine="0" w:firstLineChars="0"/>
        <w:rPr>
          <w:rFonts w:hint="eastAsia" w:ascii="仿宋" w:hAnsi="仿宋" w:eastAsia="仿宋" w:cs="仿宋"/>
          <w:b/>
          <w:bCs/>
          <w:sz w:val="28"/>
          <w:szCs w:val="36"/>
          <w:highlight w:val="none"/>
          <w:lang w:eastAsia="zh-CN"/>
        </w:rPr>
      </w:pPr>
    </w:p>
    <w:p>
      <w:pPr>
        <w:pStyle w:val="2"/>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sz w:val="28"/>
          <w:szCs w:val="28"/>
          <w:highlight w:val="none"/>
          <w:lang w:val="en-US" w:eastAsia="zh-CN"/>
        </w:rPr>
      </w:pPr>
    </w:p>
    <w:p>
      <w:pPr>
        <w:pStyle w:val="26"/>
        <w:ind w:left="0" w:leftChars="0" w:firstLine="0" w:firstLineChars="0"/>
        <w:rPr>
          <w:rFonts w:hint="eastAsia" w:ascii="仿宋" w:hAnsi="仿宋" w:eastAsia="仿宋" w:cs="仿宋"/>
          <w:bCs/>
          <w:color w:val="000000"/>
          <w:sz w:val="30"/>
          <w:szCs w:val="30"/>
          <w:highlight w:val="none"/>
          <w:lang w:val="en-US"/>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致：中山大学</w:t>
      </w:r>
      <w:r>
        <w:rPr>
          <w:rFonts w:hint="eastAsia" w:ascii="仿宋" w:hAnsi="仿宋" w:eastAsia="仿宋" w:cs="仿宋"/>
          <w:color w:val="auto"/>
          <w:sz w:val="24"/>
          <w:szCs w:val="24"/>
          <w:highlight w:val="none"/>
          <w:lang w:val="en-US" w:eastAsia="zh-CN"/>
        </w:rPr>
        <w:t>孙逸仙纪念</w:t>
      </w:r>
      <w:r>
        <w:rPr>
          <w:rFonts w:hint="eastAsia" w:ascii="仿宋" w:hAnsi="仿宋" w:eastAsia="仿宋" w:cs="仿宋"/>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依据贵方（项目名称/项目编号：</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none"/>
          <w:lang w:val="en-US" w:eastAsia="zh-CN"/>
        </w:rPr>
        <w:t>)的响应邀请，我方代表</w:t>
      </w:r>
      <w:r>
        <w:rPr>
          <w:rFonts w:hint="eastAsia" w:ascii="仿宋" w:hAnsi="仿宋" w:eastAsia="仿宋" w:cs="仿宋"/>
          <w:color w:val="auto"/>
          <w:sz w:val="24"/>
          <w:szCs w:val="24"/>
          <w:highlight w:val="yellow"/>
          <w:u w:val="single"/>
          <w:lang w:val="en-US" w:eastAsia="zh-CN"/>
        </w:rPr>
        <w:t>（姓名、职务）</w:t>
      </w:r>
      <w:r>
        <w:rPr>
          <w:rFonts w:hint="eastAsia" w:ascii="仿宋" w:hAnsi="仿宋" w:eastAsia="仿宋" w:cs="仿宋"/>
          <w:color w:val="auto"/>
          <w:sz w:val="24"/>
          <w:szCs w:val="24"/>
          <w:highlight w:val="none"/>
          <w:lang w:val="en-US" w:eastAsia="zh-CN"/>
        </w:rPr>
        <w:t>经正式授权并代表</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yellow"/>
          <w:u w:val="single"/>
          <w:lang w:val="en-US" w:eastAsia="zh-CN"/>
        </w:rPr>
        <w:t>响应人名称、地址</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lang w:val="en-US" w:eastAsia="zh-CN"/>
        </w:rPr>
        <w:t>提交响应文件正本</w:t>
      </w:r>
      <w:r>
        <w:rPr>
          <w:rFonts w:hint="eastAsia" w:ascii="仿宋" w:hAnsi="仿宋" w:eastAsia="仿宋" w:cs="仿宋"/>
          <w:color w:val="auto"/>
          <w:sz w:val="24"/>
          <w:szCs w:val="24"/>
          <w:highlight w:val="none"/>
          <w:u w:val="single"/>
          <w:lang w:val="en-US" w:eastAsia="zh-CN"/>
        </w:rPr>
        <w:t xml:space="preserve"> 1 </w:t>
      </w:r>
      <w:r>
        <w:rPr>
          <w:rFonts w:hint="eastAsia" w:ascii="仿宋" w:hAnsi="仿宋" w:eastAsia="仿宋" w:cs="仿宋"/>
          <w:color w:val="auto"/>
          <w:sz w:val="24"/>
          <w:szCs w:val="24"/>
          <w:highlight w:val="none"/>
          <w:lang w:val="en-US" w:eastAsia="zh-CN"/>
        </w:rPr>
        <w:t>份，副本</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lang w:val="en-US" w:eastAsia="zh-CN"/>
        </w:rPr>
        <w:t>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在此，我方承诺如下：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1、同意并接受谈判文件的各项要求，遵守谈判文件中的各项规定，按谈判文件的要求提供报价。</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2、响应有效期为递交响应文件之日起</w:t>
      </w:r>
      <w:r>
        <w:rPr>
          <w:rFonts w:hint="eastAsia" w:ascii="仿宋" w:hAnsi="仿宋" w:eastAsia="仿宋" w:cs="仿宋"/>
          <w:color w:val="auto"/>
          <w:sz w:val="24"/>
          <w:szCs w:val="24"/>
          <w:highlight w:val="none"/>
          <w:u w:val="single"/>
          <w:lang w:val="en-US" w:eastAsia="zh-CN"/>
        </w:rPr>
        <w:t>九十天</w:t>
      </w:r>
      <w:r>
        <w:rPr>
          <w:rFonts w:hint="eastAsia" w:ascii="仿宋" w:hAnsi="仿宋" w:eastAsia="仿宋" w:cs="仿宋"/>
          <w:color w:val="auto"/>
          <w:sz w:val="24"/>
          <w:szCs w:val="24"/>
          <w:highlight w:val="none"/>
          <w:lang w:val="en-US" w:eastAsia="zh-CN"/>
        </w:rPr>
        <w:t>，成交人响应有效期延至合同验收之日。</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3、我方已经详细地阅读了全部谈判文件及其附件，包括澄清及参考文件(如果有的话)。我方已完全清晰理解谈判文件的要求，不存在任何含糊不清和误解之处，同意放弃对这些文件所提出的异议和质疑的权利。</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4、如果我单位成交，我方将保证按照院方认可的条件，以本比选文件内写明的金额、方式和时间要求提交履约保证金（如有）。</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我方已毫无保留地向贵方提供一切所需的证明材料。</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6、我方承诺能够完全对谈判文件所有带“</w:t>
      </w:r>
      <w:r>
        <w:rPr>
          <w:rFonts w:hint="eastAsia" w:ascii="仿宋" w:hAnsi="仿宋" w:eastAsia="仿宋" w:cs="仿宋"/>
          <w:sz w:val="21"/>
          <w:szCs w:val="21"/>
          <w:highlight w:val="none"/>
          <w:lang w:eastAsia="zh-CN"/>
        </w:rPr>
        <w:t>★</w:t>
      </w:r>
      <w:r>
        <w:rPr>
          <w:rFonts w:hint="eastAsia" w:ascii="仿宋" w:hAnsi="仿宋" w:eastAsia="仿宋" w:cs="仿宋"/>
          <w:color w:val="auto"/>
          <w:sz w:val="24"/>
          <w:szCs w:val="24"/>
          <w:highlight w:val="none"/>
          <w:lang w:val="en-US" w:eastAsia="zh-CN"/>
        </w:rPr>
        <w:t>”号条款作出响应，具体证明材料见响应文件“三、‘★’条款响应审查”。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7、我方承诺在本次采购活动中提供的一切文件，无论是原件还是复印件均为真实和准确的，绝无任何虚假、伪造和夸大的成份，否则，愿承担相应的后果和法律责任。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8、我方承诺响应文件未含有贵院不能接受的附加条件。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（注：本</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lang w:val="en-US" w:eastAsia="zh-CN"/>
        </w:rPr>
        <w:t>承诺</w:t>
      </w:r>
      <w:r>
        <w:rPr>
          <w:rFonts w:hint="eastAsia" w:ascii="仿宋" w:hAnsi="仿宋" w:eastAsia="仿宋" w:cs="仿宋"/>
          <w:b/>
          <w:color w:val="auto"/>
          <w:sz w:val="24"/>
          <w:szCs w:val="24"/>
          <w:highlight w:val="none"/>
        </w:rPr>
        <w:t>函内容不得擅自删改）</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3"/>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920" w:firstLineChars="8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6"/>
        <w:rPr>
          <w:rFonts w:hint="eastAsia" w:ascii="仿宋" w:hAnsi="仿宋" w:eastAsia="仿宋" w:cs="仿宋"/>
          <w:bCs/>
          <w:szCs w:val="21"/>
          <w:highlight w:val="none"/>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sz w:val="40"/>
          <w:szCs w:val="40"/>
          <w:highlight w:val="none"/>
          <w:lang w:val="en-US" w:eastAsia="zh-CN"/>
        </w:rPr>
        <w:t>三、“★”条款响应审查</w:t>
      </w:r>
    </w:p>
    <w:p>
      <w:pPr>
        <w:keepNext w:val="0"/>
        <w:keepLines w:val="0"/>
        <w:pageBreakBefore w:val="0"/>
        <w:widowControl w:val="0"/>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val="en-GB" w:eastAsia="zh-CN"/>
        </w:rPr>
      </w:pPr>
      <w:r>
        <w:rPr>
          <w:rFonts w:hint="eastAsia" w:ascii="仿宋" w:hAnsi="仿宋" w:eastAsia="仿宋" w:cs="仿宋"/>
          <w:b/>
          <w:bCs/>
          <w:color w:val="auto"/>
          <w:sz w:val="21"/>
          <w:szCs w:val="21"/>
          <w:highlight w:val="none"/>
          <w:lang w:val="en-GB" w:eastAsia="zh-CN"/>
        </w:rPr>
        <w:t>供应商必须按谈判文件中“★”条款响应审查内容据实填写，不得虚假应答，否则将取消其成交资格。</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公务车辆定点加油</w:t>
            </w:r>
          </w:p>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服务</w:t>
            </w:r>
            <w:r>
              <w:rPr>
                <w:rFonts w:hint="eastAsia" w:ascii="仿宋" w:hAnsi="仿宋" w:eastAsia="仿宋" w:cs="仿宋"/>
                <w:b/>
                <w:bCs/>
                <w:kern w:val="0"/>
                <w:sz w:val="24"/>
                <w:highlight w:val="none"/>
                <w:lang w:val="en-US" w:eastAsia="zh-CN"/>
              </w:rPr>
              <w:t>项目</w:t>
            </w:r>
          </w:p>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color w:val="000000"/>
                <w:szCs w:val="21"/>
                <w:highlight w:val="none"/>
              </w:rPr>
              <w:t>供应商所提供的燃油油品质量必须达到国家相关标准及要求，保证油品来源渠道合法合规，严禁提供假冒伪劣、过期变质物资。如因油质问题，致使医院车辆部件损坏的，供应商应无条件赔偿医院所受损失，同时医院有权单方终止采购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szCs w:val="21"/>
                <w:highlight w:val="none"/>
              </w:rPr>
              <w:t>供应商加油站应在距离医院3公里直径范围内，具备给中型客车加油的场地。响应时必须标明加油站详细地址、地图、经营面积、油枪数目、距离中山大学孙逸仙纪念医院北院区/南院区的实际驾车里程。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★供应商须保证给采购人公务车辆足量加油。如采购人对加油足量情况有疑问，采购人有权向市场监督部门反馈。如情况属实，采购人有权提前终止合同。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550"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医院有权对供应商所供应油品不定期不限次抽检。若经相关部门鉴定确立存在问题时（以国家或者地方政府指定检测部门抽检油站油品检验结果为基准），鉴定费用由供应商支付，并由供应商承担责任，赔偿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34"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lang w:val="en-US" w:eastAsia="zh-CN"/>
              </w:rPr>
              <w:t>★报价要求：</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供应商须按照加油站当日挂牌零售价的折扣率报价，报价包含单位货物价款、运输费、保险费用、税费及售后服务等一切费用。（如遇国家价格调整，在价格调整基础上折扣不变。）</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供应商在调整油价之前，应将调整油价通知提供给医院，调整后价格按政府批文日期执行。</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460" w:hRule="atLeast"/>
        </w:trPr>
        <w:tc>
          <w:tcPr>
            <w:tcW w:w="611"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color w:val="000000"/>
                <w:szCs w:val="21"/>
                <w:highlight w:val="none"/>
                <w:lang w:val="en-US" w:eastAsia="zh-CN"/>
              </w:rPr>
            </w:pPr>
            <w:r>
              <w:rPr>
                <w:rFonts w:hint="eastAsia" w:ascii="仿宋" w:hAnsi="仿宋" w:eastAsia="仿宋" w:cs="仿宋"/>
                <w:b/>
                <w:bCs/>
                <w:color w:val="000000"/>
                <w:szCs w:val="21"/>
                <w:highlight w:val="none"/>
                <w:lang w:val="en-US" w:eastAsia="zh-CN"/>
              </w:rPr>
              <w:t>★结算方式：</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1.签订合同后，采购人须向供应商指定账户支付3万元的保证金。医院公务车辆到供应商实行记账加油方式，每月结算一次，定点加油服务结算金额是按医院公务车辆上月实际发生的加油量进行结算支付。</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转账充值。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3.若采购人对供应商提供的明细表有异议，应在收到明细表五个工作日内通知供应商，双方共同审核交易明细。</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w:t>
      </w:r>
      <w:r>
        <w:rPr>
          <w:rFonts w:hint="eastAsia" w:ascii="仿宋" w:hAnsi="仿宋" w:eastAsia="仿宋" w:cs="仿宋"/>
          <w:sz w:val="21"/>
          <w:szCs w:val="21"/>
          <w:highlight w:val="none"/>
          <w:lang w:val="en-US" w:eastAsia="zh-CN"/>
        </w:rPr>
        <w:t>供应商必须全部响应上述要求，才可进入价格比较</w:t>
      </w:r>
      <w:r>
        <w:rPr>
          <w:rFonts w:hint="eastAsia" w:ascii="仿宋" w:hAnsi="仿宋" w:eastAsia="仿宋" w:cs="仿宋"/>
          <w:sz w:val="21"/>
          <w:szCs w:val="21"/>
          <w:highlight w:val="none"/>
        </w:rPr>
        <w:t>。</w:t>
      </w:r>
    </w:p>
    <w:p>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2、承诺以上响应情况属实，如有虚假响应，同意本项目一票否决，并列入采购人黑名单供应商。</w:t>
      </w:r>
    </w:p>
    <w:p>
      <w:pPr>
        <w:pStyle w:val="2"/>
        <w:ind w:firstLine="210" w:firstLineChars="1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3、请按照“★”条款响应审查表内的</w:t>
      </w:r>
      <w:r>
        <w:rPr>
          <w:rFonts w:hint="eastAsia" w:ascii="仿宋" w:hAnsi="仿宋" w:eastAsia="仿宋" w:cs="仿宋"/>
          <w:sz w:val="21"/>
          <w:szCs w:val="21"/>
          <w:highlight w:val="none"/>
          <w:lang w:val="en-US" w:eastAsia="zh-CN"/>
        </w:rPr>
        <w:t>要求提供相应的证明文件，并加盖公章，否则视为无效响应。</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4"/>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FFFFFF"/>
        <w:tabs>
          <w:tab w:val="left" w:pos="180"/>
        </w:tabs>
        <w:ind w:left="-240"/>
        <w:jc w:val="center"/>
        <w:rPr>
          <w:rFonts w:hint="eastAsia" w:ascii="仿宋" w:hAnsi="仿宋" w:eastAsia="仿宋" w:cs="仿宋"/>
          <w:b/>
          <w:bCs w:val="0"/>
          <w:sz w:val="32"/>
          <w:szCs w:val="32"/>
          <w:highlight w:val="none"/>
        </w:rPr>
      </w:pPr>
    </w:p>
    <w:p>
      <w:pPr>
        <w:shd w:val="clear" w:color="auto" w:fill="FFFFFF"/>
        <w:tabs>
          <w:tab w:val="left" w:pos="180"/>
        </w:tabs>
        <w:ind w:left="-240"/>
        <w:jc w:val="center"/>
        <w:rPr>
          <w:rFonts w:hint="eastAsia" w:ascii="仿宋" w:hAnsi="仿宋" w:eastAsia="仿宋" w:cs="仿宋"/>
          <w:b/>
          <w:bCs w:val="0"/>
          <w:sz w:val="32"/>
          <w:szCs w:val="32"/>
          <w:highlight w:val="none"/>
        </w:rPr>
      </w:pPr>
    </w:p>
    <w:p>
      <w:pPr>
        <w:pStyle w:val="2"/>
        <w:rPr>
          <w:rFonts w:hint="eastAsia" w:ascii="仿宋" w:hAnsi="仿宋" w:eastAsia="仿宋" w:cs="仿宋"/>
          <w:b/>
          <w:bCs w:val="0"/>
          <w:sz w:val="32"/>
          <w:szCs w:val="32"/>
          <w:highlight w:val="none"/>
        </w:rPr>
      </w:pPr>
    </w:p>
    <w:p>
      <w:pPr>
        <w:rPr>
          <w:rFonts w:hint="eastAsia" w:ascii="仿宋" w:hAnsi="仿宋" w:eastAsia="仿宋" w:cs="仿宋"/>
          <w:b/>
          <w:bCs w:val="0"/>
          <w:sz w:val="32"/>
          <w:szCs w:val="32"/>
          <w:highlight w:val="none"/>
        </w:rPr>
      </w:pPr>
    </w:p>
    <w:p>
      <w:pPr>
        <w:pStyle w:val="2"/>
        <w:rPr>
          <w:rFonts w:hint="eastAsia" w:ascii="仿宋" w:hAnsi="仿宋" w:eastAsia="仿宋" w:cs="仿宋"/>
          <w:b/>
          <w:bCs w:val="0"/>
          <w:sz w:val="32"/>
          <w:szCs w:val="32"/>
          <w:highlight w:val="none"/>
        </w:rPr>
      </w:pPr>
    </w:p>
    <w:p>
      <w:pPr>
        <w:rPr>
          <w:rFonts w:hint="eastAsia" w:ascii="仿宋" w:hAnsi="仿宋" w:eastAsia="仿宋" w:cs="仿宋"/>
          <w:b/>
          <w:bCs w:val="0"/>
          <w:sz w:val="32"/>
          <w:szCs w:val="32"/>
          <w:highlight w:val="none"/>
        </w:rPr>
      </w:pPr>
    </w:p>
    <w:p>
      <w:pPr>
        <w:pStyle w:val="2"/>
        <w:rPr>
          <w:rFonts w:hint="eastAsia" w:ascii="仿宋" w:hAnsi="仿宋" w:eastAsia="仿宋" w:cs="仿宋"/>
          <w:b/>
          <w:bCs w:val="0"/>
          <w:sz w:val="32"/>
          <w:szCs w:val="32"/>
          <w:highlight w:val="none"/>
        </w:rPr>
      </w:pPr>
    </w:p>
    <w:p>
      <w:pPr>
        <w:rPr>
          <w:rFonts w:hint="eastAsia" w:ascii="仿宋" w:hAnsi="仿宋" w:eastAsia="仿宋" w:cs="仿宋"/>
          <w:b/>
          <w:bCs w:val="0"/>
          <w:sz w:val="32"/>
          <w:szCs w:val="32"/>
          <w:highlight w:val="none"/>
        </w:rPr>
      </w:pPr>
    </w:p>
    <w:p>
      <w:pPr>
        <w:pStyle w:val="2"/>
        <w:rPr>
          <w:rFonts w:hint="eastAsia" w:ascii="仿宋" w:hAnsi="仿宋" w:eastAsia="仿宋" w:cs="仿宋"/>
          <w:b/>
          <w:bCs w:val="0"/>
          <w:sz w:val="32"/>
          <w:szCs w:val="32"/>
          <w:highlight w:val="none"/>
        </w:rPr>
      </w:pPr>
    </w:p>
    <w:p>
      <w:pPr>
        <w:rPr>
          <w:rFonts w:hint="eastAsia" w:ascii="仿宋" w:hAnsi="仿宋" w:eastAsia="仿宋" w:cs="仿宋"/>
          <w:b/>
          <w:bCs w:val="0"/>
          <w:sz w:val="32"/>
          <w:szCs w:val="32"/>
          <w:highlight w:val="none"/>
        </w:rPr>
      </w:pPr>
    </w:p>
    <w:p>
      <w:pPr>
        <w:pStyle w:val="2"/>
        <w:rPr>
          <w:rFonts w:hint="eastAsia"/>
        </w:rPr>
      </w:pPr>
    </w:p>
    <w:p>
      <w:pPr>
        <w:shd w:val="clear" w:color="auto" w:fill="FFFFFF"/>
        <w:tabs>
          <w:tab w:val="left" w:pos="180"/>
        </w:tabs>
        <w:ind w:left="-240"/>
        <w:jc w:val="center"/>
        <w:rPr>
          <w:rFonts w:hint="eastAsia" w:ascii="仿宋" w:hAnsi="仿宋" w:eastAsia="仿宋" w:cs="仿宋"/>
          <w:b/>
          <w:bCs w:val="0"/>
          <w:sz w:val="32"/>
          <w:szCs w:val="32"/>
          <w:highlight w:val="none"/>
        </w:rPr>
      </w:pP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6"/>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6"/>
        <w:rPr>
          <w:rFonts w:hint="eastAsia" w:ascii="仿宋" w:hAnsi="仿宋" w:eastAsia="仿宋" w:cs="仿宋"/>
          <w:highlight w:val="none"/>
        </w:rPr>
      </w:pPr>
    </w:p>
    <w:p>
      <w:pPr>
        <w:pStyle w:val="26"/>
        <w:numPr>
          <w:ilvl w:val="0"/>
          <w:numId w:val="0"/>
        </w:numPr>
        <w:ind w:leftChars="200"/>
        <w:jc w:val="center"/>
        <w:rPr>
          <w:rFonts w:hint="eastAsia" w:ascii="仿宋" w:hAnsi="仿宋" w:eastAsia="仿宋" w:cs="仿宋"/>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6"/>
        <w:numPr>
          <w:ilvl w:val="0"/>
          <w:numId w:val="0"/>
        </w:numPr>
        <w:ind w:leftChars="200"/>
        <w:jc w:val="center"/>
        <w:rPr>
          <w:rFonts w:hint="eastAsia" w:ascii="仿宋" w:hAnsi="仿宋" w:eastAsia="仿宋" w:cs="仿宋"/>
          <w:b/>
          <w:bCs w:val="0"/>
          <w:sz w:val="32"/>
          <w:szCs w:val="32"/>
          <w:highlight w:val="none"/>
          <w:lang w:val="en-US" w:eastAsia="zh-CN"/>
        </w:rPr>
      </w:pPr>
    </w:p>
    <w:p>
      <w:pPr>
        <w:pStyle w:val="26"/>
        <w:numPr>
          <w:ilvl w:val="0"/>
          <w:numId w:val="0"/>
        </w:numPr>
        <w:ind w:leftChars="200"/>
        <w:jc w:val="center"/>
        <w:rPr>
          <w:rFonts w:hint="eastAsia" w:ascii="仿宋" w:hAnsi="仿宋" w:eastAsia="仿宋" w:cs="仿宋"/>
          <w:b/>
          <w:bCs w:val="0"/>
          <w:sz w:val="32"/>
          <w:szCs w:val="32"/>
          <w:highlight w:val="none"/>
          <w:lang w:val="en-US" w:eastAsia="zh-CN"/>
        </w:rPr>
      </w:pPr>
    </w:p>
    <w:p>
      <w:pPr>
        <w:pStyle w:val="26"/>
        <w:numPr>
          <w:ilvl w:val="0"/>
          <w:numId w:val="0"/>
        </w:numPr>
        <w:ind w:leftChars="200"/>
        <w:jc w:val="center"/>
        <w:rPr>
          <w:rFonts w:hint="eastAsia" w:ascii="仿宋" w:hAnsi="仿宋" w:eastAsia="仿宋" w:cs="仿宋"/>
          <w:b/>
          <w:bCs w:val="0"/>
          <w:sz w:val="32"/>
          <w:szCs w:val="32"/>
          <w:highlight w:val="none"/>
          <w:lang w:val="en-US" w:eastAsia="zh-CN"/>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val="en-US" w:eastAsia="zh-CN"/>
        </w:rPr>
        <w:t>证明文件</w:t>
      </w:r>
      <w:r>
        <w:rPr>
          <w:rFonts w:hint="eastAsia" w:ascii="仿宋" w:hAnsi="仿宋" w:eastAsia="仿宋" w:cs="仿宋"/>
          <w:b/>
          <w:bCs w:val="0"/>
          <w:sz w:val="24"/>
          <w:szCs w:val="24"/>
          <w:highlight w:val="none"/>
          <w:lang w:val="en-US" w:eastAsia="zh-CN"/>
        </w:rPr>
        <w:t>（如有）</w:t>
      </w:r>
    </w:p>
    <w:p>
      <w:pPr>
        <w:pStyle w:val="26"/>
        <w:ind w:left="0" w:leftChars="0" w:firstLine="0" w:firstLineChars="0"/>
        <w:jc w:val="both"/>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（1）“★”条款响应承诺函</w:t>
      </w:r>
    </w:p>
    <w:p>
      <w:pPr>
        <w:pStyle w:val="2"/>
        <w:spacing w:line="364" w:lineRule="auto"/>
        <w:ind w:right="706" w:rightChars="0" w:firstLine="720" w:firstLineChars="30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采购项目名称：中山大学孙逸仙纪念医院公务车辆定点加油服务项目</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致：中山大学</w:t>
      </w:r>
      <w:r>
        <w:rPr>
          <w:rFonts w:hint="eastAsia" w:ascii="仿宋" w:hAnsi="仿宋" w:eastAsia="仿宋" w:cs="仿宋"/>
          <w:color w:val="auto"/>
          <w:sz w:val="24"/>
          <w:szCs w:val="24"/>
          <w:highlight w:val="none"/>
          <w:lang w:val="en-US" w:eastAsia="zh-CN"/>
        </w:rPr>
        <w:t>孙逸仙纪念</w:t>
      </w:r>
      <w:r>
        <w:rPr>
          <w:rFonts w:hint="eastAsia" w:ascii="仿宋" w:hAnsi="仿宋" w:eastAsia="仿宋" w:cs="仿宋"/>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依据中山大学孙逸仙纪念医院公务车辆定点加油服务项目院内谈判文件中“★”条款要求，在此，我方承诺如下：</w:t>
      </w:r>
    </w:p>
    <w:p>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u w:val="single"/>
          <w:lang w:val="en-US" w:eastAsia="zh-CN"/>
        </w:rPr>
        <w:t xml:space="preserve">                                                                                            </w:t>
      </w:r>
    </w:p>
    <w:p>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single"/>
          <w:lang w:val="en-US" w:eastAsia="zh-CN"/>
        </w:rPr>
        <w:t xml:space="preserve">                                                                                                 </w:t>
      </w:r>
    </w:p>
    <w:p>
      <w:pPr>
        <w:pStyle w:val="26"/>
        <w:ind w:left="0" w:leftChars="0" w:firstLine="0" w:firstLineChars="0"/>
        <w:rPr>
          <w:rFonts w:hint="eastAsia" w:ascii="仿宋" w:hAnsi="仿宋" w:eastAsia="仿宋" w:cs="仿宋"/>
          <w:color w:val="auto"/>
          <w:szCs w:val="21"/>
          <w:lang w:val="en-GB"/>
        </w:rPr>
      </w:pPr>
    </w:p>
    <w:p>
      <w:pPr>
        <w:pStyle w:val="26"/>
        <w:ind w:left="0" w:leftChars="0" w:firstLine="0" w:firstLineChars="0"/>
        <w:rPr>
          <w:rFonts w:hint="eastAsia" w:ascii="仿宋" w:hAnsi="仿宋" w:eastAsia="仿宋" w:cs="仿宋"/>
          <w:color w:val="auto"/>
          <w:szCs w:val="21"/>
          <w:lang w:val="en-GB"/>
        </w:rPr>
      </w:pPr>
    </w:p>
    <w:p>
      <w:pPr>
        <w:pStyle w:val="26"/>
        <w:ind w:left="0" w:leftChars="0" w:firstLine="0" w:firstLineChars="0"/>
        <w:rPr>
          <w:rFonts w:hint="eastAsia" w:ascii="仿宋" w:hAnsi="仿宋" w:eastAsia="仿宋" w:cs="仿宋"/>
          <w:color w:val="auto"/>
          <w:szCs w:val="21"/>
          <w:lang w:val="en-GB"/>
        </w:rPr>
      </w:pPr>
    </w:p>
    <w:p>
      <w:pPr>
        <w:pStyle w:val="26"/>
        <w:ind w:left="0" w:leftChars="0" w:firstLine="0" w:firstLineChars="0"/>
        <w:rPr>
          <w:rFonts w:hint="eastAsia" w:ascii="仿宋" w:hAnsi="仿宋" w:eastAsia="仿宋" w:cs="仿宋"/>
          <w:color w:val="auto"/>
          <w:szCs w:val="21"/>
          <w:lang w:val="en-GB"/>
        </w:rPr>
      </w:pPr>
    </w:p>
    <w:p>
      <w:pPr>
        <w:pStyle w:val="26"/>
        <w:ind w:left="0" w:leftChars="0" w:firstLine="0" w:firstLineChars="0"/>
        <w:rPr>
          <w:rFonts w:hint="default" w:ascii="仿宋" w:hAnsi="仿宋" w:eastAsia="仿宋" w:cs="仿宋"/>
          <w:sz w:val="21"/>
          <w:szCs w:val="28"/>
          <w:lang w:val="en-US" w:eastAsia="zh-CN"/>
        </w:rPr>
      </w:pPr>
      <w:r>
        <w:rPr>
          <w:rFonts w:hint="eastAsia" w:ascii="仿宋" w:hAnsi="仿宋" w:eastAsia="仿宋" w:cs="仿宋"/>
          <w:color w:val="auto"/>
          <w:sz w:val="21"/>
          <w:szCs w:val="22"/>
          <w:lang w:val="en-GB"/>
        </w:rPr>
        <w:t>注：1.“★”条款响应</w:t>
      </w:r>
      <w:r>
        <w:rPr>
          <w:rFonts w:hint="eastAsia" w:ascii="仿宋" w:hAnsi="仿宋" w:eastAsia="仿宋" w:cs="仿宋"/>
          <w:color w:val="auto"/>
          <w:sz w:val="21"/>
          <w:szCs w:val="22"/>
          <w:lang w:val="en-US" w:eastAsia="zh-CN"/>
        </w:rPr>
        <w:t>承诺函须按照“★”条款内容一一响应，具体格式内容自拟，内容可合并在同一个承诺函内，也可分开出具不同承诺函。</w:t>
      </w:r>
    </w:p>
    <w:p>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2.承诺以上响应情况属实，如有虚假响应，同意本项目一票否决，并列入采购人黑名单供应商。</w:t>
      </w:r>
    </w:p>
    <w:p>
      <w:pPr>
        <w:pStyle w:val="26"/>
        <w:ind w:left="0" w:leftChars="0" w:firstLine="0" w:firstLineChars="0"/>
        <w:rPr>
          <w:rFonts w:hint="eastAsia" w:ascii="仿宋" w:hAnsi="仿宋" w:eastAsia="仿宋" w:cs="仿宋"/>
        </w:rPr>
      </w:pPr>
    </w:p>
    <w:p>
      <w:pPr>
        <w:pStyle w:val="26"/>
        <w:ind w:left="0" w:leftChars="0" w:firstLine="0" w:firstLineChars="0"/>
        <w:rPr>
          <w:rFonts w:hint="eastAsia" w:ascii="仿宋" w:hAnsi="仿宋" w:eastAsia="仿宋" w:cs="仿宋"/>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6"/>
        <w:ind w:left="0" w:leftChars="0" w:firstLine="0" w:firstLineChars="0"/>
        <w:jc w:val="center"/>
        <w:rPr>
          <w:rFonts w:hint="eastAsia" w:ascii="仿宋" w:hAnsi="仿宋" w:eastAsia="仿宋" w:cs="仿宋"/>
          <w:b/>
          <w:bCs w:val="0"/>
          <w:sz w:val="32"/>
          <w:szCs w:val="32"/>
          <w:highlight w:val="none"/>
          <w:lang w:val="en-US" w:eastAsia="zh-CN"/>
        </w:rPr>
      </w:pPr>
    </w:p>
    <w:p>
      <w:pPr>
        <w:pStyle w:val="26"/>
        <w:ind w:left="0" w:leftChars="0" w:firstLine="0" w:firstLineChars="0"/>
        <w:jc w:val="both"/>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（2）供应商运输车辆配置</w:t>
      </w:r>
    </w:p>
    <w:p>
      <w:pPr>
        <w:pStyle w:val="26"/>
        <w:rPr>
          <w:rFonts w:hint="eastAsia" w:ascii="仿宋" w:hAnsi="仿宋" w:eastAsia="仿宋" w:cs="仿宋"/>
          <w:color w:val="auto"/>
          <w:szCs w:val="21"/>
          <w:highlight w:val="none"/>
          <w:lang w:val="en-GB"/>
        </w:rPr>
      </w:pPr>
      <w:r>
        <w:rPr>
          <w:rFonts w:hint="eastAsia" w:ascii="仿宋" w:hAnsi="仿宋" w:eastAsia="仿宋" w:cs="仿宋"/>
          <w:b/>
          <w:bCs/>
          <w:sz w:val="22"/>
          <w:szCs w:val="24"/>
          <w:highlight w:val="none"/>
          <w:lang w:val="en-US" w:eastAsia="zh-CN"/>
        </w:rPr>
        <w:t>包组1：</w:t>
      </w:r>
      <w:r>
        <w:rPr>
          <w:rFonts w:hint="eastAsia" w:ascii="仿宋" w:hAnsi="仿宋" w:eastAsia="仿宋" w:cs="仿宋"/>
          <w:b w:val="0"/>
          <w:bCs w:val="0"/>
          <w:szCs w:val="21"/>
          <w:highlight w:val="none"/>
        </w:rPr>
        <w:t>供应商加油站应在距离医院3公里直径范围内，具备给中型客车加油的场地。响应时必须标明加油站详细地址、地图、经营面积、油枪数目、距离中山大学孙逸仙纪念医院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rPr>
        <w:t>北院区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pPr>
        <w:pStyle w:val="26"/>
        <w:ind w:left="0" w:leftChars="0" w:firstLine="0" w:firstLineChars="0"/>
        <w:jc w:val="center"/>
        <w:rPr>
          <w:rFonts w:hint="eastAsia" w:ascii="仿宋" w:hAnsi="仿宋" w:eastAsia="仿宋" w:cs="仿宋"/>
          <w:b/>
          <w:bCs w:val="0"/>
          <w:sz w:val="32"/>
          <w:szCs w:val="32"/>
          <w:highlight w:val="none"/>
          <w:lang w:val="en-US" w:eastAsia="zh-CN"/>
        </w:rPr>
      </w:pPr>
    </w:p>
    <w:p>
      <w:pPr>
        <w:pStyle w:val="26"/>
        <w:rPr>
          <w:rFonts w:hint="eastAsia" w:ascii="仿宋" w:hAnsi="仿宋" w:eastAsia="仿宋" w:cs="仿宋"/>
          <w:color w:val="auto"/>
          <w:szCs w:val="21"/>
          <w:highlight w:val="none"/>
          <w:lang w:val="en-GB"/>
        </w:rPr>
      </w:pPr>
      <w:r>
        <w:rPr>
          <w:rFonts w:hint="eastAsia" w:ascii="仿宋" w:hAnsi="仿宋" w:eastAsia="仿宋" w:cs="仿宋"/>
          <w:b/>
          <w:bCs w:val="0"/>
          <w:sz w:val="22"/>
          <w:szCs w:val="22"/>
          <w:highlight w:val="none"/>
          <w:lang w:val="en-US" w:eastAsia="zh-CN"/>
        </w:rPr>
        <w:t>包组2：</w:t>
      </w:r>
      <w:r>
        <w:rPr>
          <w:rFonts w:hint="eastAsia" w:ascii="仿宋" w:hAnsi="仿宋" w:eastAsia="仿宋" w:cs="仿宋"/>
          <w:b w:val="0"/>
          <w:bCs w:val="0"/>
          <w:szCs w:val="21"/>
          <w:highlight w:val="none"/>
        </w:rPr>
        <w:t>供应商加油站应在距离医院3公里直径范围内，具备给中型客车加油的场地。响应时必须标明加油站详细地址、地图、经营面积、油枪数目、距离中山大学孙逸仙纪念医院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rPr>
        <w:t>南院区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pPr>
        <w:pStyle w:val="26"/>
        <w:ind w:left="0" w:leftChars="0" w:firstLine="0" w:firstLineChars="0"/>
        <w:jc w:val="center"/>
        <w:rPr>
          <w:rFonts w:hint="eastAsia" w:ascii="仿宋" w:hAnsi="仿宋" w:eastAsia="仿宋" w:cs="仿宋"/>
          <w:color w:val="auto"/>
          <w:sz w:val="21"/>
          <w:szCs w:val="22"/>
          <w:lang w:val="en-GB"/>
        </w:rPr>
      </w:pPr>
    </w:p>
    <w:p>
      <w:pPr>
        <w:pStyle w:val="26"/>
        <w:ind w:left="0" w:leftChars="0" w:firstLine="0" w:firstLineChars="0"/>
        <w:jc w:val="left"/>
        <w:rPr>
          <w:rFonts w:hint="eastAsia" w:ascii="仿宋" w:hAnsi="仿宋" w:eastAsia="仿宋" w:cs="仿宋"/>
          <w:b/>
          <w:bCs w:val="0"/>
          <w:sz w:val="32"/>
          <w:szCs w:val="32"/>
          <w:highlight w:val="none"/>
          <w:lang w:val="en-US" w:eastAsia="zh-CN"/>
        </w:rPr>
      </w:pPr>
      <w:r>
        <w:rPr>
          <w:rFonts w:hint="eastAsia" w:ascii="仿宋" w:hAnsi="仿宋" w:eastAsia="仿宋" w:cs="仿宋"/>
          <w:color w:val="auto"/>
          <w:sz w:val="21"/>
          <w:szCs w:val="22"/>
          <w:lang w:val="en-GB"/>
        </w:rPr>
        <w:t>注：</w:t>
      </w:r>
      <w:r>
        <w:rPr>
          <w:rFonts w:hint="eastAsia" w:ascii="仿宋" w:hAnsi="仿宋" w:eastAsia="仿宋" w:cs="仿宋"/>
          <w:color w:val="auto"/>
          <w:sz w:val="21"/>
          <w:szCs w:val="22"/>
          <w:lang w:val="en-US" w:eastAsia="zh-CN"/>
        </w:rPr>
        <w:t>提供</w:t>
      </w:r>
      <w:r>
        <w:rPr>
          <w:rFonts w:hint="eastAsia" w:ascii="仿宋" w:hAnsi="仿宋" w:eastAsia="仿宋" w:cs="仿宋"/>
          <w:b w:val="0"/>
          <w:bCs w:val="0"/>
          <w:szCs w:val="21"/>
          <w:highlight w:val="none"/>
        </w:rPr>
        <w:t>供应商</w:t>
      </w:r>
      <w:r>
        <w:rPr>
          <w:rFonts w:hint="eastAsia" w:ascii="仿宋" w:hAnsi="仿宋" w:eastAsia="仿宋" w:cs="仿宋"/>
          <w:b w:val="0"/>
          <w:bCs w:val="0"/>
          <w:szCs w:val="21"/>
          <w:highlight w:val="none"/>
          <w:lang w:val="en-US" w:eastAsia="zh-CN"/>
        </w:rPr>
        <w:t>到</w:t>
      </w:r>
      <w:r>
        <w:rPr>
          <w:rFonts w:hint="eastAsia" w:ascii="仿宋" w:hAnsi="仿宋" w:eastAsia="仿宋" w:cs="仿宋"/>
          <w:color w:val="auto"/>
          <w:sz w:val="21"/>
          <w:szCs w:val="22"/>
          <w:lang w:val="en-US" w:eastAsia="zh-CN"/>
        </w:rPr>
        <w:t>响应包组号所对应院区的百度地图实际驾车里程截图</w:t>
      </w:r>
      <w:r>
        <w:rPr>
          <w:rFonts w:hint="eastAsia" w:ascii="仿宋" w:hAnsi="仿宋" w:eastAsia="仿宋" w:cs="仿宋"/>
          <w:color w:val="auto"/>
          <w:sz w:val="21"/>
          <w:szCs w:val="22"/>
          <w:lang w:val="en-GB" w:eastAsia="zh-CN"/>
        </w:rPr>
        <w:t>。</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6"/>
        <w:ind w:left="0" w:leftChars="0" w:firstLine="0" w:firstLineChars="0"/>
        <w:jc w:val="left"/>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（3）其它重要事项说明及承诺（如有）</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lang w:val="en-US" w:eastAsia="zh-CN"/>
        </w:rPr>
      </w:pPr>
    </w:p>
    <w:p>
      <w:pPr>
        <w:pStyle w:val="3"/>
        <w:rPr>
          <w:rFonts w:hint="eastAsia" w:ascii="仿宋" w:hAnsi="仿宋" w:eastAsia="仿宋" w:cs="仿宋"/>
          <w:color w:val="auto"/>
          <w:sz w:val="24"/>
          <w:lang w:val="en-US" w:eastAsia="zh-CN"/>
        </w:rPr>
      </w:pPr>
    </w:p>
    <w:p>
      <w:pPr>
        <w:rPr>
          <w:rFonts w:hint="eastAsia" w:ascii="仿宋" w:hAnsi="仿宋" w:eastAsia="仿宋" w:cs="仿宋"/>
          <w:color w:val="auto"/>
          <w:sz w:val="24"/>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6"/>
        <w:rPr>
          <w:rFonts w:hint="eastAsia" w:ascii="仿宋" w:hAnsi="仿宋" w:eastAsia="仿宋" w:cs="仿宋"/>
          <w:color w:val="auto"/>
          <w:szCs w:val="21"/>
          <w:highlight w:val="none"/>
          <w:lang w:val="en-GB"/>
        </w:rPr>
      </w:pPr>
    </w:p>
    <w:p>
      <w:pPr>
        <w:pStyle w:val="3"/>
        <w:rPr>
          <w:rFonts w:hint="eastAsia" w:ascii="仿宋" w:hAnsi="仿宋" w:eastAsia="仿宋" w:cs="仿宋"/>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9CFA27-8785-49FB-AC9F-297BF365B6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AD2054D-920B-49AE-8CD4-08F468CC1382}"/>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0B0978D-37EF-44C8-9C07-961F8B4D698E}"/>
  </w:font>
  <w:font w:name="微软雅黑">
    <w:panose1 w:val="020B0503020204020204"/>
    <w:charset w:val="86"/>
    <w:family w:val="auto"/>
    <w:pitch w:val="default"/>
    <w:sig w:usb0="80000287" w:usb1="2ACF3C50" w:usb2="00000016" w:usb3="00000000" w:csb0="0004001F" w:csb1="00000000"/>
    <w:embedRegular r:id="rId4" w:fontKey="{9A3F4051-B844-4720-B35F-381ED49485A5}"/>
  </w:font>
  <w:font w:name="仿宋">
    <w:panose1 w:val="02010609060101010101"/>
    <w:charset w:val="86"/>
    <w:family w:val="auto"/>
    <w:pitch w:val="default"/>
    <w:sig w:usb0="800002BF" w:usb1="38CF7CFA" w:usb2="00000016" w:usb3="00000000" w:csb0="00040001" w:csb1="00000000"/>
    <w:embedRegular r:id="rId5" w:fontKey="{CC581840-36B9-437A-82F7-D3E628890DFE}"/>
  </w:font>
  <w:font w:name="华文中宋">
    <w:panose1 w:val="02010600040101010101"/>
    <w:charset w:val="86"/>
    <w:family w:val="auto"/>
    <w:pitch w:val="default"/>
    <w:sig w:usb0="00000287" w:usb1="080F0000" w:usb2="00000000" w:usb3="00000000" w:csb0="0004009F" w:csb1="DFD70000"/>
    <w:embedRegular r:id="rId6" w:fontKey="{5BEB52EE-DDBC-4392-938E-51EC0ABB2065}"/>
  </w:font>
  <w:font w:name="Calibri Light">
    <w:panose1 w:val="020F0302020204030204"/>
    <w:charset w:val="00"/>
    <w:family w:val="swiss"/>
    <w:pitch w:val="default"/>
    <w:sig w:usb0="E0002AFF" w:usb1="C000247B" w:usb2="00000009" w:usb3="00000000" w:csb0="200001FF" w:csb1="00000000"/>
    <w:embedRegular r:id="rId7" w:fontKey="{573DA5D3-738C-4442-9F61-26DC0481CFFF}"/>
  </w:font>
  <w:font w:name="华文仿宋">
    <w:panose1 w:val="02010600040101010101"/>
    <w:charset w:val="86"/>
    <w:family w:val="auto"/>
    <w:pitch w:val="default"/>
    <w:sig w:usb0="00000287" w:usb1="080F0000" w:usb2="00000000" w:usb3="00000000" w:csb0="0004009F" w:csb1="DFD70000"/>
    <w:embedRegular r:id="rId8" w:fontKey="{918F6025-55E8-4178-9657-289343D4A4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Lines="0" w:afterLines="0"/>
      <w:rPr>
        <w:rFonts w:hint="eastAsia"/>
        <w:sz w:val="18"/>
        <w:szCs w:val="24"/>
      </w:rPr>
    </w:pPr>
  </w:p>
  <w:p>
    <w:pPr>
      <w:pStyle w:val="13"/>
      <w:spacing w:beforeLines="0" w:afterLines="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3"/>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XW5UtAAAAAFAQAADwAAAAAAAAABACAAAAAi&#10;AAAAZHJzL2Rvd25yZXYueG1sUEsBAhQAFAAAAAgAh07iQJsyNWrZAQAAtAMAAA4AAAAAAAAAAQAg&#10;AAAAHwEAAGRycy9lMm9Eb2MueG1sUEsFBgAAAAAGAAYAWQEAAGoFAAAAAA==&#10;">
              <v:fill on="f" focussize="0,0"/>
              <v:stroke on="f"/>
              <v:imagedata o:title=""/>
              <o:lock v:ext="edit" aspectratio="f"/>
              <v:textbox inset="0mm,0mm,0mm,0mm" style="mso-fit-shape-to-text:t;">
                <w:txbxContent>
                  <w:p>
                    <w:pPr>
                      <w:pStyle w:val="13"/>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spacing w:beforeLines="0" w:afterLines="0"/>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2">
    <w:nsid w:val="00000004"/>
    <w:multiLevelType w:val="singleLevel"/>
    <w:tmpl w:val="00000004"/>
    <w:lvl w:ilvl="0" w:tentative="0">
      <w:start w:val="5"/>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1B75FAF8"/>
    <w:multiLevelType w:val="singleLevel"/>
    <w:tmpl w:val="1B75FAF8"/>
    <w:lvl w:ilvl="0" w:tentative="0">
      <w:start w:val="1"/>
      <w:numFmt w:val="decimal"/>
      <w:suff w:val="nothing"/>
      <w:lvlText w:val="（%1）"/>
      <w:lvlJc w:val="left"/>
    </w:lvl>
  </w:abstractNum>
  <w:abstractNum w:abstractNumId="6">
    <w:nsid w:val="1C4FDB69"/>
    <w:multiLevelType w:val="multilevel"/>
    <w:tmpl w:val="1C4FDB69"/>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21220A40"/>
    <w:multiLevelType w:val="singleLevel"/>
    <w:tmpl w:val="21220A40"/>
    <w:lvl w:ilvl="0" w:tentative="0">
      <w:start w:val="1"/>
      <w:numFmt w:val="chineseCounting"/>
      <w:suff w:val="nothing"/>
      <w:lvlText w:val="%1、"/>
      <w:lvlJc w:val="left"/>
      <w:rPr>
        <w:rFonts w:hint="eastAsia"/>
      </w:rPr>
    </w:lvl>
  </w:abstractNum>
  <w:abstractNum w:abstractNumId="8">
    <w:nsid w:val="2BFE6D92"/>
    <w:multiLevelType w:val="singleLevel"/>
    <w:tmpl w:val="2BFE6D92"/>
    <w:lvl w:ilvl="0" w:tentative="0">
      <w:start w:val="2"/>
      <w:numFmt w:val="chineseCounting"/>
      <w:suff w:val="nothing"/>
      <w:lvlText w:val="（%1）"/>
      <w:lvlJc w:val="left"/>
      <w:rPr>
        <w:rFonts w:hint="eastAsia"/>
      </w:rPr>
    </w:lvl>
  </w:abstractNum>
  <w:abstractNum w:abstractNumId="9">
    <w:nsid w:val="714151E5"/>
    <w:multiLevelType w:val="singleLevel"/>
    <w:tmpl w:val="714151E5"/>
    <w:lvl w:ilvl="0" w:tentative="0">
      <w:start w:val="5"/>
      <w:numFmt w:val="decimal"/>
      <w:suff w:val="nothing"/>
      <w:lvlText w:val="%1、"/>
      <w:lvlJc w:val="left"/>
    </w:lvl>
  </w:abstractNum>
  <w:abstractNum w:abstractNumId="10">
    <w:nsid w:val="7801E0EE"/>
    <w:multiLevelType w:val="singleLevel"/>
    <w:tmpl w:val="7801E0EE"/>
    <w:lvl w:ilvl="0" w:tentative="0">
      <w:start w:val="1"/>
      <w:numFmt w:val="decimal"/>
      <w:lvlText w:val="%1."/>
      <w:lvlJc w:val="left"/>
      <w:pPr>
        <w:tabs>
          <w:tab w:val="left" w:pos="312"/>
        </w:tabs>
      </w:pPr>
    </w:lvl>
  </w:abstractNum>
  <w:num w:numId="1">
    <w:abstractNumId w:val="7"/>
  </w:num>
  <w:num w:numId="2">
    <w:abstractNumId w:val="5"/>
  </w:num>
  <w:num w:numId="3">
    <w:abstractNumId w:val="10"/>
  </w:num>
  <w:num w:numId="4">
    <w:abstractNumId w:val="0"/>
  </w:num>
  <w:num w:numId="5">
    <w:abstractNumId w:val="1"/>
  </w:num>
  <w:num w:numId="6">
    <w:abstractNumId w:val="3"/>
  </w:num>
  <w:num w:numId="7">
    <w:abstractNumId w:val="2"/>
  </w:num>
  <w:num w:numId="8">
    <w:abstractNumId w:val="4"/>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55B72"/>
    <w:rsid w:val="008364B3"/>
    <w:rsid w:val="009072B8"/>
    <w:rsid w:val="012B0749"/>
    <w:rsid w:val="013D212A"/>
    <w:rsid w:val="02E45A44"/>
    <w:rsid w:val="02FE009D"/>
    <w:rsid w:val="03281855"/>
    <w:rsid w:val="03D66504"/>
    <w:rsid w:val="03DB0660"/>
    <w:rsid w:val="045B70AB"/>
    <w:rsid w:val="071E4644"/>
    <w:rsid w:val="08534C69"/>
    <w:rsid w:val="08C47BB7"/>
    <w:rsid w:val="099F4DD9"/>
    <w:rsid w:val="0A331D26"/>
    <w:rsid w:val="0AC55419"/>
    <w:rsid w:val="0C4B6126"/>
    <w:rsid w:val="0CA57A5D"/>
    <w:rsid w:val="0D244915"/>
    <w:rsid w:val="0D5B2AD2"/>
    <w:rsid w:val="0D857E27"/>
    <w:rsid w:val="0DD979BE"/>
    <w:rsid w:val="0FB6788B"/>
    <w:rsid w:val="0FD303F6"/>
    <w:rsid w:val="0FDA79D0"/>
    <w:rsid w:val="1013053A"/>
    <w:rsid w:val="10783DF3"/>
    <w:rsid w:val="10AF777C"/>
    <w:rsid w:val="11A044E2"/>
    <w:rsid w:val="11EC0DDF"/>
    <w:rsid w:val="12AD734B"/>
    <w:rsid w:val="146E0717"/>
    <w:rsid w:val="14EE79C4"/>
    <w:rsid w:val="154E24EE"/>
    <w:rsid w:val="162109F2"/>
    <w:rsid w:val="16B67A8B"/>
    <w:rsid w:val="16DB5746"/>
    <w:rsid w:val="173176A9"/>
    <w:rsid w:val="17DD454F"/>
    <w:rsid w:val="184237D7"/>
    <w:rsid w:val="18644328"/>
    <w:rsid w:val="1881137E"/>
    <w:rsid w:val="19921369"/>
    <w:rsid w:val="19CA465F"/>
    <w:rsid w:val="1ACD2659"/>
    <w:rsid w:val="1ADA6D78"/>
    <w:rsid w:val="1B131E14"/>
    <w:rsid w:val="1B3E2C82"/>
    <w:rsid w:val="1B481938"/>
    <w:rsid w:val="1B771694"/>
    <w:rsid w:val="1BEA74D5"/>
    <w:rsid w:val="1C4739C8"/>
    <w:rsid w:val="1CC050EC"/>
    <w:rsid w:val="1D644DCB"/>
    <w:rsid w:val="1E234C86"/>
    <w:rsid w:val="1EF07D0A"/>
    <w:rsid w:val="1F810D26"/>
    <w:rsid w:val="1FBD490B"/>
    <w:rsid w:val="21BC51D5"/>
    <w:rsid w:val="22F91274"/>
    <w:rsid w:val="23537803"/>
    <w:rsid w:val="243B6C41"/>
    <w:rsid w:val="25042435"/>
    <w:rsid w:val="26B01879"/>
    <w:rsid w:val="278C564A"/>
    <w:rsid w:val="27C0451E"/>
    <w:rsid w:val="27CC2E17"/>
    <w:rsid w:val="28F80354"/>
    <w:rsid w:val="28FD30BD"/>
    <w:rsid w:val="290F02E0"/>
    <w:rsid w:val="29192F0D"/>
    <w:rsid w:val="294602A2"/>
    <w:rsid w:val="2D3C4051"/>
    <w:rsid w:val="2D9B6072"/>
    <w:rsid w:val="2DF978C0"/>
    <w:rsid w:val="2E456552"/>
    <w:rsid w:val="2E673F37"/>
    <w:rsid w:val="2F1D6123"/>
    <w:rsid w:val="2F745341"/>
    <w:rsid w:val="30B83DAF"/>
    <w:rsid w:val="31220DD1"/>
    <w:rsid w:val="31AE289D"/>
    <w:rsid w:val="321B5F48"/>
    <w:rsid w:val="321E0D93"/>
    <w:rsid w:val="32DA195F"/>
    <w:rsid w:val="33027866"/>
    <w:rsid w:val="33220FDF"/>
    <w:rsid w:val="33782B04"/>
    <w:rsid w:val="33BF55CF"/>
    <w:rsid w:val="361D0276"/>
    <w:rsid w:val="362F262F"/>
    <w:rsid w:val="36EF6EE9"/>
    <w:rsid w:val="37A91900"/>
    <w:rsid w:val="3837515E"/>
    <w:rsid w:val="391575AB"/>
    <w:rsid w:val="391948F3"/>
    <w:rsid w:val="39FB2115"/>
    <w:rsid w:val="3A0766AD"/>
    <w:rsid w:val="3A1140AB"/>
    <w:rsid w:val="3A793787"/>
    <w:rsid w:val="3B7C3893"/>
    <w:rsid w:val="3C810CE1"/>
    <w:rsid w:val="3CA0136A"/>
    <w:rsid w:val="3CDA3B31"/>
    <w:rsid w:val="3D1D35B4"/>
    <w:rsid w:val="3D4537CA"/>
    <w:rsid w:val="3D8F3346"/>
    <w:rsid w:val="3DF84B23"/>
    <w:rsid w:val="3F072A72"/>
    <w:rsid w:val="3F2C4501"/>
    <w:rsid w:val="3F6D0C75"/>
    <w:rsid w:val="40732D15"/>
    <w:rsid w:val="40755194"/>
    <w:rsid w:val="40FC6D92"/>
    <w:rsid w:val="41606B88"/>
    <w:rsid w:val="41B96F1C"/>
    <w:rsid w:val="42F02AD9"/>
    <w:rsid w:val="43211A9B"/>
    <w:rsid w:val="43657023"/>
    <w:rsid w:val="4373519D"/>
    <w:rsid w:val="437B178A"/>
    <w:rsid w:val="43E23597"/>
    <w:rsid w:val="451467E3"/>
    <w:rsid w:val="45553149"/>
    <w:rsid w:val="45AD22B6"/>
    <w:rsid w:val="45CB7ED7"/>
    <w:rsid w:val="46452E66"/>
    <w:rsid w:val="47B916EB"/>
    <w:rsid w:val="481F6B0D"/>
    <w:rsid w:val="495F42D8"/>
    <w:rsid w:val="4B5A4288"/>
    <w:rsid w:val="4C400740"/>
    <w:rsid w:val="4C571BB3"/>
    <w:rsid w:val="4C6D6F48"/>
    <w:rsid w:val="4D7722CE"/>
    <w:rsid w:val="4E173610"/>
    <w:rsid w:val="4E92582F"/>
    <w:rsid w:val="4FC43323"/>
    <w:rsid w:val="50175937"/>
    <w:rsid w:val="505226DD"/>
    <w:rsid w:val="51705511"/>
    <w:rsid w:val="51962139"/>
    <w:rsid w:val="529C0480"/>
    <w:rsid w:val="5339770C"/>
    <w:rsid w:val="53E723A1"/>
    <w:rsid w:val="53EF7552"/>
    <w:rsid w:val="54770964"/>
    <w:rsid w:val="54CF7B30"/>
    <w:rsid w:val="54D31E35"/>
    <w:rsid w:val="54F17FA0"/>
    <w:rsid w:val="55B12C62"/>
    <w:rsid w:val="55C84E4E"/>
    <w:rsid w:val="55FC0FF0"/>
    <w:rsid w:val="566A652B"/>
    <w:rsid w:val="56A874FB"/>
    <w:rsid w:val="581F087A"/>
    <w:rsid w:val="58CB56FA"/>
    <w:rsid w:val="590015EF"/>
    <w:rsid w:val="59430F68"/>
    <w:rsid w:val="59B978E2"/>
    <w:rsid w:val="5A6679CA"/>
    <w:rsid w:val="5A706581"/>
    <w:rsid w:val="5A9F0C15"/>
    <w:rsid w:val="5AFE44D7"/>
    <w:rsid w:val="5BA5225B"/>
    <w:rsid w:val="5DFA65EE"/>
    <w:rsid w:val="5E3816AA"/>
    <w:rsid w:val="5E7D74BF"/>
    <w:rsid w:val="5F2D0F9D"/>
    <w:rsid w:val="5FB456FC"/>
    <w:rsid w:val="60400C88"/>
    <w:rsid w:val="60D55842"/>
    <w:rsid w:val="62397DD0"/>
    <w:rsid w:val="634363BA"/>
    <w:rsid w:val="63A4729C"/>
    <w:rsid w:val="64116879"/>
    <w:rsid w:val="64E42332"/>
    <w:rsid w:val="654C771E"/>
    <w:rsid w:val="65EC619D"/>
    <w:rsid w:val="66A17AC3"/>
    <w:rsid w:val="66E9417E"/>
    <w:rsid w:val="677156E7"/>
    <w:rsid w:val="67D351A7"/>
    <w:rsid w:val="689B7B85"/>
    <w:rsid w:val="69E425DF"/>
    <w:rsid w:val="6A7143B4"/>
    <w:rsid w:val="6C2471CC"/>
    <w:rsid w:val="6C282A6D"/>
    <w:rsid w:val="6C4412D2"/>
    <w:rsid w:val="6D331F8B"/>
    <w:rsid w:val="6D3C0446"/>
    <w:rsid w:val="6DD8484E"/>
    <w:rsid w:val="6E831F86"/>
    <w:rsid w:val="70071E3D"/>
    <w:rsid w:val="71320A4A"/>
    <w:rsid w:val="71B6289F"/>
    <w:rsid w:val="73131D48"/>
    <w:rsid w:val="73FA6E8F"/>
    <w:rsid w:val="74005A8E"/>
    <w:rsid w:val="746D6ED4"/>
    <w:rsid w:val="74A16523"/>
    <w:rsid w:val="757E4E1B"/>
    <w:rsid w:val="75D461C0"/>
    <w:rsid w:val="76DF3A2D"/>
    <w:rsid w:val="774A5E34"/>
    <w:rsid w:val="78127659"/>
    <w:rsid w:val="78F85C68"/>
    <w:rsid w:val="798B6F10"/>
    <w:rsid w:val="7A17722A"/>
    <w:rsid w:val="7AC758F2"/>
    <w:rsid w:val="7BA774D1"/>
    <w:rsid w:val="7BCC39B7"/>
    <w:rsid w:val="7C0E57A2"/>
    <w:rsid w:val="7C7B2E38"/>
    <w:rsid w:val="7D140654"/>
    <w:rsid w:val="7D607415"/>
    <w:rsid w:val="7E227E81"/>
    <w:rsid w:val="7EC95C1D"/>
    <w:rsid w:val="7F634D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qFormat/>
    <w:uiPriority w:val="0"/>
  </w:style>
  <w:style w:type="table" w:default="1" w:styleId="1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caption"/>
    <w:basedOn w:val="1"/>
    <w:next w:val="1"/>
    <w:qFormat/>
    <w:uiPriority w:val="99"/>
    <w:rPr>
      <w:rFonts w:ascii="Arial" w:hAnsi="Arial" w:eastAsia="黑体" w:cs="Arial"/>
      <w:sz w:val="20"/>
      <w:szCs w:val="20"/>
    </w:rPr>
  </w:style>
  <w:style w:type="paragraph" w:styleId="8">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9">
    <w:name w:val="Body Text 3"/>
    <w:basedOn w:val="1"/>
    <w:qFormat/>
    <w:uiPriority w:val="99"/>
    <w:pPr>
      <w:spacing w:after="120"/>
    </w:pPr>
    <w:rPr>
      <w:sz w:val="16"/>
      <w:szCs w:val="16"/>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toc 2"/>
    <w:basedOn w:val="1"/>
    <w:next w:val="1"/>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qFormat/>
    <w:uiPriority w:val="99"/>
    <w:pPr>
      <w:spacing w:after="120"/>
      <w:ind w:firstLine="420" w:firstLineChars="100"/>
    </w:pPr>
    <w:rPr>
      <w:sz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paragraph" w:customStyle="1" w:styleId="24">
    <w:name w:val="表格文字"/>
    <w:basedOn w:val="1"/>
    <w:qFormat/>
    <w:uiPriority w:val="0"/>
    <w:pPr>
      <w:spacing w:before="25" w:after="25"/>
      <w:jc w:val="left"/>
    </w:pPr>
    <w:rPr>
      <w:bCs/>
      <w:spacing w:val="10"/>
      <w:kern w:val="0"/>
      <w:sz w:val="24"/>
      <w:szCs w:val="20"/>
    </w:rPr>
  </w:style>
  <w:style w:type="paragraph" w:customStyle="1" w:styleId="2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6">
    <w:name w:val="_Style 3"/>
    <w:basedOn w:val="1"/>
    <w:qFormat/>
    <w:uiPriority w:val="0"/>
    <w:pPr>
      <w:ind w:firstLine="420" w:firstLineChars="200"/>
    </w:pPr>
    <w:rPr>
      <w:sz w:val="20"/>
    </w:rPr>
  </w:style>
  <w:style w:type="character" w:customStyle="1" w:styleId="27">
    <w:name w:val="font01"/>
    <w:qFormat/>
    <w:uiPriority w:val="0"/>
    <w:rPr>
      <w:rFonts w:hint="eastAsia" w:ascii="宋体" w:hAnsi="宋体" w:eastAsia="宋体" w:cs="宋体"/>
      <w:color w:val="0000FF"/>
      <w:sz w:val="22"/>
      <w:szCs w:val="22"/>
      <w:u w:val="none"/>
    </w:rPr>
  </w:style>
  <w:style w:type="paragraph" w:customStyle="1" w:styleId="2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
    <w:name w:val="正文缩进1"/>
    <w:basedOn w:val="30"/>
    <w:next w:val="25"/>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34"/>
    <w:pPr>
      <w:widowControl/>
      <w:ind w:firstLine="420" w:firstLineChars="200"/>
      <w:jc w:val="left"/>
    </w:pPr>
    <w:rPr>
      <w:kern w:val="0"/>
      <w:sz w:val="20"/>
      <w:szCs w:val="20"/>
    </w:rPr>
  </w:style>
  <w:style w:type="paragraph" w:customStyle="1" w:styleId="33">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4">
    <w:name w:val="font11"/>
    <w:basedOn w:val="21"/>
    <w:qFormat/>
    <w:uiPriority w:val="0"/>
    <w:rPr>
      <w:rFonts w:hint="eastAsia" w:ascii="宋体" w:hAnsi="宋体" w:eastAsia="宋体" w:cs="宋体"/>
      <w:color w:val="000000"/>
      <w:sz w:val="21"/>
      <w:szCs w:val="21"/>
      <w:u w:val="none"/>
    </w:rPr>
  </w:style>
  <w:style w:type="character" w:customStyle="1" w:styleId="35">
    <w:name w:val="font21"/>
    <w:basedOn w:val="21"/>
    <w:qFormat/>
    <w:uiPriority w:val="0"/>
    <w:rPr>
      <w:rFonts w:hint="eastAsia" w:ascii="宋体" w:hAnsi="宋体" w:eastAsia="宋体" w:cs="宋体"/>
      <w:b/>
      <w:bCs/>
      <w:color w:val="000000"/>
      <w:sz w:val="18"/>
      <w:szCs w:val="18"/>
      <w:u w:val="none"/>
    </w:rPr>
  </w:style>
  <w:style w:type="character" w:customStyle="1" w:styleId="36">
    <w:name w:val="font31"/>
    <w:basedOn w:val="21"/>
    <w:qFormat/>
    <w:uiPriority w:val="0"/>
    <w:rPr>
      <w:rFonts w:hint="eastAsia" w:ascii="宋体" w:hAnsi="宋体" w:eastAsia="宋体" w:cs="宋体"/>
      <w:color w:val="000000"/>
      <w:sz w:val="21"/>
      <w:szCs w:val="21"/>
      <w:u w:val="none"/>
    </w:rPr>
  </w:style>
  <w:style w:type="paragraph" w:customStyle="1" w:styleId="37">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8">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9">
    <w:name w:val="题注5"/>
    <w:basedOn w:val="1"/>
    <w:next w:val="7"/>
    <w:qFormat/>
    <w:uiPriority w:val="0"/>
    <w:pPr>
      <w:jc w:val="center"/>
    </w:pPr>
    <w:rPr>
      <w:b/>
      <w:color w:val="000000"/>
      <w:sz w:val="24"/>
      <w:szCs w:val="21"/>
    </w:rPr>
  </w:style>
  <w:style w:type="paragraph" w:customStyle="1" w:styleId="40">
    <w:name w:val="列出段落1"/>
    <w:basedOn w:val="1"/>
    <w:qFormat/>
    <w:uiPriority w:val="34"/>
    <w:pPr>
      <w:ind w:firstLine="420" w:firstLineChars="200"/>
    </w:p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ont41"/>
    <w:basedOn w:val="21"/>
    <w:qFormat/>
    <w:uiPriority w:val="0"/>
    <w:rPr>
      <w:rFonts w:hint="eastAsia" w:ascii="宋体" w:hAnsi="宋体" w:eastAsia="宋体" w:cs="宋体"/>
      <w:color w:val="000000"/>
      <w:sz w:val="21"/>
      <w:szCs w:val="21"/>
      <w:u w:val="none"/>
    </w:rPr>
  </w:style>
  <w:style w:type="character" w:customStyle="1" w:styleId="43">
    <w:name w:val="font131"/>
    <w:basedOn w:val="21"/>
    <w:qFormat/>
    <w:uiPriority w:val="0"/>
    <w:rPr>
      <w:rFonts w:hint="eastAsia" w:ascii="宋体" w:hAnsi="宋体" w:eastAsia="宋体" w:cs="宋体"/>
      <w:b/>
      <w:bCs/>
      <w:i/>
      <w:iCs/>
      <w:color w:val="000000"/>
      <w:sz w:val="21"/>
      <w:szCs w:val="21"/>
      <w:u w:val="none"/>
    </w:rPr>
  </w:style>
  <w:style w:type="character" w:customStyle="1" w:styleId="44">
    <w:name w:val="font101"/>
    <w:basedOn w:val="21"/>
    <w:qFormat/>
    <w:uiPriority w:val="0"/>
    <w:rPr>
      <w:rFonts w:hint="default" w:ascii="Times New Roman" w:hAnsi="Times New Roman" w:cs="Times New Roman"/>
      <w:b/>
      <w:bCs/>
      <w:i/>
      <w:iCs/>
      <w:color w:val="000000"/>
      <w:sz w:val="21"/>
      <w:szCs w:val="21"/>
      <w:u w:val="none"/>
    </w:rPr>
  </w:style>
  <w:style w:type="character" w:customStyle="1" w:styleId="45">
    <w:name w:val="font71"/>
    <w:basedOn w:val="21"/>
    <w:qFormat/>
    <w:uiPriority w:val="0"/>
    <w:rPr>
      <w:rFonts w:hint="eastAsia" w:ascii="宋体" w:hAnsi="宋体" w:eastAsia="宋体" w:cs="宋体"/>
      <w:b/>
      <w:bCs/>
      <w:color w:val="000000"/>
      <w:sz w:val="21"/>
      <w:szCs w:val="21"/>
      <w:u w:val="none"/>
    </w:rPr>
  </w:style>
  <w:style w:type="paragraph" w:customStyle="1" w:styleId="46">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7">
    <w:name w:val="正文_1"/>
    <w:qFormat/>
    <w:uiPriority w:val="0"/>
    <w:pPr>
      <w:widowControl w:val="0"/>
      <w:jc w:val="both"/>
    </w:pPr>
    <w:rPr>
      <w:rFonts w:ascii="Calibri" w:hAnsi="Calibri" w:eastAsia="宋体" w:cstheme="minorBidi"/>
      <w:kern w:val="2"/>
      <w:sz w:val="21"/>
      <w:szCs w:val="22"/>
      <w:lang w:val="en-US" w:eastAsia="zh-CN" w:bidi="ar-SA"/>
    </w:rPr>
  </w:style>
  <w:style w:type="paragraph" w:customStyle="1" w:styleId="4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22092</Words>
  <Characters>22652</Characters>
  <Lines>1</Lines>
  <Paragraphs>1</Paragraphs>
  <TotalTime>5</TotalTime>
  <ScaleCrop>false</ScaleCrop>
  <LinksUpToDate>false</LinksUpToDate>
  <CharactersWithSpaces>24787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2023-08-02T00:34:29Z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7D9878AA12374C4B8475E3E2B21870B8</vt:lpwstr>
  </property>
  <property fmtid="{D5CDD505-2E9C-101B-9397-08002B2CF9AE}" pid="4" name="commondata">
    <vt:lpwstr>eyJoZGlkIjoiZGNiZjhiYWJkMzQ2ODliZDg0M2NkY2U3ZDYyYTQ3YzEifQ==</vt:lpwstr>
  </property>
</Properties>
</file>