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5553"/>
      <w:bookmarkStart w:id="2" w:name="_Toc3493"/>
      <w:bookmarkStart w:id="3" w:name="_Toc15189"/>
      <w:bookmarkStart w:id="4" w:name="_Toc14315"/>
      <w:bookmarkStart w:id="5" w:name="_Toc17040"/>
      <w:bookmarkStart w:id="6" w:name="_Toc15365"/>
      <w:bookmarkStart w:id="7" w:name="_Toc16091"/>
      <w:r>
        <w:rPr>
          <w:rFonts w:hint="eastAsia"/>
          <w:sz w:val="24"/>
        </w:rPr>
        <w:t xml:space="preserve"> </w:t>
      </w:r>
    </w:p>
    <w:p>
      <w:pPr>
        <w:jc w:val="center"/>
        <w:rPr>
          <w:sz w:val="24"/>
        </w:rPr>
      </w:pPr>
    </w:p>
    <w:p>
      <w:pPr>
        <w:jc w:val="center"/>
        <w:rPr>
          <w:sz w:val="24"/>
        </w:rPr>
      </w:pPr>
    </w:p>
    <w:p>
      <w:pPr>
        <w:jc w:val="center"/>
        <w:rPr>
          <w:sz w:val="24"/>
        </w:rPr>
      </w:pP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公务车辆定点加油服务项目</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微软雅黑" w:hAnsi="微软雅黑" w:eastAsia="微软雅黑" w:cs="微软雅黑"/>
          <w:b/>
          <w:bCs/>
          <w:sz w:val="72"/>
          <w:szCs w:val="72"/>
        </w:rPr>
      </w:pPr>
      <w:r>
        <w:rPr>
          <w:rFonts w:hint="eastAsia" w:ascii="黑体" w:hAnsi="黑体" w:eastAsia="黑体" w:cs="黑体"/>
          <w:b/>
          <w:bCs w:val="0"/>
          <w:color w:val="auto"/>
          <w:kern w:val="0"/>
          <w:sz w:val="44"/>
          <w:szCs w:val="44"/>
          <w:lang w:val="en-US" w:eastAsia="zh-CN"/>
        </w:rPr>
        <w:t>（第二次）</w:t>
      </w:r>
    </w:p>
    <w:p>
      <w:pPr>
        <w:spacing w:line="480" w:lineRule="auto"/>
        <w:jc w:val="center"/>
        <w:rPr>
          <w:rFonts w:hint="eastAsia" w:ascii="微软雅黑" w:hAnsi="微软雅黑" w:eastAsia="微软雅黑" w:cs="微软雅黑"/>
          <w:b/>
          <w:bCs/>
          <w:sz w:val="72"/>
          <w:szCs w:val="72"/>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ZCB-2023068</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月</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5"/>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3.邮件主题：包号+车辆定点加油-某某公司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u w:val="none"/>
          <w:vertAlign w:val="baseline"/>
        </w:rPr>
        <w:t>2023年</w:t>
      </w:r>
      <w:r>
        <w:rPr>
          <w:rFonts w:hint="eastAsia" w:ascii="仿宋" w:hAnsi="仿宋" w:eastAsia="仿宋" w:cs="仿宋"/>
          <w:i w:val="0"/>
          <w:iCs w:val="0"/>
          <w:caps w:val="0"/>
          <w:color w:val="000000"/>
          <w:spacing w:val="0"/>
          <w:sz w:val="24"/>
          <w:szCs w:val="24"/>
          <w:u w:val="none"/>
          <w:vertAlign w:val="baseline"/>
          <w:lang w:val="en-US" w:eastAsia="zh-CN"/>
        </w:rPr>
        <w:t>8</w:t>
      </w:r>
      <w:r>
        <w:rPr>
          <w:rFonts w:hint="eastAsia" w:ascii="仿宋" w:hAnsi="仿宋" w:eastAsia="仿宋" w:cs="仿宋"/>
          <w:i w:val="0"/>
          <w:iCs w:val="0"/>
          <w:caps w:val="0"/>
          <w:color w:val="000000"/>
          <w:spacing w:val="0"/>
          <w:sz w:val="24"/>
          <w:szCs w:val="24"/>
          <w:u w:val="none"/>
          <w:vertAlign w:val="baseline"/>
        </w:rPr>
        <w:t>月</w:t>
      </w:r>
      <w:r>
        <w:rPr>
          <w:rFonts w:hint="eastAsia" w:ascii="仿宋" w:hAnsi="仿宋" w:eastAsia="仿宋" w:cs="仿宋"/>
          <w:i w:val="0"/>
          <w:iCs w:val="0"/>
          <w:caps w:val="0"/>
          <w:color w:val="000000"/>
          <w:spacing w:val="0"/>
          <w:sz w:val="24"/>
          <w:szCs w:val="24"/>
          <w:u w:val="none"/>
          <w:vertAlign w:val="baseline"/>
          <w:lang w:val="en-US" w:eastAsia="zh-CN"/>
        </w:rPr>
        <w:t>9</w:t>
      </w:r>
      <w:r>
        <w:rPr>
          <w:rFonts w:hint="eastAsia" w:ascii="仿宋" w:hAnsi="仿宋" w:eastAsia="仿宋" w:cs="仿宋"/>
          <w:i w:val="0"/>
          <w:iCs w:val="0"/>
          <w:caps w:val="0"/>
          <w:color w:val="000000"/>
          <w:spacing w:val="0"/>
          <w:sz w:val="24"/>
          <w:szCs w:val="24"/>
          <w:u w:val="none"/>
          <w:vertAlign w:val="baseline"/>
        </w:rPr>
        <w:t>日下午17:00</w:t>
      </w:r>
      <w:r>
        <w:rPr>
          <w:rFonts w:hint="eastAsia" w:ascii="仿宋" w:hAnsi="仿宋" w:eastAsia="仿宋" w:cs="仿宋"/>
          <w:kern w:val="0"/>
          <w:sz w:val="24"/>
          <w:lang w:val="en-US" w:eastAsia="zh-CN"/>
        </w:rPr>
        <w:t>，以邮件接收时间为准，超时视为无效报名。</w:t>
      </w:r>
      <w:bookmarkStart w:id="134" w:name="_GoBack"/>
      <w:bookmarkEnd w:id="134"/>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7.供应商的报名邮箱视为我院采购过程中谈判文件、成交通知书及相关答疑回复的电子送达地址；电子文书成功发送至供应商提供的电子送达地址时，视为已送达。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谈判</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谈判</w:t>
      </w:r>
      <w:r>
        <w:rPr>
          <w:rFonts w:hint="eastAsia" w:ascii="仿宋" w:hAnsi="仿宋" w:eastAsia="仿宋" w:cs="仿宋"/>
          <w:b/>
          <w:bCs/>
          <w:sz w:val="24"/>
          <w:highlight w:val="none"/>
        </w:rPr>
        <w:t>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提交的，自动视为报名不成功，不能进入</w:t>
      </w:r>
      <w:r>
        <w:rPr>
          <w:rFonts w:hint="eastAsia" w:ascii="仿宋" w:hAnsi="仿宋" w:eastAsia="仿宋" w:cs="仿宋"/>
          <w:b/>
          <w:bCs/>
          <w:sz w:val="24"/>
          <w:highlight w:val="none"/>
          <w:lang w:val="en-US" w:eastAsia="zh-CN"/>
        </w:rPr>
        <w:t>谈判</w:t>
      </w:r>
      <w:r>
        <w:rPr>
          <w:rFonts w:hint="eastAsia" w:ascii="仿宋" w:hAnsi="仿宋" w:eastAsia="仿宋" w:cs="仿宋"/>
          <w:b/>
          <w:bCs/>
          <w:sz w:val="24"/>
          <w:highlight w:val="none"/>
          <w:lang w:eastAsia="zh-CN"/>
        </w:rPr>
        <w:t>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（6）供应商营业执照（提供复印件,并加盖供应商公章。如为分公司报名，必须同时提供总公司的营业执照副本复印件及总公司针对本项目响应的授权书。）</w:t>
      </w:r>
    </w:p>
    <w:p>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（7）供应商须具备有效的《成品油批发经营批准证书》或《成品油零售经营批准证书》、《危险化学品经营许可证》。</w:t>
      </w:r>
    </w:p>
    <w:p>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（8）供应商在参加本次采购活动前3年内没有发生严重违约行为以及发生重大质量安全事故。</w:t>
      </w: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4"/>
        <w:jc w:val="center"/>
      </w:pPr>
    </w:p>
    <w:p>
      <w:pPr>
        <w:pStyle w:val="4"/>
        <w:jc w:val="both"/>
        <w:rPr>
          <w:rFonts w:hint="eastAsia"/>
        </w:rPr>
      </w:pPr>
    </w:p>
    <w:p>
      <w:pPr>
        <w:pStyle w:val="4"/>
        <w:jc w:val="center"/>
        <w:rPr>
          <w:rFonts w:hint="eastAsia"/>
        </w:rPr>
      </w:pPr>
    </w:p>
    <w:p>
      <w:pPr>
        <w:pStyle w:val="4"/>
        <w:jc w:val="center"/>
        <w:rPr>
          <w:rFonts w:hint="eastAsia"/>
        </w:rPr>
      </w:pPr>
    </w:p>
    <w:p>
      <w:pPr>
        <w:pStyle w:val="4"/>
        <w:jc w:val="center"/>
        <w:rPr>
          <w:rFonts w:hint="eastAsia"/>
        </w:rPr>
      </w:pPr>
    </w:p>
    <w:p>
      <w:pPr>
        <w:pStyle w:val="4"/>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25869"/>
      <w:bookmarkStart w:id="13" w:name="_Toc24"/>
      <w:bookmarkStart w:id="14" w:name="_Toc31740"/>
      <w:bookmarkStart w:id="15" w:name="_Toc6408"/>
      <w:bookmarkStart w:id="16" w:name="_Toc31053"/>
      <w:bookmarkStart w:id="17" w:name="_Toc14488"/>
      <w:bookmarkStart w:id="18" w:name="_Toc6151"/>
      <w:bookmarkStart w:id="19" w:name="_Toc17375"/>
      <w:bookmarkStart w:id="20" w:name="_Toc28528"/>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pPr>
        <w:pStyle w:val="3"/>
      </w:pPr>
    </w:p>
    <w:p>
      <w:pPr>
        <w:spacing w:line="480" w:lineRule="auto"/>
        <w:jc w:val="center"/>
        <w:rPr>
          <w:rFonts w:ascii="宋体" w:hAnsi="宋体"/>
          <w:b/>
          <w:bCs/>
          <w:sz w:val="72"/>
          <w:szCs w:val="72"/>
        </w:rPr>
      </w:pPr>
    </w:p>
    <w:p>
      <w:pPr>
        <w:widowControl/>
        <w:spacing w:line="360" w:lineRule="auto"/>
        <w:jc w:val="center"/>
        <w:outlineLvl w:val="0"/>
        <w:rPr>
          <w:rFonts w:hint="eastAsia" w:ascii="仿宋" w:hAnsi="仿宋" w:eastAsia="仿宋" w:cs="仿宋"/>
          <w:kern w:val="0"/>
          <w:sz w:val="72"/>
          <w:szCs w:val="72"/>
        </w:rPr>
      </w:pPr>
      <w:bookmarkStart w:id="21" w:name="_Toc435"/>
      <w:bookmarkStart w:id="22" w:name="_Toc28703"/>
      <w:bookmarkStart w:id="23" w:name="_Toc3471"/>
      <w:bookmarkStart w:id="24" w:name="_Toc29113"/>
      <w:bookmarkStart w:id="25" w:name="_Toc40346375"/>
      <w:bookmarkStart w:id="26" w:name="_Toc40776111"/>
      <w:bookmarkStart w:id="27" w:name="_Toc11305"/>
      <w:bookmarkStart w:id="28" w:name="_Toc12520"/>
      <w:bookmarkStart w:id="29" w:name="_Toc1994"/>
      <w:bookmarkStart w:id="30" w:name="_Toc40346216"/>
      <w:bookmarkStart w:id="31" w:name="_Toc15870"/>
      <w:bookmarkStart w:id="32" w:name="_Toc7291"/>
      <w:bookmarkStart w:id="33" w:name="_Toc6547"/>
      <w:bookmarkStart w:id="34" w:name="_Toc11075"/>
      <w:bookmarkStart w:id="35" w:name="_Toc8364"/>
      <w:bookmarkStart w:id="36" w:name="_Toc21249"/>
      <w:bookmarkStart w:id="37" w:name="_Toc26267"/>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40346217"/>
      <w:bookmarkStart w:id="40" w:name="_Toc17709"/>
      <w:bookmarkStart w:id="41" w:name="_Toc27997"/>
      <w:bookmarkStart w:id="42" w:name="_Toc20884"/>
      <w:bookmarkStart w:id="43" w:name="_Toc40346376"/>
      <w:bookmarkStart w:id="44" w:name="_Toc40776112"/>
      <w:bookmarkStart w:id="45" w:name="_Toc1743"/>
    </w:p>
    <w:p>
      <w:pPr>
        <w:widowControl/>
        <w:spacing w:line="360" w:lineRule="auto"/>
        <w:ind w:firstLine="600"/>
        <w:outlineLvl w:val="0"/>
        <w:rPr>
          <w:rFonts w:hint="eastAsia" w:ascii="仿宋" w:hAnsi="仿宋" w:eastAsia="仿宋" w:cs="仿宋"/>
          <w:kern w:val="0"/>
          <w:sz w:val="30"/>
          <w:szCs w:val="30"/>
        </w:rPr>
      </w:pPr>
      <w:bookmarkStart w:id="46" w:name="_Toc23097"/>
      <w:bookmarkStart w:id="47" w:name="_Toc19699"/>
      <w:bookmarkStart w:id="48" w:name="_Toc5238"/>
      <w:bookmarkStart w:id="49" w:name="_Toc31538"/>
      <w:bookmarkStart w:id="50" w:name="_Toc2029"/>
      <w:bookmarkStart w:id="51" w:name="_Toc11485"/>
      <w:bookmarkStart w:id="52" w:name="_Toc30979"/>
      <w:bookmarkStart w:id="53" w:name="_Toc2012"/>
      <w:bookmarkStart w:id="54" w:name="_Toc29102"/>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14824"/>
      <w:bookmarkStart w:id="56" w:name="_Toc17930"/>
      <w:bookmarkStart w:id="57" w:name="_Toc4013"/>
      <w:bookmarkStart w:id="58" w:name="_Toc11558"/>
      <w:bookmarkStart w:id="59" w:name="_Toc11141"/>
      <w:bookmarkStart w:id="60" w:name="_Toc28064"/>
      <w:bookmarkStart w:id="61" w:name="_Toc40346218"/>
      <w:bookmarkStart w:id="62" w:name="_Toc31993"/>
      <w:bookmarkStart w:id="63" w:name="_Toc29767"/>
      <w:bookmarkStart w:id="64" w:name="_Toc16794"/>
      <w:bookmarkStart w:id="65" w:name="_Toc27867"/>
      <w:bookmarkStart w:id="66" w:name="_Toc12645"/>
      <w:bookmarkStart w:id="67" w:name="_Toc40776113"/>
      <w:bookmarkStart w:id="68" w:name="_Toc24763"/>
      <w:bookmarkStart w:id="69" w:name="_Toc7052"/>
      <w:bookmarkStart w:id="70" w:name="_Toc21483"/>
      <w:bookmarkStart w:id="71" w:name="_Toc40346377"/>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26029"/>
      <w:bookmarkStart w:id="73" w:name="_Toc17537"/>
      <w:bookmarkStart w:id="74" w:name="_Toc32709"/>
      <w:bookmarkStart w:id="75" w:name="_Toc16813"/>
      <w:bookmarkStart w:id="76" w:name="_Toc11334"/>
      <w:bookmarkStart w:id="77" w:name="_Toc6438"/>
      <w:bookmarkStart w:id="78" w:name="_Toc27771"/>
      <w:bookmarkStart w:id="79" w:name="_Toc40776114"/>
      <w:bookmarkStart w:id="80" w:name="_Toc9883"/>
      <w:bookmarkStart w:id="81" w:name="_Toc40346219"/>
      <w:bookmarkStart w:id="82" w:name="_Toc4563"/>
      <w:bookmarkStart w:id="83" w:name="_Toc31197"/>
      <w:bookmarkStart w:id="84" w:name="_Toc14287"/>
      <w:bookmarkStart w:id="85" w:name="_Toc1324"/>
      <w:bookmarkStart w:id="86" w:name="_Toc19831"/>
      <w:bookmarkStart w:id="87" w:name="_Toc24651"/>
      <w:bookmarkStart w:id="88" w:name="_Toc40346378"/>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40346379"/>
      <w:bookmarkStart w:id="90" w:name="_Toc17483"/>
      <w:bookmarkStart w:id="91" w:name="_Toc21940"/>
      <w:bookmarkStart w:id="92" w:name="_Toc12650"/>
      <w:bookmarkStart w:id="93" w:name="_Toc13222"/>
      <w:bookmarkStart w:id="94" w:name="_Toc5634"/>
      <w:bookmarkStart w:id="95" w:name="_Toc20994"/>
      <w:bookmarkStart w:id="96" w:name="_Toc5189"/>
      <w:bookmarkStart w:id="97" w:name="_Toc3895"/>
      <w:bookmarkStart w:id="98" w:name="_Toc27206"/>
      <w:bookmarkStart w:id="99" w:name="_Toc18353"/>
      <w:bookmarkStart w:id="100" w:name="_Toc30336"/>
      <w:bookmarkStart w:id="101" w:name="_Toc40346220"/>
      <w:bookmarkStart w:id="102" w:name="_Toc14586"/>
      <w:bookmarkStart w:id="103" w:name="_Toc27868"/>
      <w:bookmarkStart w:id="104" w:name="_Toc21686"/>
      <w:bookmarkStart w:id="105" w:name="_Toc40776115"/>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40346380"/>
      <w:bookmarkStart w:id="107" w:name="_Toc30904"/>
      <w:bookmarkStart w:id="108" w:name="_Toc40776116"/>
      <w:bookmarkStart w:id="109" w:name="_Toc30856"/>
      <w:bookmarkStart w:id="110" w:name="_Toc40346221"/>
      <w:bookmarkStart w:id="111" w:name="_Toc27009"/>
      <w:bookmarkStart w:id="112" w:name="_Toc8526"/>
      <w:bookmarkStart w:id="113" w:name="_Toc10454"/>
      <w:bookmarkStart w:id="114" w:name="_Toc32371"/>
      <w:bookmarkStart w:id="115" w:name="_Toc21449"/>
      <w:bookmarkStart w:id="116" w:name="_Toc5220"/>
      <w:bookmarkStart w:id="117" w:name="_Toc12127"/>
      <w:bookmarkStart w:id="118" w:name="_Toc14462"/>
      <w:bookmarkStart w:id="119" w:name="_Toc3498"/>
      <w:bookmarkStart w:id="120" w:name="_Toc11547"/>
      <w:bookmarkStart w:id="121" w:name="_Toc9282"/>
      <w:bookmarkStart w:id="122" w:name="_Toc2764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8637"/>
      <w:bookmarkStart w:id="124" w:name="_Toc31077"/>
      <w:bookmarkStart w:id="125" w:name="_Toc28747"/>
      <w:bookmarkStart w:id="126" w:name="_Toc16608"/>
      <w:bookmarkStart w:id="127" w:name="_Toc9697"/>
      <w:bookmarkStart w:id="128" w:name="_Toc6691"/>
      <w:bookmarkStart w:id="129" w:name="_Toc16728"/>
      <w:bookmarkStart w:id="130" w:name="_Toc21213"/>
      <w:bookmarkStart w:id="131" w:name="_Toc10399"/>
      <w:bookmarkStart w:id="132" w:name="_Toc15539"/>
      <w:bookmarkStart w:id="133" w:name="_Toc13184"/>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highlight w:val="none"/>
          <w:lang w:eastAsia="zh-CN"/>
        </w:rPr>
        <w:t>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本项目谈判文件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本公司（企业）承诺</w:t>
      </w:r>
      <w:r>
        <w:rPr>
          <w:rFonts w:hint="eastAsia" w:ascii="仿宋" w:hAnsi="仿宋" w:eastAsia="仿宋" w:cs="仿宋"/>
          <w:color w:val="auto"/>
          <w:sz w:val="24"/>
          <w:szCs w:val="24"/>
          <w:highlight w:val="none"/>
        </w:rPr>
        <w:t>参加本次采购活动前3年内没有发生严重违约行为以及发生重大质量安全事故。</w:t>
      </w:r>
    </w:p>
    <w:p>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 xml:space="preserve">                     </w:t>
      </w:r>
    </w:p>
    <w:p>
      <w:pPr>
        <w:pageBreakBefore w:val="0"/>
        <w:kinsoku/>
        <w:wordWrap/>
        <w:overflowPunct/>
        <w:topLinePunct w:val="0"/>
        <w:bidi w:val="0"/>
        <w:spacing w:line="360" w:lineRule="auto"/>
        <w:ind w:left="0" w:leftChars="0" w:right="0" w:rightChars="0" w:firstLine="2880" w:firstLineChars="1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。如为分公司报名，必须同时提供总公司的营业执照副本复印件及总公司针对本项目响应的授权书,加盖公章</w:t>
      </w:r>
      <w:r>
        <w:rPr>
          <w:rFonts w:hint="eastAsia" w:ascii="仿宋" w:hAnsi="仿宋" w:eastAsia="仿宋" w:cs="仿宋"/>
          <w:bCs/>
          <w:color w:val="0070C0"/>
          <w:sz w:val="24"/>
          <w:szCs w:val="24"/>
          <w:lang w:eastAsia="zh-CN"/>
        </w:rPr>
        <w:t>。</w:t>
      </w:r>
      <w:r>
        <w:rPr>
          <w:rFonts w:hint="eastAsia" w:ascii="仿宋" w:hAnsi="仿宋" w:eastAsia="仿宋" w:cs="仿宋"/>
          <w:bCs/>
          <w:color w:val="0070C0"/>
          <w:sz w:val="24"/>
          <w:szCs w:val="24"/>
        </w:rPr>
        <w:t>）</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p>
      <w:pPr>
        <w:pStyle w:val="2"/>
        <w:rPr>
          <w:rFonts w:ascii="宋体" w:hAnsi="宋体"/>
          <w:sz w:val="24"/>
        </w:rPr>
      </w:pPr>
    </w:p>
    <w:p>
      <w:pPr>
        <w:pStyle w:val="16"/>
        <w:rPr>
          <w:rFonts w:ascii="宋体" w:hAnsi="宋体"/>
          <w:sz w:val="24"/>
        </w:rPr>
      </w:pPr>
    </w:p>
    <w:p>
      <w:pPr>
        <w:pStyle w:val="16"/>
        <w:rPr>
          <w:rFonts w:ascii="宋体" w:hAnsi="宋体"/>
          <w:sz w:val="24"/>
        </w:rPr>
      </w:pP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三、《成品油批发经营批准证书》或《成品油零售经营批准证书》</w:t>
      </w:r>
    </w:p>
    <w:p>
      <w:pPr>
        <w:pStyle w:val="31"/>
        <w:jc w:val="center"/>
        <w:rPr>
          <w:rFonts w:hint="eastAsia" w:ascii="仿宋" w:hAnsi="仿宋" w:eastAsia="仿宋" w:cs="仿宋"/>
          <w:color w:val="0070C0"/>
          <w:highlight w:val="none"/>
        </w:rPr>
      </w:pPr>
      <w:r>
        <w:rPr>
          <w:rFonts w:hint="eastAsia" w:ascii="仿宋" w:hAnsi="仿宋" w:eastAsia="仿宋" w:cs="仿宋"/>
          <w:color w:val="0070C0"/>
          <w:kern w:val="0"/>
          <w:sz w:val="24"/>
          <w:szCs w:val="24"/>
          <w:highlight w:val="none"/>
          <w:lang w:val="en-US" w:eastAsia="zh-CN"/>
        </w:rPr>
        <w:t>（提供证件复印件,加盖公章）</w:t>
      </w:r>
    </w:p>
    <w:p>
      <w:pPr>
        <w:pStyle w:val="31"/>
        <w:rPr>
          <w:rFonts w:hint="eastAsia" w:ascii="仿宋" w:hAnsi="仿宋" w:eastAsia="仿宋" w:cs="仿宋"/>
          <w:color w:val="000000" w:themeColor="text1"/>
          <w:highlight w:val="none"/>
          <w14:textFill>
            <w14:solidFill>
              <w14:schemeClr w14:val="tx1"/>
            </w14:solidFill>
          </w14:textFill>
        </w:rPr>
      </w:pPr>
    </w:p>
    <w:p>
      <w:pPr>
        <w:pStyle w:val="31"/>
        <w:rPr>
          <w:rFonts w:hint="eastAsia" w:ascii="仿宋" w:hAnsi="仿宋" w:eastAsia="仿宋" w:cs="仿宋"/>
          <w:color w:val="000000" w:themeColor="text1"/>
          <w:highlight w:val="none"/>
          <w14:textFill>
            <w14:solidFill>
              <w14:schemeClr w14:val="tx1"/>
            </w14:solidFill>
          </w14:textFill>
        </w:rPr>
      </w:pPr>
    </w:p>
    <w:p>
      <w:pPr>
        <w:pStyle w:val="31"/>
        <w:rPr>
          <w:rFonts w:hint="eastAsia" w:ascii="仿宋" w:hAnsi="仿宋" w:eastAsia="仿宋" w:cs="仿宋"/>
          <w:color w:val="000000" w:themeColor="text1"/>
          <w:highlight w:val="none"/>
          <w14:textFill>
            <w14:solidFill>
              <w14:schemeClr w14:val="tx1"/>
            </w14:solidFill>
          </w14:textFill>
        </w:rPr>
      </w:pPr>
    </w:p>
    <w:p>
      <w:pPr>
        <w:pStyle w:val="31"/>
        <w:rPr>
          <w:rFonts w:hint="eastAsia" w:ascii="仿宋" w:hAnsi="仿宋" w:eastAsia="仿宋" w:cs="仿宋"/>
          <w:color w:val="000000" w:themeColor="text1"/>
          <w:highlight w:val="none"/>
          <w14:textFill>
            <w14:solidFill>
              <w14:schemeClr w14:val="tx1"/>
            </w14:solidFill>
          </w14:textFill>
        </w:rPr>
      </w:pPr>
    </w:p>
    <w:p>
      <w:pPr>
        <w:pStyle w:val="31"/>
        <w:rPr>
          <w:rFonts w:hint="eastAsia" w:ascii="仿宋" w:hAnsi="仿宋" w:eastAsia="仿宋" w:cs="仿宋"/>
          <w:color w:val="000000" w:themeColor="text1"/>
          <w:highlight w:val="none"/>
          <w14:textFill>
            <w14:solidFill>
              <w14:schemeClr w14:val="tx1"/>
            </w14:solidFill>
          </w14:textFill>
        </w:rPr>
      </w:pPr>
    </w:p>
    <w:p>
      <w:pPr>
        <w:pStyle w:val="31"/>
        <w:rPr>
          <w:rFonts w:hint="eastAsia" w:ascii="仿宋" w:hAnsi="仿宋" w:eastAsia="仿宋" w:cs="仿宋"/>
          <w:color w:val="000000" w:themeColor="text1"/>
          <w:highlight w:val="none"/>
          <w14:textFill>
            <w14:solidFill>
              <w14:schemeClr w14:val="tx1"/>
            </w14:solidFill>
          </w14:textFill>
        </w:rPr>
      </w:pPr>
    </w:p>
    <w:p>
      <w:pPr>
        <w:pStyle w:val="31"/>
        <w:rPr>
          <w:rFonts w:hint="eastAsia" w:ascii="仿宋" w:hAnsi="仿宋" w:eastAsia="仿宋" w:cs="仿宋"/>
          <w:color w:val="000000" w:themeColor="text1"/>
          <w:highlight w:val="none"/>
          <w14:textFill>
            <w14:solidFill>
              <w14:schemeClr w14:val="tx1"/>
            </w14:solidFill>
          </w14:textFill>
        </w:rPr>
      </w:pP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四、《危险化学品经营许可证》</w:t>
      </w:r>
    </w:p>
    <w:p>
      <w:pPr>
        <w:pStyle w:val="31"/>
        <w:jc w:val="center"/>
        <w:rPr>
          <w:rFonts w:hint="eastAsia" w:ascii="仿宋" w:hAnsi="仿宋" w:eastAsia="仿宋" w:cs="仿宋"/>
          <w:color w:val="0070C0"/>
          <w:highlight w:val="none"/>
        </w:rPr>
      </w:pPr>
      <w:r>
        <w:rPr>
          <w:rFonts w:hint="eastAsia" w:ascii="仿宋" w:hAnsi="仿宋" w:eastAsia="仿宋" w:cs="仿宋"/>
          <w:color w:val="0070C0"/>
          <w:kern w:val="0"/>
          <w:sz w:val="24"/>
          <w:szCs w:val="24"/>
          <w:highlight w:val="none"/>
          <w:lang w:val="en-US" w:eastAsia="zh-CN"/>
        </w:rPr>
        <w:t>（提供证件复印件,加盖公章）</w:t>
      </w:r>
    </w:p>
    <w:p>
      <w:pPr>
        <w:pStyle w:val="16"/>
        <w:rPr>
          <w:rFonts w:ascii="宋体" w:hAnsi="宋体"/>
          <w:sz w:val="24"/>
        </w:rPr>
      </w:pPr>
    </w:p>
    <w:p>
      <w:pPr>
        <w:pStyle w:val="16"/>
        <w:rPr>
          <w:rFonts w:ascii="宋体" w:hAnsi="宋体"/>
          <w:sz w:val="24"/>
        </w:rPr>
      </w:pPr>
    </w:p>
    <w:p>
      <w:pPr>
        <w:pStyle w:val="16"/>
        <w:rPr>
          <w:rFonts w:ascii="宋体" w:hAnsi="宋体"/>
          <w:sz w:val="24"/>
        </w:rPr>
      </w:pPr>
    </w:p>
    <w:p>
      <w:pPr>
        <w:pStyle w:val="16"/>
        <w:rPr>
          <w:rFonts w:ascii="宋体" w:hAnsi="宋体"/>
          <w:sz w:val="24"/>
        </w:rPr>
      </w:pPr>
    </w:p>
    <w:p>
      <w:pPr>
        <w:pStyle w:val="16"/>
        <w:rPr>
          <w:rFonts w:ascii="宋体" w:hAnsi="宋体"/>
          <w:sz w:val="24"/>
        </w:rPr>
      </w:pPr>
    </w:p>
    <w:p>
      <w:pPr>
        <w:pStyle w:val="16"/>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3A441BF"/>
    <w:rsid w:val="0BF238BE"/>
    <w:rsid w:val="0FB24AB4"/>
    <w:rsid w:val="20573B57"/>
    <w:rsid w:val="231E5CE9"/>
    <w:rsid w:val="2587134A"/>
    <w:rsid w:val="27CC1EEA"/>
    <w:rsid w:val="333756F5"/>
    <w:rsid w:val="36211653"/>
    <w:rsid w:val="3BD10967"/>
    <w:rsid w:val="3EA6712C"/>
    <w:rsid w:val="43C00723"/>
    <w:rsid w:val="45B5724A"/>
    <w:rsid w:val="4A467007"/>
    <w:rsid w:val="5411136C"/>
    <w:rsid w:val="59E44B22"/>
    <w:rsid w:val="5F007388"/>
    <w:rsid w:val="6884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Normal Indent"/>
    <w:basedOn w:val="1"/>
    <w:link w:val="22"/>
    <w:qFormat/>
    <w:uiPriority w:val="0"/>
    <w:pPr>
      <w:ind w:firstLine="420"/>
    </w:pPr>
  </w:style>
  <w:style w:type="paragraph" w:styleId="6">
    <w:name w:val="List Bullet 2"/>
    <w:basedOn w:val="1"/>
    <w:qFormat/>
    <w:uiPriority w:val="99"/>
    <w:pPr>
      <w:numPr>
        <w:ilvl w:val="0"/>
        <w:numId w:val="1"/>
      </w:numPr>
    </w:pPr>
  </w:style>
  <w:style w:type="paragraph" w:styleId="7">
    <w:name w:val="Plain Text"/>
    <w:basedOn w:val="1"/>
    <w:link w:val="23"/>
    <w:qFormat/>
    <w:uiPriority w:val="0"/>
    <w:rPr>
      <w:rFonts w:ascii="宋体" w:hAnsi="Courier New" w:cs="Courier New"/>
      <w:szCs w:val="21"/>
    </w:rPr>
  </w:style>
  <w:style w:type="paragraph" w:styleId="8">
    <w:name w:val="Balloon Text"/>
    <w:basedOn w:val="1"/>
    <w:link w:val="27"/>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qFormat/>
    <w:uiPriority w:val="99"/>
    <w:rPr>
      <w:color w:val="0000FF"/>
      <w:u w:val="single"/>
    </w:rPr>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3"/>
    <w:link w:val="10"/>
    <w:qFormat/>
    <w:uiPriority w:val="99"/>
    <w:rPr>
      <w:sz w:val="18"/>
      <w:szCs w:val="18"/>
    </w:rPr>
  </w:style>
  <w:style w:type="character" w:customStyle="1" w:styleId="20">
    <w:name w:val="页脚 Char"/>
    <w:basedOn w:val="13"/>
    <w:link w:val="9"/>
    <w:qFormat/>
    <w:uiPriority w:val="99"/>
    <w:rPr>
      <w:sz w:val="18"/>
      <w:szCs w:val="18"/>
    </w:rPr>
  </w:style>
  <w:style w:type="character" w:customStyle="1" w:styleId="21">
    <w:name w:val="标题 2 Char"/>
    <w:basedOn w:val="13"/>
    <w:link w:val="4"/>
    <w:qFormat/>
    <w:uiPriority w:val="0"/>
    <w:rPr>
      <w:rFonts w:ascii="Arial" w:hAnsi="Arial" w:eastAsia="黑体" w:cs="Times New Roman"/>
      <w:b/>
      <w:bCs/>
      <w:sz w:val="32"/>
      <w:szCs w:val="32"/>
    </w:rPr>
  </w:style>
  <w:style w:type="character" w:customStyle="1" w:styleId="22">
    <w:name w:val="正文缩进 Char"/>
    <w:link w:val="5"/>
    <w:qFormat/>
    <w:uiPriority w:val="0"/>
    <w:rPr>
      <w:rFonts w:ascii="Times New Roman" w:hAnsi="Times New Roman" w:eastAsia="宋体" w:cs="Times New Roman"/>
      <w:szCs w:val="24"/>
    </w:rPr>
  </w:style>
  <w:style w:type="character" w:customStyle="1" w:styleId="23">
    <w:name w:val="纯文本 Char"/>
    <w:basedOn w:val="13"/>
    <w:link w:val="7"/>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3"/>
    <w:link w:val="8"/>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30"/>
    <w:next w:val="16"/>
    <w:qFormat/>
    <w:uiPriority w:val="0"/>
    <w:pPr>
      <w:widowControl/>
      <w:ind w:firstLine="420"/>
      <w:jc w:val="left"/>
    </w:pPr>
    <w:rPr>
      <w:rFonts w:ascii="Calibri" w:hAnsi="Calibri"/>
      <w:kern w:val="0"/>
    </w:rPr>
  </w:style>
  <w:style w:type="paragraph" w:customStyle="1" w:styleId="30">
    <w:name w:val="正文_2"/>
    <w:next w:val="29"/>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1">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2151</Words>
  <Characters>2275</Characters>
  <Paragraphs>196</Paragraphs>
  <TotalTime>1</TotalTime>
  <ScaleCrop>false</ScaleCrop>
  <LinksUpToDate>false</LinksUpToDate>
  <CharactersWithSpaces>2398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2023-08-02T00:29:53Z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166C090F5F594C7E87577E737B94B29F</vt:lpwstr>
  </property>
</Properties>
</file>