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3077</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南北院区氧气终端采购项目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9"/>
        <w:rPr>
          <w:rFonts w:hint="eastAsia"/>
          <w:highlight w:val="none"/>
        </w:rPr>
      </w:pPr>
    </w:p>
    <w:p>
      <w:pPr>
        <w:pStyle w:val="2"/>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6日</w:t>
      </w: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Style w:val="29"/>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第一章</w:t>
      </w:r>
      <w:r>
        <w:rPr>
          <w:rStyle w:val="28"/>
          <w:rFonts w:hint="eastAsia" w:ascii="仿宋" w:hAnsi="仿宋" w:eastAsia="仿宋" w:cs="仿宋"/>
          <w:b/>
          <w:color w:val="000000"/>
          <w:sz w:val="32"/>
          <w:szCs w:val="32"/>
          <w:highlight w:val="none"/>
          <w:lang w:val="en-US" w:eastAsia="zh-CN"/>
        </w:rPr>
        <w:t xml:space="preserve"> 比选邀请</w:t>
      </w:r>
      <w:r>
        <w:rPr>
          <w:rStyle w:val="28"/>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第二章</w:t>
      </w:r>
      <w:r>
        <w:rPr>
          <w:rStyle w:val="28"/>
          <w:rFonts w:hint="eastAsia" w:ascii="仿宋" w:hAnsi="仿宋" w:eastAsia="仿宋" w:cs="仿宋"/>
          <w:b/>
          <w:color w:val="000000"/>
          <w:sz w:val="32"/>
          <w:szCs w:val="32"/>
          <w:highlight w:val="none"/>
          <w:lang w:val="en-US" w:eastAsia="zh-CN"/>
        </w:rPr>
        <w:t xml:space="preserve"> </w:t>
      </w:r>
      <w:r>
        <w:rPr>
          <w:rStyle w:val="28"/>
          <w:rFonts w:hint="eastAsia" w:ascii="仿宋" w:hAnsi="仿宋" w:eastAsia="仿宋" w:cs="仿宋"/>
          <w:b/>
          <w:color w:val="000000"/>
          <w:sz w:val="32"/>
          <w:szCs w:val="32"/>
          <w:highlight w:val="none"/>
          <w:lang w:eastAsia="zh-CN"/>
        </w:rPr>
        <w:t>用户</w:t>
      </w:r>
      <w:r>
        <w:rPr>
          <w:rStyle w:val="28"/>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8"/>
          <w:rFonts w:hint="eastAsia" w:ascii="仿宋" w:hAnsi="仿宋" w:eastAsia="仿宋" w:cs="仿宋"/>
          <w:b/>
          <w:color w:val="000000"/>
          <w:sz w:val="32"/>
          <w:szCs w:val="32"/>
          <w:highlight w:val="none"/>
        </w:rPr>
        <w:t>第三章</w:t>
      </w:r>
      <w:r>
        <w:rPr>
          <w:rStyle w:val="28"/>
          <w:rFonts w:hint="eastAsia" w:ascii="仿宋" w:hAnsi="仿宋" w:eastAsia="仿宋" w:cs="仿宋"/>
          <w:b/>
          <w:color w:val="000000"/>
          <w:sz w:val="32"/>
          <w:szCs w:val="32"/>
          <w:highlight w:val="none"/>
          <w:lang w:val="en-US" w:eastAsia="zh-CN"/>
        </w:rPr>
        <w:t xml:space="preserve"> 响应</w:t>
      </w:r>
      <w:r>
        <w:rPr>
          <w:rStyle w:val="28"/>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9"/>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29"/>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
        <w:rPr>
          <w:rFonts w:hint="eastAsia"/>
          <w:highlight w:val="none"/>
        </w:rPr>
      </w:pPr>
    </w:p>
    <w:p>
      <w:pPr>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ind w:left="0" w:leftChars="0" w:firstLine="0" w:firstLineChars="0"/>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40868"/>
      <w:bookmarkStart w:id="1" w:name="_Toc50737285"/>
      <w:bookmarkStart w:id="2" w:name="_Toc385939527"/>
      <w:bookmarkStart w:id="3" w:name="_Toc76354913"/>
      <w:bookmarkStart w:id="4" w:name="_Toc50736465"/>
      <w:bookmarkStart w:id="5" w:name="_Toc50691018"/>
      <w:bookmarkStart w:id="6" w:name="_Toc50737317"/>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我院南北院区氧气终端采购项目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ZCB-2023077</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南北院区氧气终端采购项目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4"/>
        <w:tblW w:w="83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248"/>
        <w:gridCol w:w="1227"/>
        <w:gridCol w:w="858"/>
        <w:gridCol w:w="1356"/>
        <w:gridCol w:w="120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终端制式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单价限价（元/套）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小计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氧气终端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196040</w:t>
            </w:r>
          </w:p>
        </w:tc>
        <w:tc>
          <w:tcPr>
            <w:tcW w:w="12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265640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69600</w:t>
            </w:r>
          </w:p>
        </w:tc>
        <w:tc>
          <w:tcPr>
            <w:tcW w:w="12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交货期：接到采购人通知后60日历日内送货至采购人指定地点并安装完成且验收合格。</w:t>
      </w:r>
    </w:p>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项目地点：</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（1）中山大学孙逸仙纪念医院北院，广州市越秀区沿江西路107号；</w:t>
      </w:r>
    </w:p>
    <w:p>
      <w:pPr>
        <w:pStyle w:val="1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（2）中山大学孙逸仙纪念医院南院，广州市海珠区盈丰路33号。</w:t>
      </w:r>
    </w:p>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质量保证期：自验收合格之日起不少于1年。</w:t>
      </w:r>
    </w:p>
    <w:p>
      <w:pPr>
        <w:pStyle w:val="1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7"/>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7"/>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7"/>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氧气终端采购</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7"/>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7"/>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u w:val="none"/>
          <w:lang w:val="en-US" w:eastAsia="zh-CN"/>
        </w:rPr>
        <w:t>供应商</w:t>
      </w:r>
      <w:r>
        <w:rPr>
          <w:rFonts w:hint="eastAsia" w:ascii="仿宋" w:hAnsi="仿宋" w:eastAsia="仿宋" w:cs="仿宋"/>
          <w:sz w:val="24"/>
          <w:szCs w:val="24"/>
          <w:highlight w:val="none"/>
          <w:lang w:val="en-US" w:eastAsia="zh-CN"/>
        </w:rPr>
        <w:t>具备有效的特种设备安装改造维修许可或生产许可证（管道安装）GC2级或以上。（提供有效期内的证书复印件，加盖公章）</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7、供应商</w:t>
      </w:r>
      <w:r>
        <w:rPr>
          <w:rFonts w:hint="eastAsia" w:ascii="仿宋" w:hAnsi="仿宋" w:eastAsia="仿宋" w:cs="仿宋"/>
          <w:sz w:val="24"/>
          <w:szCs w:val="24"/>
          <w:highlight w:val="none"/>
          <w:lang w:val="en-US" w:eastAsia="zh-CN"/>
        </w:rPr>
        <w:t>具备建筑机电安装工程专业承包三级或以上资质。（提供有效期内的证书复印件，加盖公章）</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8、供应商</w:t>
      </w:r>
      <w:r>
        <w:rPr>
          <w:rFonts w:hint="eastAsia" w:ascii="仿宋" w:hAnsi="仿宋" w:eastAsia="仿宋" w:cs="仿宋"/>
          <w:sz w:val="24"/>
          <w:szCs w:val="24"/>
          <w:highlight w:val="none"/>
          <w:lang w:val="en-US" w:eastAsia="zh-CN"/>
        </w:rPr>
        <w:t>具有安全生产许可证。（提供有效期内的证书复印件，加盖公章）</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本项目所投产品为第二类医疗器械：如供应商为生产企业，提供监督管理部门签发的有效的《医疗器械生产许可证》复印件；如供应商为经营企业，提供监督管理部门签发的有效的二类经营备案复印件。（如国家另有规定，则适用其规定）</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，成交供应商不得以任何方式转包或分包本项目。</w:t>
      </w:r>
    </w:p>
    <w:p>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5"/>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2023年9月15日中午12:00，广州市越秀区长堤大马路171号一方长堤健康产业中心（原威力斯大楼）907室。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29"/>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bookmarkStart w:id="22" w:name="_GoBack"/>
      <w:bookmarkEnd w:id="22"/>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6日</w:t>
      </w:r>
    </w:p>
    <w:p>
      <w:pPr>
        <w:pStyle w:val="29"/>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29"/>
        <w:rPr>
          <w:color w:val="000000"/>
          <w:highlight w:val="none"/>
        </w:rPr>
      </w:pPr>
    </w:p>
    <w:p>
      <w:pPr>
        <w:pStyle w:val="4"/>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76354916"/>
      <w:bookmarkStart w:id="9" w:name="_Toc50691021"/>
      <w:bookmarkStart w:id="10" w:name="_Toc50737320"/>
      <w:bookmarkStart w:id="11" w:name="_Toc50737288"/>
      <w:bookmarkStart w:id="12" w:name="_Toc50736468"/>
      <w:bookmarkStart w:id="13" w:name="_Toc385940869"/>
      <w:bookmarkStart w:id="14" w:name="_Toc385939528"/>
      <w:bookmarkStart w:id="15" w:name="_Toc417914518"/>
    </w:p>
    <w:p>
      <w:pPr>
        <w:pStyle w:val="2"/>
        <w:rPr>
          <w:rFonts w:hint="eastAsia"/>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pStyle w:val="29"/>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417914519"/>
      <w:bookmarkStart w:id="17" w:name="_Toc385940875"/>
      <w:bookmarkStart w:id="18" w:name="_Toc385939529"/>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29"/>
        <w:rPr>
          <w:rFonts w:hint="eastAsia"/>
          <w:color w:val="000000"/>
          <w:highlight w:val="none"/>
        </w:rPr>
      </w:pPr>
    </w:p>
    <w:p>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lang w:val="en-US" w:eastAsia="zh-CN"/>
        </w:rPr>
        <w:t>采购项目内容</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南北院区氧气终端采购项目，包括采购范围内产品的送货、安装、人员驻场、质保及其他与产品相关的服务等内容。通过本项目达到统一南院区及北院区的氧气终端制式，有效降低医疗安全隐患的目标。</w:t>
      </w:r>
    </w:p>
    <w:tbl>
      <w:tblPr>
        <w:tblStyle w:val="24"/>
        <w:tblW w:w="83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248"/>
        <w:gridCol w:w="1227"/>
        <w:gridCol w:w="858"/>
        <w:gridCol w:w="1356"/>
        <w:gridCol w:w="120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终端制式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单价限价（元/套）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小计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氧气终端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196040</w:t>
            </w:r>
          </w:p>
        </w:tc>
        <w:tc>
          <w:tcPr>
            <w:tcW w:w="12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265640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69600</w:t>
            </w:r>
          </w:p>
        </w:tc>
        <w:tc>
          <w:tcPr>
            <w:tcW w:w="12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29"/>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0"/>
          <w:szCs w:val="20"/>
          <w:highlight w:val="none"/>
        </w:rPr>
      </w:pPr>
      <w:r>
        <w:rPr>
          <w:rFonts w:hint="eastAsia" w:ascii="仿宋" w:hAnsi="仿宋" w:eastAsia="仿宋" w:cs="仿宋"/>
          <w:b/>
          <w:color w:val="000000"/>
          <w:sz w:val="24"/>
          <w:szCs w:val="24"/>
          <w:highlight w:val="none"/>
          <w:lang w:val="en-US" w:eastAsia="zh-CN"/>
        </w:rPr>
        <w:t>基本</w:t>
      </w:r>
      <w:r>
        <w:rPr>
          <w:rFonts w:hint="eastAsia" w:ascii="仿宋" w:hAnsi="仿宋" w:eastAsia="仿宋" w:cs="仿宋"/>
          <w:b/>
          <w:color w:val="000000"/>
          <w:sz w:val="24"/>
          <w:szCs w:val="24"/>
          <w:highlight w:val="none"/>
        </w:rPr>
        <w:t>要求</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eastAsia="zh-CN"/>
        </w:rPr>
        <w:t>供应商</w:t>
      </w:r>
      <w:r>
        <w:rPr>
          <w:rFonts w:hint="eastAsia" w:ascii="仿宋" w:hAnsi="仿宋" w:eastAsia="仿宋" w:cs="仿宋"/>
          <w:b w:val="0"/>
          <w:bCs/>
          <w:color w:val="000000"/>
          <w:sz w:val="24"/>
          <w:szCs w:val="24"/>
          <w:highlight w:val="none"/>
        </w:rPr>
        <w:t>必须承诺提供厂商原装、全新的、符合用户提出的有关质量标准的货物。</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货物必须符合国家各种标准及规范，以及本项目用户需求的质量要求和技术指标与出厂标准；若无国家标准则必须符合或优于行业标准。</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供应商所提供的货物必须是经检验合格的，并与响应时承诺的质量相一致。同时，供应商须提供所供货物的出厂检测报告。</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对于影响货物正常工作的必要组成部分，无论在技术规范中指出与否，</w:t>
      </w:r>
      <w:r>
        <w:rPr>
          <w:rFonts w:hint="eastAsia" w:ascii="仿宋" w:hAnsi="仿宋" w:eastAsia="仿宋" w:cs="仿宋"/>
          <w:b w:val="0"/>
          <w:bCs/>
          <w:color w:val="000000"/>
          <w:sz w:val="24"/>
          <w:szCs w:val="24"/>
          <w:highlight w:val="none"/>
          <w:lang w:eastAsia="zh-CN"/>
        </w:rPr>
        <w:t>供应商</w:t>
      </w:r>
      <w:r>
        <w:rPr>
          <w:rFonts w:hint="eastAsia" w:ascii="仿宋" w:hAnsi="仿宋" w:eastAsia="仿宋" w:cs="仿宋"/>
          <w:b w:val="0"/>
          <w:bCs/>
          <w:color w:val="000000"/>
          <w:sz w:val="24"/>
          <w:szCs w:val="24"/>
          <w:highlight w:val="none"/>
        </w:rPr>
        <w:t>都应提供并在</w:t>
      </w:r>
      <w:r>
        <w:rPr>
          <w:rFonts w:hint="eastAsia" w:ascii="仿宋" w:hAnsi="仿宋" w:eastAsia="仿宋" w:cs="仿宋"/>
          <w:b w:val="0"/>
          <w:bCs/>
          <w:color w:val="000000"/>
          <w:sz w:val="24"/>
          <w:szCs w:val="24"/>
          <w:highlight w:val="none"/>
          <w:lang w:eastAsia="zh-CN"/>
        </w:rPr>
        <w:t>响应文件</w:t>
      </w:r>
      <w:r>
        <w:rPr>
          <w:rFonts w:hint="eastAsia" w:ascii="仿宋" w:hAnsi="仿宋" w:eastAsia="仿宋" w:cs="仿宋"/>
          <w:b w:val="0"/>
          <w:bCs/>
          <w:color w:val="000000"/>
          <w:sz w:val="24"/>
          <w:szCs w:val="24"/>
          <w:highlight w:val="none"/>
        </w:rPr>
        <w:t>中明确列出。</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w:t>
      </w:r>
      <w:r>
        <w:rPr>
          <w:rFonts w:hint="eastAsia" w:ascii="仿宋" w:hAnsi="仿宋" w:eastAsia="仿宋" w:cs="仿宋"/>
          <w:b w:val="0"/>
          <w:bCs/>
          <w:color w:val="000000"/>
          <w:sz w:val="24"/>
          <w:szCs w:val="24"/>
          <w:highlight w:val="none"/>
          <w:lang w:eastAsia="zh-CN"/>
        </w:rPr>
        <w:t>成交供应商</w:t>
      </w:r>
      <w:r>
        <w:rPr>
          <w:rFonts w:hint="eastAsia" w:ascii="仿宋" w:hAnsi="仿宋" w:eastAsia="仿宋" w:cs="仿宋"/>
          <w:b w:val="0"/>
          <w:bCs/>
          <w:color w:val="000000"/>
          <w:sz w:val="24"/>
          <w:szCs w:val="24"/>
          <w:highlight w:val="none"/>
        </w:rPr>
        <w:t>负责按国家相关标准进行货物包装，设备的包装均应有良好的防湿、防锈、防潮、防雨、防腐及防碰撞的措施。所有货物在开箱检验时必须完好，无破损，配置与装箱单相符。凡由于包装不良造成的损失和由此产生的费用均由</w:t>
      </w:r>
      <w:r>
        <w:rPr>
          <w:rFonts w:hint="eastAsia" w:ascii="仿宋" w:hAnsi="仿宋" w:eastAsia="仿宋" w:cs="仿宋"/>
          <w:b w:val="0"/>
          <w:bCs/>
          <w:color w:val="000000"/>
          <w:sz w:val="24"/>
          <w:szCs w:val="24"/>
          <w:highlight w:val="none"/>
          <w:lang w:eastAsia="zh-CN"/>
        </w:rPr>
        <w:t>成交供应商</w:t>
      </w:r>
      <w:r>
        <w:rPr>
          <w:rFonts w:hint="eastAsia" w:ascii="仿宋" w:hAnsi="仿宋" w:eastAsia="仿宋" w:cs="仿宋"/>
          <w:b w:val="0"/>
          <w:bCs/>
          <w:color w:val="000000"/>
          <w:sz w:val="24"/>
          <w:szCs w:val="24"/>
          <w:highlight w:val="none"/>
        </w:rPr>
        <w:t>承担。</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因产品的质量问题发生争议，由广东省或广州市质检部门进行质量鉴定。采购人与</w:t>
      </w:r>
      <w:r>
        <w:rPr>
          <w:rFonts w:hint="eastAsia" w:ascii="仿宋" w:hAnsi="仿宋" w:eastAsia="仿宋" w:cs="仿宋"/>
          <w:b w:val="0"/>
          <w:bCs/>
          <w:color w:val="000000"/>
          <w:sz w:val="24"/>
          <w:szCs w:val="24"/>
          <w:highlight w:val="none"/>
          <w:lang w:eastAsia="zh-CN"/>
        </w:rPr>
        <w:t>成交供应商</w:t>
      </w:r>
      <w:r>
        <w:rPr>
          <w:rFonts w:hint="eastAsia" w:ascii="仿宋" w:hAnsi="仿宋" w:eastAsia="仿宋" w:cs="仿宋"/>
          <w:b w:val="0"/>
          <w:bCs/>
          <w:color w:val="000000"/>
          <w:sz w:val="24"/>
          <w:szCs w:val="24"/>
          <w:highlight w:val="none"/>
        </w:rPr>
        <w:t>认为有需要，可以共同提出或分别提出质量鉴定，</w:t>
      </w:r>
      <w:r>
        <w:rPr>
          <w:rFonts w:hint="eastAsia" w:ascii="仿宋" w:hAnsi="仿宋" w:eastAsia="仿宋" w:cs="仿宋"/>
          <w:b w:val="0"/>
          <w:bCs/>
          <w:color w:val="000000"/>
          <w:sz w:val="24"/>
          <w:szCs w:val="24"/>
          <w:highlight w:val="none"/>
          <w:lang w:val="en-US" w:eastAsia="zh-CN"/>
        </w:rPr>
        <w:t>若</w:t>
      </w:r>
      <w:r>
        <w:rPr>
          <w:rFonts w:hint="eastAsia" w:ascii="仿宋" w:hAnsi="仿宋" w:eastAsia="仿宋" w:cs="仿宋"/>
          <w:b w:val="0"/>
          <w:bCs/>
          <w:color w:val="000000"/>
          <w:sz w:val="24"/>
          <w:szCs w:val="24"/>
          <w:highlight w:val="none"/>
        </w:rPr>
        <w:t>广东省质检部门与广州市质检部门的鉴定结论不一致的，以广东省质检部门的鉴定结论为准。产品符合质量标准的，鉴定费由采购人承担；产品不符合质量标准的，鉴定费由</w:t>
      </w:r>
      <w:r>
        <w:rPr>
          <w:rFonts w:hint="eastAsia" w:ascii="仿宋" w:hAnsi="仿宋" w:eastAsia="仿宋" w:cs="仿宋"/>
          <w:b w:val="0"/>
          <w:bCs/>
          <w:color w:val="000000"/>
          <w:sz w:val="24"/>
          <w:szCs w:val="24"/>
          <w:highlight w:val="none"/>
          <w:lang w:eastAsia="zh-CN"/>
        </w:rPr>
        <w:t>成交供应商</w:t>
      </w:r>
      <w:r>
        <w:rPr>
          <w:rFonts w:hint="eastAsia" w:ascii="仿宋" w:hAnsi="仿宋" w:eastAsia="仿宋" w:cs="仿宋"/>
          <w:b w:val="0"/>
          <w:bCs/>
          <w:color w:val="000000"/>
          <w:sz w:val="24"/>
          <w:szCs w:val="24"/>
          <w:highlight w:val="none"/>
        </w:rPr>
        <w:t>承担。</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本项目所列示产品或服务的要求及各项指标，应理解为是最低要求。文件中涉及投放产品等的技术参数是采购人对该产品的技术功能配置和档次的选择期望。供应商应根据医院实际情况和自身优势选择产品及配件耗材，但所投产品整体性能指标不应低于采购人所提要求，且必须是符合有关行业标准和质量检测标准的正规合法产品</w:t>
      </w:r>
      <w:r>
        <w:rPr>
          <w:rFonts w:hint="eastAsia" w:ascii="仿宋" w:hAnsi="仿宋" w:eastAsia="仿宋" w:cs="仿宋"/>
          <w:b w:val="0"/>
          <w:bCs/>
          <w:color w:val="000000"/>
          <w:sz w:val="24"/>
          <w:szCs w:val="24"/>
          <w:highlight w:val="none"/>
        </w:rPr>
        <w:t>。</w:t>
      </w:r>
    </w:p>
    <w:p>
      <w:pPr>
        <w:pStyle w:val="29"/>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供应商在配送和安装产品时必须严格遵守采购人的内部管理制度。</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w:t>
      </w:r>
      <w:r>
        <w:rPr>
          <w:rFonts w:hint="eastAsia" w:ascii="仿宋" w:hAnsi="仿宋" w:eastAsia="仿宋" w:cs="仿宋"/>
          <w:b/>
          <w:color w:val="000000"/>
          <w:sz w:val="24"/>
          <w:szCs w:val="24"/>
          <w:highlight w:val="none"/>
        </w:rPr>
        <w:t>、</w:t>
      </w:r>
      <w:r>
        <w:rPr>
          <w:rFonts w:hint="eastAsia" w:ascii="仿宋" w:hAnsi="仿宋" w:eastAsia="仿宋" w:cs="仿宋"/>
          <w:b/>
          <w:color w:val="000000"/>
          <w:sz w:val="24"/>
          <w:szCs w:val="24"/>
          <w:highlight w:val="none"/>
          <w:lang w:val="en-US" w:eastAsia="zh-CN"/>
        </w:rPr>
        <w:t>服务地点：</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中山大学孙逸仙纪念医院北院，广州市越秀区沿江西路107号；</w:t>
      </w:r>
    </w:p>
    <w:p>
      <w:pPr>
        <w:pStyle w:val="29"/>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中山大学孙逸仙纪念医院南院，广州市海珠区盈丰路33号。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四、氧气终端配置</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一致性:所响应产品必须同一品牌（即英标制式氧气终端与德标制式氧气终端品牌一致），保证一致性、安全性、稳定性和互换性。</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唯一性:为保证临床上的不同种气体正确使用，各种气体输出口接头不具有互换性，每种终端插座所包含的专用气体识别口也应具有不可互换性。每种医用气体由一个独立系统提供，互相之间没有任何交叉连接。即氧气终端组件只能插入特定的氧气终端插头，如插入到其他种类气体插头，则无法插入。</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每套氧气终端包含一个特定医用气体的专用接口和一个专用识别口；仅当终端组件插入特定的医用气体专用插头后，该阀才会打开，拔出此专用插头该阀应自动关闭，停止气体供应。</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终端插座和终端后座采用组合式结构，同种气体的终端后座必须通用，不同气体的终端组件在安装、使用和维修时均应具有不可互换性。</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能够保证终端在不切断区域供气情况下对单独的终端进行维修维护。</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终端前级</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（1）配置可拆卸金属压盖，色标满足GB50751-2012《医用气体工程技术规范》及YY/T 0801《医用气体管道系统终端》要求；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（2）金属滚珠式设计。</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终端后级</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（1）配置独立维护阀，可进行带气维护；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（2）优质铜制底座，可配置不同接口形式(吊塔式、墙式、设备带式等)。</w:t>
      </w:r>
    </w:p>
    <w:p>
      <w:pPr>
        <w:pStyle w:val="29"/>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▲终端插拔次数≥20000次后，能保持气体专用性，终端压降、连接力、断开力、机械强度等满足YY/T 0801《医用气体管道系统终端》标准要求，提供省级或以上食品药品监督管理部门出具的产品检测报告。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2" w:firstLine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五、服务要求</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1.安装调试期内要求安排驻场服务人员，具体要求如下：</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（1）具有良好的职业素质和服务态度；</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（2）医院内设立工作、值班室 (场地由采购人提供)；</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（3）驻场服务人员≥1人，提供7*24小时响应统一管理和服务；</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2.人员技术要求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驻场人员需要具备与所从事工作相应的服务能力、学历水平（原则上专科以上），能够保障特殊情况下的紧急加班服务。</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以上人员配置为采购人所需最基本的人员数量，不代表成交供应商实际投入所使用的人员数量（可增加但不得减少），供应商尚应充分考虑突发事件时所需要的人员配置与名额，报价包含此类突发事件所需要的人员与服务成本。</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3.质量保证要求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质量保证期的服务范围为氧气终端产品的全包维保服务：包括维修配件更换、修复，自用维保工具的提供、日常巡检等；质保期内所有维修配件均免费更换，对于非紧急故障，要求供应商4小时内到场响应。</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（1）日常巡检要求：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巡回抽样检查气体压力值是否正常，≥1次/周；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巡回抽样检查各科室气体终端是否泄漏、发现泄漏及时修理，≥1次/周。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（2）紧急情况处理：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如果遇到主配件短缺、改备用措施保证不可停气，及时采购修复主配件。接到紧急故障保证1小时内到场修理。</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（3）质量保证期：自验收合格之日起不少于1年。</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4.交货期、地点</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（1）交货期：接到采购人通知后60日历日内送货至采购人指定地点并安装完成且验收合格。</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（2）交货地点：采购人指定地点。 </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bCs w:val="0"/>
          <w:color w:val="000000"/>
          <w:sz w:val="24"/>
          <w:szCs w:val="24"/>
          <w:highlight w:val="none"/>
          <w:lang w:val="en-US" w:eastAsia="zh-CN"/>
        </w:rPr>
        <w:t>六、验收要求</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1．所有产品的拆箱、安装、调试等各项工作由成交供应商负责，但需在采购人指定人员的参与下进行。调试的原始记录须经各方签字后作为验收的文件之一。</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2．所有产品在开箱时应完好，无破损。数量、质量及性能不低于本比选文件中提出的要求。</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3．验收由采购人、成交供应商及相关人员依国家有关标准、合同及有关附件要求进行。</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验收（履约）标准：成交供应商所供货物应符合中华人民共和国国家安全质量标准、环保标准或行业标准；符合比选文件和响应承诺中采购人认可的参数及各项要求。验收标准以比选文件和成交供应商响应文件为准，如发现所交付的货物有短装、次品、损坏或其它不符合本合同规定之情形者，采购人应作现场记录，或由双方签署备忘录。此现场记录或备忘录可用作补充和更换损坏、缺失部件的有效证据。由此产生的有关费用由供应商承担。</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七、报价要求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本项目为综合单价包干按实结算项目：供应商报价应是比选文件所确定的采购范围内全部内容的价格表现。即包括但不限于产品的价格、运输费、安装费、调试费、售后服务、保险、搬运费、利润及税金等伴随货物产生的一切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2.供应商应在充分考虑可能发生的突发状况的基础上合理报价，除此之外采购方不再承担其他一切费用。</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3.最终结算时采购人根据成交综合单价及经验收合格的实际采购量进行结算，结算总价不得超过本项目合同总金额。</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八、结算方式</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合同产品全部送达指定地点并完成安装调试，供应商在经采购人验收合格并交付使用后15个工作日内提交结算资料，</w:t>
      </w:r>
      <w:r>
        <w:rPr>
          <w:rFonts w:hint="eastAsia" w:ascii="仿宋" w:hAnsi="仿宋" w:eastAsia="仿宋" w:cs="仿宋"/>
          <w:color w:val="000000" w:themeColor="text1"/>
          <w:sz w:val="24"/>
          <w:szCs w:val="24"/>
          <w:highlight w:val="none"/>
          <w:lang w:val="en-US" w:eastAsia="zh-CN"/>
          <w14:textFill>
            <w14:solidFill>
              <w14:schemeClr w14:val="tx1"/>
            </w14:solidFill>
          </w14:textFill>
        </w:rPr>
        <w:t>经采购人审核确认后</w:t>
      </w:r>
      <w:r>
        <w:rPr>
          <w:rFonts w:hint="eastAsia" w:ascii="仿宋" w:hAnsi="仿宋" w:eastAsia="仿宋" w:cs="仿宋"/>
          <w:b w:val="0"/>
          <w:bCs/>
          <w:color w:val="000000"/>
          <w:sz w:val="24"/>
          <w:szCs w:val="24"/>
          <w:highlight w:val="none"/>
          <w:lang w:val="en-US" w:eastAsia="zh-CN"/>
        </w:rPr>
        <w:t>，供应商根据核定金额开具正规发票。采购人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在收到供应商的正规发票后30日内支付合同款项。</w:t>
      </w:r>
    </w:p>
    <w:p>
      <w:pPr>
        <w:pStyle w:val="29"/>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付款方式：采用支票、银行汇付（含电汇）等形式。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九、违约责任</w:t>
      </w:r>
    </w:p>
    <w:p>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采购人有按时收货和支付货款的义务。在供应商未发生不履行或不适当履行合同义务的情况下，如采购人无正当理由拒收货物或拒不支付货款的，采购人应按合同总价的5‰向供应商支付违约金。</w:t>
      </w:r>
    </w:p>
    <w:p>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供应商交付的货物不符合合同规定的，采购人有权拒收，同时供应商向采购人支付合同总价的5‰的违约金。</w:t>
      </w:r>
    </w:p>
    <w:p>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除本合同另有约定外，供应商有不履行或不适当履行本合同项下义务的其他情形的，采购人有权提出警告并要求期限整改。</w:t>
      </w:r>
    </w:p>
    <w:p>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依法或依据本合同约定单方解除/终止合同的，供应商应于收到解除/终止通知之日起五个工作日内将采购人已付款项全额返还采购人，并应按合同总价的5‰向采购人支付违约金。如采购人要求供应商取回不合格设备、清理现场、或配合办理合同解除/终止之相关事宜的，供应商应积极配合，并于10日内处理完毕。</w:t>
      </w:r>
    </w:p>
    <w:p>
      <w:pPr>
        <w:pStyle w:val="29"/>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20" w:leftChars="0" w:firstLine="400" w:firstLineChars="0"/>
        <w:textAlignment w:val="auto"/>
        <w:rPr>
          <w:rFonts w:hint="eastAsia"/>
        </w:rPr>
      </w:pPr>
      <w:r>
        <w:rPr>
          <w:rFonts w:hint="eastAsia" w:ascii="仿宋" w:hAnsi="仿宋" w:eastAsia="仿宋" w:cs="仿宋"/>
          <w:b w:val="0"/>
          <w:bCs/>
          <w:color w:val="000000"/>
          <w:sz w:val="24"/>
          <w:szCs w:val="24"/>
          <w:highlight w:val="none"/>
          <w:lang w:val="en-US" w:eastAsia="zh-CN"/>
        </w:rPr>
        <w:t>其它违约责任按合同其他条款约定及《中华人民共和国民法典》规定处理。</w:t>
      </w: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2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8"/>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供应商具备有效的特种设备安装改造维修许可或生产许可证（管道安装）GC2级或以上。（提供有效期内的证书复印件，加盖公章）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供应商具备建筑机电安装工程专业承包三级或以上资质。（提供有效期内的证书复印件，加盖公章）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11</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供应商具有安全生产许可证。（提供有效期内的证书复印件，加盖公章）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12</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本项目所投产品为第二类医疗器械：如供应商为生产企业，提供监督管理部门签发的有效的《医疗器械生产许可证》复印件；如供应商为经营企业，提供监督管理部门签发的有效的二类经营备案复印件。（如国家另有规定，则适用其规定）</w:t>
            </w:r>
          </w:p>
        </w:tc>
      </w:tr>
    </w:tbl>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2"/>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评分（35</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35分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35分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商务评审表（35分）</w:t>
      </w:r>
    </w:p>
    <w:tbl>
      <w:tblPr>
        <w:tblStyle w:val="24"/>
        <w:tblW w:w="9262" w:type="dxa"/>
        <w:jc w:val="center"/>
        <w:tblLayout w:type="fixed"/>
        <w:tblCellMar>
          <w:top w:w="0" w:type="dxa"/>
          <w:left w:w="108" w:type="dxa"/>
          <w:bottom w:w="0" w:type="dxa"/>
          <w:right w:w="108" w:type="dxa"/>
        </w:tblCellMar>
      </w:tblPr>
      <w:tblGrid>
        <w:gridCol w:w="2062"/>
        <w:gridCol w:w="677"/>
        <w:gridCol w:w="6523"/>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12</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eastAsia="zh-CN"/>
              </w:rPr>
              <w:t>提供所投产品同品牌的</w:t>
            </w:r>
            <w:r>
              <w:rPr>
                <w:rFonts w:hint="eastAsia" w:ascii="仿宋" w:hAnsi="仿宋" w:eastAsia="仿宋" w:cs="仿宋"/>
                <w:sz w:val="21"/>
                <w:szCs w:val="21"/>
                <w:highlight w:val="none"/>
              </w:rPr>
              <w:t>同类项目业绩进行评分，每提供一个得3分，最高得</w:t>
            </w:r>
            <w:r>
              <w:rPr>
                <w:rFonts w:hint="eastAsia" w:ascii="仿宋" w:hAnsi="仿宋" w:eastAsia="仿宋" w:cs="仿宋"/>
                <w:sz w:val="21"/>
                <w:szCs w:val="21"/>
                <w:highlight w:val="none"/>
                <w:lang w:val="en-US" w:eastAsia="zh-CN"/>
              </w:rPr>
              <w:t>12</w:t>
            </w:r>
            <w:r>
              <w:rPr>
                <w:rFonts w:hint="eastAsia" w:ascii="仿宋" w:hAnsi="仿宋" w:eastAsia="仿宋" w:cs="仿宋"/>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w:t>
            </w:r>
            <w:r>
              <w:rPr>
                <w:rFonts w:hint="eastAsia" w:ascii="仿宋" w:hAnsi="仿宋" w:eastAsia="仿宋" w:cs="仿宋"/>
                <w:sz w:val="21"/>
                <w:szCs w:val="21"/>
                <w:highlight w:val="none"/>
                <w:lang w:eastAsia="zh-CN"/>
              </w:rPr>
              <w:t>、</w:t>
            </w:r>
            <w:r>
              <w:rPr>
                <w:rFonts w:hint="eastAsia" w:ascii="仿宋" w:hAnsi="仿宋" w:eastAsia="仿宋" w:cs="仿宋"/>
                <w:b/>
                <w:bCs/>
                <w:color w:val="FF0000"/>
                <w:sz w:val="21"/>
                <w:szCs w:val="21"/>
                <w:highlight w:val="none"/>
                <w:lang w:val="en-US" w:eastAsia="zh-CN"/>
              </w:rPr>
              <w:t>所投产品品牌</w:t>
            </w:r>
            <w:r>
              <w:rPr>
                <w:rFonts w:hint="eastAsia" w:ascii="仿宋" w:hAnsi="仿宋" w:eastAsia="仿宋" w:cs="仿宋"/>
                <w:sz w:val="21"/>
                <w:szCs w:val="21"/>
                <w:highlight w:val="none"/>
              </w:rPr>
              <w:t>。证明文件不符合要求或未提供不得分。同一客户单位不重复计分。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tblPrEx>
          <w:tblCellMar>
            <w:top w:w="0" w:type="dxa"/>
            <w:left w:w="108" w:type="dxa"/>
            <w:bottom w:w="0" w:type="dxa"/>
            <w:right w:w="108" w:type="dxa"/>
          </w:tblCellMar>
        </w:tblPrEx>
        <w:trPr>
          <w:trHeight w:val="18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8</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2分，最高得8分。不提供不得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拟派项目人员</w:t>
            </w:r>
          </w:p>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包括但不限于驻场人员</w:t>
            </w:r>
            <w:r>
              <w:rPr>
                <w:rFonts w:hint="eastAsia" w:ascii="仿宋" w:hAnsi="仿宋" w:eastAsia="仿宋" w:cs="仿宋"/>
                <w:color w:val="000000"/>
                <w:kern w:val="0"/>
                <w:sz w:val="21"/>
                <w:szCs w:val="21"/>
                <w:highlight w:val="none"/>
                <w:lang w:eastAsia="zh-CN"/>
              </w:rPr>
              <w:t>）</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12</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拟派项目人员</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包括但不限于驻场人员</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具有压力管道（容器）作业人员证书的，每提供一人得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分，最高得</w:t>
            </w:r>
            <w:r>
              <w:rPr>
                <w:rFonts w:hint="eastAsia" w:ascii="仿宋" w:hAnsi="仿宋" w:eastAsia="仿宋" w:cs="仿宋"/>
                <w:color w:val="000000"/>
                <w:kern w:val="0"/>
                <w:sz w:val="21"/>
                <w:szCs w:val="21"/>
                <w:highlight w:val="none"/>
                <w:lang w:val="en-US" w:eastAsia="zh-CN"/>
              </w:rPr>
              <w:t>4</w:t>
            </w:r>
            <w:r>
              <w:rPr>
                <w:rFonts w:hint="eastAsia" w:ascii="仿宋" w:hAnsi="仿宋" w:eastAsia="仿宋" w:cs="仿宋"/>
                <w:color w:val="000000"/>
                <w:kern w:val="0"/>
                <w:sz w:val="21"/>
                <w:szCs w:val="21"/>
                <w:highlight w:val="none"/>
              </w:rPr>
              <w:t>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因本项目涉及到产品安装，人员需同时具有电工证和焊工证</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二者缺一不可</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w:t>
            </w:r>
            <w:r>
              <w:rPr>
                <w:rFonts w:hint="eastAsia" w:ascii="仿宋" w:hAnsi="仿宋" w:eastAsia="仿宋" w:cs="仿宋"/>
                <w:color w:val="000000"/>
                <w:kern w:val="0"/>
                <w:sz w:val="21"/>
                <w:szCs w:val="21"/>
                <w:highlight w:val="none"/>
                <w:lang w:val="en-US" w:eastAsia="zh-CN"/>
              </w:rPr>
              <w:t>每</w:t>
            </w:r>
            <w:r>
              <w:rPr>
                <w:rFonts w:hint="eastAsia" w:ascii="仿宋" w:hAnsi="仿宋" w:eastAsia="仿宋" w:cs="仿宋"/>
                <w:color w:val="000000"/>
                <w:kern w:val="0"/>
                <w:sz w:val="21"/>
                <w:szCs w:val="21"/>
                <w:highlight w:val="none"/>
              </w:rPr>
              <w:t>提供一人得</w:t>
            </w:r>
            <w:r>
              <w:rPr>
                <w:rFonts w:hint="eastAsia" w:ascii="仿宋" w:hAnsi="仿宋" w:eastAsia="仿宋" w:cs="仿宋"/>
                <w:color w:val="000000"/>
                <w:kern w:val="0"/>
                <w:sz w:val="21"/>
                <w:szCs w:val="21"/>
                <w:highlight w:val="none"/>
                <w:lang w:val="en-US" w:eastAsia="zh-CN"/>
              </w:rPr>
              <w:t>2</w:t>
            </w:r>
            <w:r>
              <w:rPr>
                <w:rFonts w:hint="eastAsia" w:ascii="仿宋" w:hAnsi="仿宋" w:eastAsia="仿宋" w:cs="仿宋"/>
                <w:color w:val="000000"/>
                <w:kern w:val="0"/>
                <w:sz w:val="21"/>
                <w:szCs w:val="21"/>
                <w:highlight w:val="none"/>
              </w:rPr>
              <w:t>分，最高得</w:t>
            </w:r>
            <w:r>
              <w:rPr>
                <w:rFonts w:hint="eastAsia" w:ascii="仿宋" w:hAnsi="仿宋" w:eastAsia="仿宋" w:cs="仿宋"/>
                <w:color w:val="000000"/>
                <w:kern w:val="0"/>
                <w:sz w:val="21"/>
                <w:szCs w:val="21"/>
                <w:highlight w:val="none"/>
                <w:lang w:val="en-US" w:eastAsia="zh-CN"/>
              </w:rPr>
              <w:t>8</w:t>
            </w:r>
            <w:r>
              <w:rPr>
                <w:rFonts w:hint="eastAsia" w:ascii="仿宋" w:hAnsi="仿宋" w:eastAsia="仿宋" w:cs="仿宋"/>
                <w:color w:val="000000"/>
                <w:kern w:val="0"/>
                <w:sz w:val="21"/>
                <w:szCs w:val="21"/>
                <w:highlight w:val="none"/>
              </w:rPr>
              <w:t>分。</w:t>
            </w:r>
          </w:p>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lang w:eastAsia="zh-CN"/>
              </w:rPr>
            </w:pPr>
            <w:r>
              <w:rPr>
                <w:rFonts w:hint="eastAsia" w:ascii="仿宋" w:hAnsi="仿宋" w:eastAsia="仿宋" w:cs="仿宋"/>
                <w:color w:val="000000"/>
                <w:kern w:val="0"/>
                <w:sz w:val="21"/>
                <w:szCs w:val="21"/>
                <w:highlight w:val="none"/>
                <w:lang w:val="en-US" w:eastAsia="zh-CN"/>
              </w:rPr>
              <w:t>注：</w:t>
            </w:r>
            <w:r>
              <w:rPr>
                <w:rFonts w:hint="eastAsia" w:ascii="仿宋" w:hAnsi="仿宋" w:eastAsia="仿宋" w:cs="仿宋"/>
                <w:color w:val="000000"/>
                <w:kern w:val="0"/>
                <w:sz w:val="21"/>
                <w:szCs w:val="21"/>
                <w:highlight w:val="none"/>
              </w:rPr>
              <w:t>提供证书复印件及近6个月内任意1个月供应商（或其分支机构）为其缴纳的社保证明，加盖公章</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未提供或提供不齐全不得分。</w:t>
            </w:r>
          </w:p>
        </w:tc>
      </w:tr>
      <w:tr>
        <w:tblPrEx>
          <w:tblCellMar>
            <w:top w:w="0" w:type="dxa"/>
            <w:left w:w="108" w:type="dxa"/>
            <w:bottom w:w="0" w:type="dxa"/>
            <w:right w:w="108" w:type="dxa"/>
          </w:tblCellMar>
        </w:tblPrEx>
        <w:trPr>
          <w:trHeight w:val="1135"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企业体系认证情况</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供应商具有有效期内的质量管理体系认证、环境管理体系认证、职业健康安全管理体系认证，每有一项得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分，本项最高得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注：须提供有效期内的证书复印件，加盖供应商公章，未提供不得分；若所提供的证书认证范围与本项目无关的，不得分。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技术评审表（35分）</w:t>
      </w:r>
    </w:p>
    <w:tbl>
      <w:tblPr>
        <w:tblStyle w:val="24"/>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kern w:val="0"/>
                <w:sz w:val="21"/>
                <w:szCs w:val="21"/>
                <w:highlight w:val="none"/>
              </w:rPr>
              <w:t>采购需求中带▲号的重要技术条款的符合性</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5</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供应商所响应产品每满足一项用户需求书中带“▲”号的重要技术要求（共</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项），得</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分，合计</w:t>
            </w:r>
            <w:r>
              <w:rPr>
                <w:rFonts w:hint="eastAsia" w:ascii="仿宋" w:hAnsi="仿宋" w:eastAsia="仿宋" w:cs="仿宋"/>
                <w:sz w:val="21"/>
                <w:szCs w:val="21"/>
                <w:highlight w:val="none"/>
                <w:lang w:val="en-US" w:eastAsia="zh-CN"/>
              </w:rPr>
              <w:t>5</w:t>
            </w:r>
            <w:r>
              <w:rPr>
                <w:rFonts w:hint="eastAsia" w:ascii="仿宋" w:hAnsi="仿宋" w:eastAsia="仿宋" w:cs="仿宋"/>
                <w:sz w:val="21"/>
                <w:szCs w:val="21"/>
                <w:highlight w:val="none"/>
              </w:rPr>
              <w:t>分；</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val="en-US" w:eastAsia="zh-CN"/>
              </w:rPr>
              <w:t>提供省级或以上食品药品监督管理部门出具的产品检测报告</w:t>
            </w:r>
            <w:r>
              <w:rPr>
                <w:rFonts w:hint="eastAsia" w:ascii="仿宋" w:hAnsi="仿宋" w:eastAsia="仿宋" w:cs="仿宋"/>
                <w:sz w:val="21"/>
                <w:szCs w:val="21"/>
                <w:highlight w:val="none"/>
              </w:rPr>
              <w:t>。</w:t>
            </w:r>
          </w:p>
        </w:tc>
      </w:tr>
      <w:tr>
        <w:tblPrEx>
          <w:tblCellMar>
            <w:top w:w="0" w:type="dxa"/>
            <w:left w:w="108" w:type="dxa"/>
            <w:bottom w:w="0" w:type="dxa"/>
            <w:right w:w="108" w:type="dxa"/>
          </w:tblCellMar>
        </w:tblPrEx>
        <w:trPr>
          <w:trHeight w:val="711"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采购需求中</w:t>
            </w:r>
            <w:r>
              <w:rPr>
                <w:rFonts w:hint="eastAsia" w:ascii="仿宋" w:hAnsi="仿宋" w:eastAsia="仿宋" w:cs="仿宋"/>
                <w:color w:val="000000"/>
                <w:sz w:val="21"/>
                <w:szCs w:val="21"/>
                <w:highlight w:val="none"/>
                <w:lang w:val="en-US" w:eastAsia="zh-CN"/>
              </w:rPr>
              <w:t>对于终端前级、后级的</w:t>
            </w:r>
            <w:r>
              <w:rPr>
                <w:rFonts w:hint="eastAsia" w:ascii="仿宋" w:hAnsi="仿宋" w:eastAsia="仿宋" w:cs="仿宋"/>
                <w:color w:val="000000"/>
                <w:sz w:val="21"/>
                <w:szCs w:val="21"/>
                <w:highlight w:val="none"/>
              </w:rPr>
              <w:t>技术条款的符合性</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供应商所响应产品每满足一项用户需求书“</w:t>
            </w:r>
            <w:r>
              <w:rPr>
                <w:rFonts w:hint="eastAsia" w:ascii="仿宋" w:hAnsi="仿宋" w:eastAsia="仿宋" w:cs="仿宋"/>
                <w:color w:val="000000"/>
                <w:sz w:val="21"/>
                <w:szCs w:val="21"/>
                <w:highlight w:val="none"/>
                <w:lang w:val="en-US" w:eastAsia="zh-CN"/>
              </w:rPr>
              <w:t>氧气终端配置</w:t>
            </w:r>
            <w:r>
              <w:rPr>
                <w:rFonts w:hint="eastAsia" w:ascii="仿宋" w:hAnsi="仿宋" w:eastAsia="仿宋" w:cs="仿宋"/>
                <w:color w:val="000000"/>
                <w:sz w:val="21"/>
                <w:szCs w:val="21"/>
                <w:highlight w:val="none"/>
              </w:rPr>
              <w:t>”中</w:t>
            </w:r>
            <w:r>
              <w:rPr>
                <w:rFonts w:hint="eastAsia" w:ascii="仿宋" w:hAnsi="仿宋" w:eastAsia="仿宋" w:cs="仿宋"/>
                <w:color w:val="000000"/>
                <w:sz w:val="21"/>
                <w:szCs w:val="21"/>
                <w:highlight w:val="none"/>
                <w:lang w:eastAsia="zh-CN"/>
              </w:rPr>
              <w:t>“终端前级”“</w:t>
            </w:r>
            <w:r>
              <w:rPr>
                <w:rFonts w:hint="eastAsia" w:ascii="仿宋" w:hAnsi="仿宋" w:eastAsia="仿宋" w:cs="仿宋"/>
                <w:color w:val="000000"/>
                <w:sz w:val="21"/>
                <w:szCs w:val="21"/>
                <w:highlight w:val="none"/>
                <w:lang w:val="en-US" w:eastAsia="zh-CN"/>
              </w:rPr>
              <w:t>终端</w:t>
            </w:r>
            <w:r>
              <w:rPr>
                <w:rFonts w:hint="eastAsia" w:ascii="仿宋" w:hAnsi="仿宋" w:eastAsia="仿宋" w:cs="仿宋"/>
                <w:color w:val="000000"/>
                <w:sz w:val="21"/>
                <w:szCs w:val="21"/>
                <w:highlight w:val="none"/>
                <w:lang w:eastAsia="zh-CN"/>
              </w:rPr>
              <w:t>后级”</w:t>
            </w:r>
            <w:r>
              <w:rPr>
                <w:rFonts w:hint="eastAsia" w:ascii="仿宋" w:hAnsi="仿宋" w:eastAsia="仿宋" w:cs="仿宋"/>
                <w:color w:val="000000"/>
                <w:sz w:val="21"/>
                <w:szCs w:val="21"/>
                <w:highlight w:val="none"/>
              </w:rPr>
              <w:t>的技术要求（共</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项），得1分，合计</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color w:val="000000"/>
                <w:sz w:val="21"/>
                <w:szCs w:val="21"/>
                <w:highlight w:val="none"/>
              </w:rPr>
              <w:t>提供响应产品彩页或相应技术参数的厂家使用说明书作为技术证明文件，否则评审委员会有权视相应技术参数响应不符合比选要求（如厂家的产品使用说明书为英文版，请同时提供中文版）。</w:t>
            </w:r>
          </w:p>
        </w:tc>
      </w:tr>
      <w:tr>
        <w:tblPrEx>
          <w:tblCellMar>
            <w:top w:w="0" w:type="dxa"/>
            <w:left w:w="108" w:type="dxa"/>
            <w:bottom w:w="0" w:type="dxa"/>
            <w:right w:w="108" w:type="dxa"/>
          </w:tblCellMar>
        </w:tblPrEx>
        <w:trPr>
          <w:trHeight w:val="28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0"/>
                <w:sz w:val="21"/>
                <w:szCs w:val="21"/>
              </w:rPr>
              <w:t>售后服务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0"/>
                <w:sz w:val="21"/>
                <w:szCs w:val="21"/>
              </w:rPr>
            </w:pPr>
            <w:r>
              <w:rPr>
                <w:rFonts w:hint="eastAsia" w:ascii="仿宋" w:hAnsi="仿宋" w:eastAsia="仿宋" w:cs="仿宋"/>
                <w:b w:val="0"/>
                <w:bCs w:val="0"/>
                <w:color w:val="000000"/>
                <w:kern w:val="0"/>
                <w:sz w:val="21"/>
                <w:szCs w:val="21"/>
              </w:rPr>
              <w:t>根据</w:t>
            </w:r>
            <w:r>
              <w:rPr>
                <w:rFonts w:hint="eastAsia" w:ascii="仿宋" w:hAnsi="仿宋" w:eastAsia="仿宋" w:cs="仿宋"/>
                <w:b w:val="0"/>
                <w:bCs w:val="0"/>
                <w:color w:val="000000"/>
                <w:kern w:val="0"/>
                <w:sz w:val="21"/>
                <w:szCs w:val="21"/>
                <w:lang w:val="en-US" w:eastAsia="zh-CN"/>
              </w:rPr>
              <w:t>供应商</w:t>
            </w:r>
            <w:r>
              <w:rPr>
                <w:rFonts w:hint="eastAsia" w:ascii="仿宋" w:hAnsi="仿宋" w:eastAsia="仿宋" w:cs="仿宋"/>
                <w:b w:val="0"/>
                <w:bCs w:val="0"/>
                <w:color w:val="000000"/>
                <w:kern w:val="0"/>
                <w:sz w:val="21"/>
                <w:szCs w:val="21"/>
              </w:rPr>
              <w:t>的</w:t>
            </w:r>
            <w:r>
              <w:rPr>
                <w:rFonts w:hint="eastAsia" w:ascii="仿宋" w:hAnsi="仿宋" w:eastAsia="仿宋" w:cs="仿宋"/>
                <w:b w:val="0"/>
                <w:bCs w:val="0"/>
                <w:color w:val="000000"/>
                <w:kern w:val="0"/>
                <w:sz w:val="21"/>
                <w:szCs w:val="21"/>
                <w:lang w:val="en-US" w:eastAsia="zh-CN"/>
              </w:rPr>
              <w:t>售后服务方案</w:t>
            </w:r>
            <w:r>
              <w:rPr>
                <w:rFonts w:hint="eastAsia" w:ascii="仿宋" w:hAnsi="仿宋" w:eastAsia="仿宋" w:cs="仿宋"/>
                <w:b w:val="0"/>
                <w:bCs w:val="0"/>
                <w:color w:val="000000"/>
                <w:kern w:val="0"/>
                <w:sz w:val="21"/>
                <w:szCs w:val="21"/>
              </w:rPr>
              <w:t>作为评审依据</w:t>
            </w:r>
            <w:r>
              <w:rPr>
                <w:rFonts w:hint="eastAsia" w:ascii="仿宋" w:hAnsi="仿宋" w:eastAsia="仿宋" w:cs="仿宋"/>
                <w:kern w:val="0"/>
                <w:sz w:val="21"/>
                <w:szCs w:val="21"/>
              </w:rPr>
              <w:t>(包括质保期、快速响应时间</w:t>
            </w:r>
            <w:r>
              <w:rPr>
                <w:rFonts w:hint="eastAsia" w:ascii="仿宋" w:hAnsi="仿宋" w:eastAsia="仿宋" w:cs="仿宋"/>
                <w:sz w:val="21"/>
                <w:szCs w:val="28"/>
                <w:lang w:eastAsia="zh-CN"/>
              </w:rPr>
              <w:t>、培训计划及安排</w:t>
            </w:r>
            <w:r>
              <w:rPr>
                <w:rFonts w:hint="eastAsia" w:ascii="仿宋" w:hAnsi="仿宋" w:eastAsia="仿宋" w:cs="仿宋"/>
                <w:kern w:val="0"/>
                <w:sz w:val="21"/>
                <w:szCs w:val="21"/>
              </w:rPr>
              <w:t>等)</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按照方案</w:t>
            </w:r>
            <w:r>
              <w:rPr>
                <w:rFonts w:hint="eastAsia" w:ascii="仿宋" w:hAnsi="仿宋" w:eastAsia="仿宋" w:cs="仿宋"/>
                <w:kern w:val="0"/>
                <w:sz w:val="21"/>
                <w:szCs w:val="21"/>
              </w:rPr>
              <w:t>是否完善具体，各阶段服务计划是否详尽进行综合评议及打分：</w:t>
            </w:r>
          </w:p>
          <w:p>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质保期优于用户需求，</w:t>
            </w:r>
            <w:r>
              <w:rPr>
                <w:rFonts w:hint="eastAsia" w:ascii="仿宋" w:hAnsi="仿宋" w:eastAsia="仿宋" w:cs="仿宋"/>
                <w:kern w:val="0"/>
                <w:sz w:val="21"/>
                <w:szCs w:val="21"/>
                <w:lang w:eastAsia="zh-CN"/>
              </w:rPr>
              <w:t>在</w:t>
            </w:r>
            <w:r>
              <w:rPr>
                <w:rFonts w:hint="eastAsia" w:ascii="仿宋" w:hAnsi="仿宋" w:eastAsia="仿宋" w:cs="仿宋"/>
                <w:kern w:val="0"/>
                <w:sz w:val="21"/>
                <w:szCs w:val="21"/>
                <w:lang w:val="en-US" w:eastAsia="zh-CN"/>
              </w:rPr>
              <w:t>用户需求基础上</w:t>
            </w:r>
            <w:r>
              <w:rPr>
                <w:rFonts w:hint="eastAsia" w:ascii="仿宋" w:hAnsi="仿宋" w:eastAsia="仿宋" w:cs="仿宋"/>
                <w:kern w:val="0"/>
                <w:sz w:val="21"/>
                <w:szCs w:val="21"/>
              </w:rPr>
              <w:t>每增加一年得1分，最多得2分；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①</w:t>
            </w:r>
            <w:r>
              <w:rPr>
                <w:rFonts w:hint="eastAsia" w:ascii="仿宋" w:hAnsi="仿宋" w:eastAsia="仿宋" w:cs="仿宋"/>
                <w:b w:val="0"/>
                <w:bCs w:val="0"/>
                <w:kern w:val="0"/>
                <w:sz w:val="21"/>
                <w:szCs w:val="21"/>
              </w:rPr>
              <w:t>售后服务保障方案完善全面，</w:t>
            </w:r>
            <w:r>
              <w:rPr>
                <w:rFonts w:hint="eastAsia" w:ascii="仿宋" w:hAnsi="仿宋" w:eastAsia="仿宋" w:cs="仿宋"/>
                <w:kern w:val="0"/>
                <w:sz w:val="21"/>
                <w:szCs w:val="21"/>
              </w:rPr>
              <w:t>快速响应时间</w:t>
            </w:r>
            <w:r>
              <w:rPr>
                <w:rFonts w:hint="eastAsia" w:ascii="仿宋" w:hAnsi="仿宋" w:eastAsia="仿宋" w:cs="仿宋"/>
                <w:b w:val="0"/>
                <w:bCs w:val="0"/>
                <w:kern w:val="0"/>
                <w:sz w:val="21"/>
                <w:szCs w:val="21"/>
              </w:rPr>
              <w:t>安排合理科学，培训计划及安排全面合理，整体可行性高、操作性强，得</w:t>
            </w:r>
            <w:r>
              <w:rPr>
                <w:rFonts w:hint="eastAsia" w:ascii="仿宋" w:hAnsi="仿宋" w:eastAsia="仿宋" w:cs="仿宋"/>
                <w:b w:val="0"/>
                <w:bCs w:val="0"/>
                <w:kern w:val="0"/>
                <w:sz w:val="21"/>
                <w:szCs w:val="21"/>
                <w:lang w:val="en-US" w:eastAsia="zh-CN"/>
              </w:rPr>
              <w:t>4</w:t>
            </w:r>
            <w:r>
              <w:rPr>
                <w:rFonts w:hint="eastAsia" w:ascii="仿宋" w:hAnsi="仿宋" w:eastAsia="仿宋" w:cs="仿宋"/>
                <w:b w:val="0"/>
                <w:bCs w:val="0"/>
                <w:kern w:val="0"/>
                <w:sz w:val="21"/>
                <w:szCs w:val="21"/>
              </w:rPr>
              <w:t>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②</w:t>
            </w:r>
            <w:r>
              <w:rPr>
                <w:rFonts w:hint="eastAsia" w:ascii="仿宋" w:hAnsi="仿宋" w:eastAsia="仿宋" w:cs="仿宋"/>
                <w:b w:val="0"/>
                <w:bCs w:val="0"/>
                <w:kern w:val="0"/>
                <w:sz w:val="21"/>
                <w:szCs w:val="21"/>
              </w:rPr>
              <w:t>售后服务保障方案较为完善全面，</w:t>
            </w:r>
            <w:r>
              <w:rPr>
                <w:rFonts w:hint="eastAsia" w:ascii="仿宋" w:hAnsi="仿宋" w:eastAsia="仿宋" w:cs="仿宋"/>
                <w:kern w:val="0"/>
                <w:sz w:val="21"/>
                <w:szCs w:val="21"/>
              </w:rPr>
              <w:t>快速响应时间</w:t>
            </w:r>
            <w:r>
              <w:rPr>
                <w:rFonts w:hint="eastAsia" w:ascii="仿宋" w:hAnsi="仿宋" w:eastAsia="仿宋" w:cs="仿宋"/>
                <w:b w:val="0"/>
                <w:bCs w:val="0"/>
                <w:kern w:val="0"/>
                <w:sz w:val="21"/>
                <w:szCs w:val="21"/>
              </w:rPr>
              <w:t>安排较为合理科学，培训计划及安排较为全面合理，整体可行性、操作性较强，得</w:t>
            </w:r>
            <w:r>
              <w:rPr>
                <w:rFonts w:hint="eastAsia" w:ascii="仿宋" w:hAnsi="仿宋" w:eastAsia="仿宋" w:cs="仿宋"/>
                <w:b w:val="0"/>
                <w:bCs w:val="0"/>
                <w:kern w:val="0"/>
                <w:sz w:val="21"/>
                <w:szCs w:val="21"/>
                <w:lang w:val="en-US" w:eastAsia="zh-CN"/>
              </w:rPr>
              <w:t>2</w:t>
            </w:r>
            <w:r>
              <w:rPr>
                <w:rFonts w:hint="eastAsia" w:ascii="仿宋" w:hAnsi="仿宋" w:eastAsia="仿宋" w:cs="仿宋"/>
                <w:b w:val="0"/>
                <w:bCs w:val="0"/>
                <w:kern w:val="0"/>
                <w:sz w:val="21"/>
                <w:szCs w:val="21"/>
              </w:rPr>
              <w:t>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③</w:t>
            </w:r>
            <w:r>
              <w:rPr>
                <w:rFonts w:hint="eastAsia" w:ascii="仿宋" w:hAnsi="仿宋" w:eastAsia="仿宋" w:cs="仿宋"/>
                <w:b w:val="0"/>
                <w:bCs w:val="0"/>
                <w:kern w:val="0"/>
                <w:sz w:val="21"/>
                <w:szCs w:val="21"/>
              </w:rPr>
              <w:t>售后服务保障方案不太完善全面，</w:t>
            </w:r>
            <w:r>
              <w:rPr>
                <w:rFonts w:hint="eastAsia" w:ascii="仿宋" w:hAnsi="仿宋" w:eastAsia="仿宋" w:cs="仿宋"/>
                <w:kern w:val="0"/>
                <w:sz w:val="21"/>
                <w:szCs w:val="21"/>
              </w:rPr>
              <w:t>快速响应时间</w:t>
            </w:r>
            <w:r>
              <w:rPr>
                <w:rFonts w:hint="eastAsia" w:ascii="仿宋" w:hAnsi="仿宋" w:eastAsia="仿宋" w:cs="仿宋"/>
                <w:b w:val="0"/>
                <w:bCs w:val="0"/>
                <w:kern w:val="0"/>
                <w:sz w:val="21"/>
                <w:szCs w:val="21"/>
              </w:rPr>
              <w:t>安排不太合理科学，培训计划及培训不太全面合理，只具有一定的可行性、操作性，得1分；</w:t>
            </w:r>
          </w:p>
          <w:p>
            <w:pPr>
              <w:keepNext w:val="0"/>
              <w:keepLines w:val="0"/>
              <w:pageBreakBefore w:val="0"/>
              <w:widowControl/>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④</w:t>
            </w:r>
            <w:r>
              <w:rPr>
                <w:rFonts w:hint="eastAsia" w:ascii="仿宋" w:hAnsi="仿宋" w:eastAsia="仿宋" w:cs="仿宋"/>
                <w:b w:val="0"/>
                <w:bCs w:val="0"/>
                <w:kern w:val="0"/>
                <w:sz w:val="21"/>
                <w:szCs w:val="21"/>
              </w:rPr>
              <w:t>售后服务保障方案片面粗略，</w:t>
            </w:r>
            <w:r>
              <w:rPr>
                <w:rFonts w:hint="eastAsia" w:ascii="仿宋" w:hAnsi="仿宋" w:eastAsia="仿宋" w:cs="仿宋"/>
                <w:kern w:val="0"/>
                <w:sz w:val="21"/>
                <w:szCs w:val="21"/>
              </w:rPr>
              <w:t>快速响应时间</w:t>
            </w:r>
            <w:r>
              <w:rPr>
                <w:rFonts w:hint="eastAsia" w:ascii="仿宋" w:hAnsi="仿宋" w:eastAsia="仿宋" w:cs="仿宋"/>
                <w:b w:val="0"/>
                <w:bCs w:val="0"/>
                <w:kern w:val="0"/>
                <w:sz w:val="21"/>
                <w:szCs w:val="21"/>
              </w:rPr>
              <w:t>安排不合理，培训计划及安排不合理，可行性、操作性较低，或无提供售后服务和技术培训方案不得分。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b/>
                <w:bCs/>
                <w:kern w:val="0"/>
                <w:sz w:val="21"/>
                <w:szCs w:val="21"/>
              </w:rPr>
              <w:t>注：需提供售后服务承诺函并加盖</w:t>
            </w:r>
            <w:r>
              <w:rPr>
                <w:rFonts w:hint="eastAsia" w:ascii="仿宋" w:hAnsi="仿宋" w:eastAsia="仿宋" w:cs="仿宋"/>
                <w:b/>
                <w:bCs/>
                <w:color w:val="FF0000"/>
                <w:kern w:val="0"/>
                <w:sz w:val="21"/>
                <w:szCs w:val="21"/>
                <w:lang w:val="en-US" w:eastAsia="zh-CN"/>
              </w:rPr>
              <w:t>产品制造商</w:t>
            </w:r>
            <w:r>
              <w:rPr>
                <w:rFonts w:hint="eastAsia" w:ascii="仿宋" w:hAnsi="仿宋" w:eastAsia="仿宋" w:cs="仿宋"/>
                <w:b/>
                <w:bCs/>
                <w:color w:val="FF0000"/>
                <w:kern w:val="0"/>
                <w:sz w:val="21"/>
                <w:szCs w:val="21"/>
              </w:rPr>
              <w:t>公章</w:t>
            </w:r>
            <w:r>
              <w:rPr>
                <w:rFonts w:hint="eastAsia" w:ascii="仿宋" w:hAnsi="仿宋" w:eastAsia="仿宋" w:cs="仿宋"/>
                <w:b/>
                <w:bCs/>
                <w:kern w:val="0"/>
                <w:sz w:val="21"/>
                <w:szCs w:val="21"/>
              </w:rPr>
              <w:t>，否则不得分。</w:t>
            </w:r>
          </w:p>
        </w:tc>
      </w:tr>
      <w:tr>
        <w:tblPrEx>
          <w:tblCellMar>
            <w:top w:w="0" w:type="dxa"/>
            <w:left w:w="108" w:type="dxa"/>
            <w:bottom w:w="0" w:type="dxa"/>
            <w:right w:w="108" w:type="dxa"/>
          </w:tblCellMar>
        </w:tblPrEx>
        <w:trPr>
          <w:trHeight w:val="1235"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履约能力</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right="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6"/>
              <w:keepNext w:val="0"/>
              <w:keepLines w:val="0"/>
              <w:suppressLineNumbers w:val="0"/>
              <w:tabs>
                <w:tab w:val="left" w:pos="993"/>
                <w:tab w:val="left" w:pos="1134"/>
              </w:tabs>
              <w:spacing w:before="0" w:beforeAutospacing="0" w:after="0" w:afterAutospacing="0" w:line="240" w:lineRule="auto"/>
              <w:ind w:left="0" w:right="0"/>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rPr>
              <w:t>根据</w:t>
            </w:r>
            <w:r>
              <w:rPr>
                <w:rFonts w:hint="eastAsia" w:ascii="仿宋" w:hAnsi="仿宋" w:eastAsia="仿宋" w:cs="仿宋"/>
                <w:b w:val="0"/>
                <w:bCs w:val="0"/>
                <w:color w:val="000000"/>
                <w:kern w:val="0"/>
                <w:sz w:val="21"/>
                <w:szCs w:val="21"/>
                <w:lang w:val="en-US" w:eastAsia="zh-CN"/>
              </w:rPr>
              <w:t>供应商</w:t>
            </w:r>
            <w:r>
              <w:rPr>
                <w:rFonts w:hint="eastAsia" w:ascii="仿宋" w:hAnsi="仿宋" w:eastAsia="仿宋" w:cs="仿宋"/>
                <w:b w:val="0"/>
                <w:bCs w:val="0"/>
                <w:color w:val="000000"/>
                <w:kern w:val="0"/>
                <w:sz w:val="21"/>
                <w:szCs w:val="21"/>
              </w:rPr>
              <w:t>的履约能力作为评审依据，包括但不限于以下内容</w:t>
            </w:r>
            <w:r>
              <w:rPr>
                <w:rFonts w:hint="eastAsia" w:ascii="仿宋" w:hAnsi="仿宋" w:eastAsia="仿宋" w:cs="仿宋"/>
                <w:b w:val="0"/>
                <w:bCs w:val="0"/>
                <w:color w:val="000000"/>
                <w:kern w:val="0"/>
                <w:sz w:val="21"/>
                <w:szCs w:val="21"/>
                <w:lang w:eastAsia="zh-CN"/>
              </w:rPr>
              <w:t>：</w:t>
            </w:r>
          </w:p>
          <w:p>
            <w:pPr>
              <w:pStyle w:val="56"/>
              <w:keepNext w:val="0"/>
              <w:keepLines w:val="0"/>
              <w:numPr>
                <w:ilvl w:val="0"/>
                <w:numId w:val="13"/>
              </w:numPr>
              <w:suppressLineNumbers w:val="0"/>
              <w:tabs>
                <w:tab w:val="left" w:pos="993"/>
                <w:tab w:val="left" w:pos="1134"/>
              </w:tabs>
              <w:spacing w:before="0" w:beforeAutospacing="0" w:after="0" w:afterAutospacing="0" w:line="240" w:lineRule="auto"/>
              <w:ind w:left="0" w:right="0"/>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产品介绍；</w:t>
            </w:r>
          </w:p>
          <w:p>
            <w:pPr>
              <w:pStyle w:val="56"/>
              <w:keepNext w:val="0"/>
              <w:keepLines w:val="0"/>
              <w:numPr>
                <w:ilvl w:val="0"/>
                <w:numId w:val="13"/>
              </w:numPr>
              <w:suppressLineNumbers w:val="0"/>
              <w:tabs>
                <w:tab w:val="left" w:pos="993"/>
                <w:tab w:val="left" w:pos="1134"/>
              </w:tabs>
              <w:spacing w:before="0" w:beforeAutospacing="0" w:after="0" w:afterAutospacing="0" w:line="240" w:lineRule="auto"/>
              <w:ind w:left="0" w:right="0"/>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特色服务方案</w:t>
            </w:r>
            <w:r>
              <w:rPr>
                <w:rFonts w:hint="eastAsia" w:ascii="仿宋" w:hAnsi="仿宋" w:eastAsia="仿宋" w:cs="仿宋"/>
                <w:b w:val="0"/>
                <w:bCs w:val="0"/>
                <w:color w:val="000000"/>
                <w:kern w:val="0"/>
                <w:sz w:val="21"/>
                <w:szCs w:val="21"/>
                <w:lang w:eastAsia="zh-CN"/>
              </w:rPr>
              <w:t>；</w:t>
            </w:r>
          </w:p>
          <w:p>
            <w:pPr>
              <w:pStyle w:val="56"/>
              <w:keepNext w:val="0"/>
              <w:keepLines w:val="0"/>
              <w:numPr>
                <w:ilvl w:val="0"/>
                <w:numId w:val="13"/>
              </w:numPr>
              <w:suppressLineNumbers w:val="0"/>
              <w:tabs>
                <w:tab w:val="left" w:pos="993"/>
                <w:tab w:val="left" w:pos="1134"/>
              </w:tabs>
              <w:spacing w:before="0" w:beforeAutospacing="0" w:after="0" w:afterAutospacing="0" w:line="240" w:lineRule="auto"/>
              <w:ind w:left="0" w:right="0"/>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rPr>
              <w:t>安全管理方案</w:t>
            </w:r>
            <w:r>
              <w:rPr>
                <w:rFonts w:hint="eastAsia" w:ascii="仿宋" w:hAnsi="仿宋" w:eastAsia="仿宋" w:cs="仿宋"/>
                <w:b w:val="0"/>
                <w:bCs w:val="0"/>
                <w:color w:val="000000"/>
                <w:kern w:val="0"/>
                <w:sz w:val="21"/>
                <w:szCs w:val="21"/>
                <w:lang w:eastAsia="zh-CN"/>
              </w:rPr>
              <w:t>；</w:t>
            </w:r>
          </w:p>
          <w:p>
            <w:pPr>
              <w:pStyle w:val="56"/>
              <w:keepNext w:val="0"/>
              <w:keepLines w:val="0"/>
              <w:numPr>
                <w:ilvl w:val="0"/>
                <w:numId w:val="13"/>
              </w:numPr>
              <w:suppressLineNumbers w:val="0"/>
              <w:tabs>
                <w:tab w:val="left" w:pos="993"/>
                <w:tab w:val="left" w:pos="1134"/>
              </w:tabs>
              <w:spacing w:before="0" w:beforeAutospacing="0" w:after="0" w:afterAutospacing="0" w:line="240" w:lineRule="auto"/>
              <w:ind w:left="0" w:right="0"/>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rPr>
              <w:t>安装调试方案</w:t>
            </w:r>
            <w:r>
              <w:rPr>
                <w:rFonts w:hint="eastAsia" w:ascii="仿宋" w:hAnsi="仿宋" w:eastAsia="仿宋" w:cs="仿宋"/>
                <w:b w:val="0"/>
                <w:bCs w:val="0"/>
                <w:color w:val="000000"/>
                <w:kern w:val="0"/>
                <w:sz w:val="21"/>
                <w:szCs w:val="21"/>
                <w:lang w:eastAsia="zh-CN"/>
              </w:rPr>
              <w:t>；</w:t>
            </w:r>
          </w:p>
          <w:p>
            <w:pPr>
              <w:pStyle w:val="56"/>
              <w:keepNext w:val="0"/>
              <w:keepLines w:val="0"/>
              <w:numPr>
                <w:ilvl w:val="0"/>
                <w:numId w:val="13"/>
              </w:numPr>
              <w:suppressLineNumbers w:val="0"/>
              <w:tabs>
                <w:tab w:val="left" w:pos="993"/>
                <w:tab w:val="left" w:pos="1134"/>
              </w:tabs>
              <w:spacing w:before="0" w:beforeAutospacing="0" w:after="0" w:afterAutospacing="0" w:line="240" w:lineRule="auto"/>
              <w:ind w:left="0" w:right="0"/>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rPr>
              <w:t>应急处理方案</w:t>
            </w:r>
            <w:r>
              <w:rPr>
                <w:rFonts w:hint="eastAsia" w:ascii="仿宋" w:hAnsi="仿宋" w:eastAsia="仿宋" w:cs="仿宋"/>
                <w:b w:val="0"/>
                <w:bCs w:val="0"/>
                <w:color w:val="000000"/>
                <w:kern w:val="0"/>
                <w:sz w:val="21"/>
                <w:szCs w:val="21"/>
                <w:lang w:eastAsia="zh-CN"/>
              </w:rPr>
              <w:t>。</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5</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①</w:t>
            </w:r>
            <w:r>
              <w:rPr>
                <w:rFonts w:hint="eastAsia" w:ascii="仿宋" w:hAnsi="仿宋" w:eastAsia="仿宋" w:cs="仿宋"/>
                <w:sz w:val="21"/>
                <w:szCs w:val="21"/>
              </w:rPr>
              <w:t>方案内容响应全面、具体；</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②</w:t>
            </w:r>
            <w:r>
              <w:rPr>
                <w:rFonts w:hint="eastAsia" w:ascii="仿宋" w:hAnsi="仿宋" w:eastAsia="仿宋" w:cs="仿宋"/>
                <w:sz w:val="21"/>
                <w:szCs w:val="21"/>
              </w:rPr>
              <w:t>方案内容响应针对性强；</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③</w:t>
            </w:r>
            <w:r>
              <w:rPr>
                <w:rFonts w:hint="eastAsia" w:ascii="仿宋" w:hAnsi="仿宋" w:eastAsia="仿宋" w:cs="仿宋"/>
                <w:sz w:val="21"/>
                <w:szCs w:val="21"/>
              </w:rPr>
              <w:t>方案内容响应科学合理、符合项目实际情况；</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④</w:t>
            </w:r>
            <w:r>
              <w:rPr>
                <w:rFonts w:hint="eastAsia" w:ascii="仿宋" w:hAnsi="仿宋" w:eastAsia="仿宋" w:cs="仿宋"/>
                <w:sz w:val="21"/>
                <w:szCs w:val="21"/>
              </w:rPr>
              <w:t>方案内容响应可操作性强。</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每一小项</w:t>
            </w:r>
            <w:r>
              <w:rPr>
                <w:rFonts w:hint="eastAsia" w:ascii="仿宋" w:hAnsi="仿宋" w:eastAsia="仿宋" w:cs="仿宋"/>
                <w:sz w:val="21"/>
                <w:szCs w:val="21"/>
              </w:rPr>
              <w:t>满足以上四项要求的评价为优，得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每一小项</w:t>
            </w:r>
            <w:r>
              <w:rPr>
                <w:rFonts w:hint="eastAsia" w:ascii="仿宋" w:hAnsi="仿宋" w:eastAsia="仿宋" w:cs="仿宋"/>
                <w:sz w:val="21"/>
                <w:szCs w:val="21"/>
              </w:rPr>
              <w:t>满足以上三项要求的评价为良，得</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rPr>
            </w:pPr>
            <w:r>
              <w:rPr>
                <w:rFonts w:hint="eastAsia" w:ascii="仿宋" w:hAnsi="仿宋" w:eastAsia="仿宋" w:cs="仿宋"/>
                <w:sz w:val="21"/>
                <w:szCs w:val="21"/>
                <w:lang w:val="en-US" w:eastAsia="zh-CN"/>
              </w:rPr>
              <w:t>每一小项</w:t>
            </w:r>
            <w:r>
              <w:rPr>
                <w:rFonts w:hint="eastAsia" w:ascii="仿宋" w:hAnsi="仿宋" w:eastAsia="仿宋" w:cs="仿宋"/>
                <w:sz w:val="21"/>
                <w:szCs w:val="21"/>
              </w:rPr>
              <w:t>满足以上二项要求的评价为中，得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kern w:val="0"/>
                <w:sz w:val="21"/>
                <w:szCs w:val="21"/>
              </w:rPr>
            </w:pPr>
            <w:r>
              <w:rPr>
                <w:rFonts w:hint="eastAsia" w:ascii="仿宋" w:hAnsi="仿宋" w:eastAsia="仿宋" w:cs="仿宋"/>
                <w:sz w:val="21"/>
                <w:szCs w:val="21"/>
              </w:rPr>
              <w:t>其它情况的评价为差，不得分。</w:t>
            </w:r>
          </w:p>
        </w:tc>
      </w:tr>
    </w:tbl>
    <w:p>
      <w:pPr>
        <w:pStyle w:val="29"/>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29"/>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29"/>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29"/>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29"/>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29"/>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29"/>
        <w:keepNext w:val="0"/>
        <w:keepLines w:val="0"/>
        <w:pageBreakBefore w:val="0"/>
        <w:widowControl w:val="0"/>
        <w:numPr>
          <w:ilvl w:val="0"/>
          <w:numId w:val="15"/>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2"/>
        <w:rPr>
          <w:rFonts w:hint="eastAsia" w:ascii="微软雅黑" w:hAnsi="微软雅黑" w:eastAsia="微软雅黑" w:cs="微软雅黑"/>
          <w:color w:val="000000"/>
          <w:highlight w:val="none"/>
        </w:rPr>
      </w:pPr>
    </w:p>
    <w:p>
      <w:pPr>
        <w:pStyle w:val="9"/>
        <w:rPr>
          <w:rFonts w:hint="eastAsia" w:ascii="微软雅黑" w:hAnsi="微软雅黑" w:eastAsia="微软雅黑" w:cs="微软雅黑"/>
          <w:color w:val="000000"/>
          <w:highlight w:val="none"/>
        </w:rPr>
      </w:pPr>
    </w:p>
    <w:p>
      <w:pPr>
        <w:rPr>
          <w:rFonts w:hint="eastAsia"/>
          <w:highlight w:val="none"/>
        </w:rPr>
      </w:pPr>
    </w:p>
    <w:p>
      <w:pPr>
        <w:rPr>
          <w:rFonts w:hint="eastAsia"/>
          <w:highlight w:val="none"/>
        </w:rPr>
      </w:pPr>
    </w:p>
    <w:p>
      <w:pPr>
        <w:pStyle w:val="9"/>
        <w:rPr>
          <w:rFonts w:hint="eastAsia"/>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货物</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4"/>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
        <w:rPr>
          <w:rFonts w:hint="eastAsia"/>
          <w:highlight w:val="none"/>
        </w:rPr>
      </w:pPr>
    </w:p>
    <w:p>
      <w:pPr>
        <w:pStyle w:val="29"/>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pStyle w:val="23"/>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w:t>
      </w:r>
      <w:r>
        <w:rPr>
          <w:rFonts w:hint="eastAsia" w:ascii="仿宋" w:hAnsi="仿宋" w:eastAsia="仿宋" w:cs="仿宋"/>
          <w:color w:val="000000"/>
          <w:sz w:val="24"/>
          <w:szCs w:val="24"/>
          <w:highlight w:val="none"/>
          <w:lang w:eastAsia="zh-CN"/>
        </w:rPr>
        <w:t>中山大学孙逸仙纪念医院南北院区氧气终端采购项目</w:t>
      </w:r>
      <w:r>
        <w:rPr>
          <w:rFonts w:hint="eastAsia" w:ascii="仿宋" w:hAnsi="仿宋" w:eastAsia="仿宋" w:cs="仿宋"/>
          <w:color w:val="000000"/>
          <w:sz w:val="24"/>
          <w:szCs w:val="24"/>
          <w:highlight w:val="none"/>
        </w:rPr>
        <w:t>（项目编号：</w:t>
      </w:r>
      <w:r>
        <w:rPr>
          <w:rFonts w:hint="eastAsia" w:ascii="仿宋" w:hAnsi="仿宋" w:eastAsia="仿宋" w:cs="仿宋"/>
          <w:color w:val="000000"/>
          <w:sz w:val="24"/>
          <w:szCs w:val="24"/>
          <w:highlight w:val="none"/>
          <w:lang w:val="en-US" w:eastAsia="zh-CN"/>
        </w:rPr>
        <w:t>ZCB-20230XX</w:t>
      </w:r>
      <w:r>
        <w:rPr>
          <w:rFonts w:hint="eastAsia" w:ascii="仿宋" w:hAnsi="仿宋" w:eastAsia="仿宋" w:cs="仿宋"/>
          <w:color w:val="000000"/>
          <w:sz w:val="24"/>
          <w:szCs w:val="24"/>
          <w:highlight w:val="none"/>
        </w:rPr>
        <w:t xml:space="preserve">）及采购结果的要求，甲方向乙方订购下列货物及其服务。为明确双方责任和权利，甲乙双方经商议后特签订本合同，共同遵守。具体条款如下: </w:t>
      </w:r>
    </w:p>
    <w:p>
      <w:pPr>
        <w:keepNext w:val="0"/>
        <w:keepLines w:val="0"/>
        <w:pageBreakBefore w:val="0"/>
        <w:widowControl w:val="0"/>
        <w:numPr>
          <w:ilvl w:val="0"/>
          <w:numId w:val="16"/>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highlight w:val="none"/>
        </w:rPr>
        <w:t>采购内容</w:t>
      </w:r>
      <w:r>
        <w:rPr>
          <w:rFonts w:hint="eastAsia" w:ascii="仿宋" w:hAnsi="仿宋" w:eastAsia="仿宋" w:cs="仿宋"/>
          <w:color w:val="000000"/>
          <w:sz w:val="24"/>
          <w:szCs w:val="24"/>
          <w:highlight w:val="none"/>
          <w:lang w:val="en-US" w:eastAsia="zh-CN"/>
        </w:rPr>
        <w:t>及合同单价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1.乙方负责向甲方供应下表中所列产品，详见附件货物清单。</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具体品牌</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规格等</w:t>
      </w:r>
      <w:r>
        <w:rPr>
          <w:rFonts w:hint="eastAsia" w:ascii="仿宋" w:hAnsi="仿宋" w:eastAsia="仿宋" w:cs="仿宋"/>
          <w:color w:val="000000"/>
          <w:sz w:val="24"/>
          <w:szCs w:val="24"/>
          <w:highlight w:val="none"/>
          <w:lang w:val="en-US" w:eastAsia="zh-CN"/>
        </w:rPr>
        <w:t>须</w:t>
      </w:r>
      <w:r>
        <w:rPr>
          <w:rFonts w:hint="eastAsia" w:ascii="仿宋" w:hAnsi="仿宋" w:eastAsia="仿宋" w:cs="仿宋"/>
          <w:color w:val="000000"/>
          <w:sz w:val="24"/>
          <w:szCs w:val="24"/>
          <w:highlight w:val="none"/>
        </w:rPr>
        <w:t>与</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样品相符</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且以甲方</w:t>
      </w:r>
      <w:r>
        <w:rPr>
          <w:rFonts w:hint="eastAsia" w:ascii="仿宋" w:hAnsi="仿宋" w:eastAsia="仿宋" w:cs="仿宋"/>
          <w:color w:val="000000"/>
          <w:sz w:val="24"/>
          <w:szCs w:val="24"/>
          <w:highlight w:val="none"/>
        </w:rPr>
        <w:t>确认</w:t>
      </w:r>
      <w:r>
        <w:rPr>
          <w:rFonts w:hint="eastAsia" w:ascii="仿宋" w:hAnsi="仿宋" w:eastAsia="仿宋" w:cs="仿宋"/>
          <w:color w:val="000000"/>
          <w:sz w:val="24"/>
          <w:szCs w:val="24"/>
          <w:highlight w:val="none"/>
          <w:lang w:val="en-US" w:eastAsia="zh-CN"/>
        </w:rPr>
        <w:t>后的</w:t>
      </w:r>
      <w:r>
        <w:rPr>
          <w:rFonts w:hint="eastAsia" w:ascii="仿宋" w:hAnsi="仿宋" w:eastAsia="仿宋" w:cs="仿宋"/>
          <w:color w:val="000000"/>
          <w:sz w:val="24"/>
          <w:szCs w:val="24"/>
          <w:highlight w:val="none"/>
        </w:rPr>
        <w:t>为准。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合同单价为供货期内的固定价格，不随市场行情改动</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合同单价</w:t>
      </w:r>
      <w:r>
        <w:rPr>
          <w:rFonts w:hint="eastAsia" w:ascii="仿宋" w:hAnsi="仿宋" w:eastAsia="仿宋" w:cs="仿宋"/>
          <w:color w:val="000000"/>
          <w:sz w:val="24"/>
          <w:szCs w:val="24"/>
          <w:highlight w:val="none"/>
        </w:rPr>
        <w:t>包括但不限于产品的价格、运输费、安装费、调试费、售后服务、保险、搬运费、利润及税金等伴随货物产生的一切费用。</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4.附件货物清单所列</w:t>
      </w:r>
      <w:r>
        <w:rPr>
          <w:rFonts w:hint="eastAsia" w:ascii="仿宋" w:hAnsi="仿宋" w:eastAsia="仿宋" w:cs="仿宋"/>
          <w:color w:val="000000"/>
          <w:sz w:val="24"/>
          <w:szCs w:val="24"/>
          <w:highlight w:val="none"/>
        </w:rPr>
        <w:t>数量为</w:t>
      </w:r>
      <w:r>
        <w:rPr>
          <w:rFonts w:hint="eastAsia" w:ascii="仿宋" w:hAnsi="仿宋" w:eastAsia="仿宋" w:cs="仿宋"/>
          <w:color w:val="000000"/>
          <w:sz w:val="24"/>
          <w:szCs w:val="24"/>
          <w:highlight w:val="none"/>
          <w:lang w:val="en-US" w:eastAsia="zh-CN"/>
        </w:rPr>
        <w:t>计划</w:t>
      </w:r>
      <w:r>
        <w:rPr>
          <w:rFonts w:hint="eastAsia" w:ascii="仿宋" w:hAnsi="仿宋" w:eastAsia="仿宋" w:cs="仿宋"/>
          <w:color w:val="000000"/>
          <w:sz w:val="24"/>
          <w:szCs w:val="24"/>
          <w:highlight w:val="none"/>
        </w:rPr>
        <w:t>采购数量，实际采购</w:t>
      </w:r>
      <w:r>
        <w:rPr>
          <w:rFonts w:hint="eastAsia" w:ascii="仿宋" w:hAnsi="仿宋" w:eastAsia="仿宋" w:cs="仿宋"/>
          <w:color w:val="000000"/>
          <w:sz w:val="24"/>
          <w:szCs w:val="24"/>
          <w:highlight w:val="none"/>
          <w:lang w:val="en-US" w:eastAsia="zh-CN"/>
        </w:rPr>
        <w:t>品种</w:t>
      </w:r>
      <w:r>
        <w:rPr>
          <w:rFonts w:hint="eastAsia" w:ascii="仿宋" w:hAnsi="仿宋" w:eastAsia="仿宋" w:cs="仿宋"/>
          <w:color w:val="000000"/>
          <w:sz w:val="24"/>
          <w:szCs w:val="24"/>
          <w:highlight w:val="none"/>
        </w:rPr>
        <w:t>和结算数量以双方共同确认的为准。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lang w:val="en-US" w:eastAsia="zh-CN"/>
        </w:rPr>
        <w:t>合同总价</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本合同</w:t>
      </w:r>
      <w:r>
        <w:rPr>
          <w:rFonts w:hint="eastAsia" w:ascii="仿宋" w:hAnsi="仿宋" w:eastAsia="仿宋" w:cs="仿宋"/>
          <w:color w:val="000000"/>
          <w:sz w:val="24"/>
          <w:szCs w:val="24"/>
          <w:highlight w:val="none"/>
          <w:lang w:val="en-US" w:eastAsia="zh-CN"/>
        </w:rPr>
        <w:t>总价</w:t>
      </w:r>
      <w:r>
        <w:rPr>
          <w:rFonts w:hint="eastAsia" w:ascii="仿宋" w:hAnsi="仿宋" w:eastAsia="仿宋" w:cs="仿宋"/>
          <w:color w:val="000000"/>
          <w:sz w:val="24"/>
          <w:szCs w:val="24"/>
          <w:highlight w:val="none"/>
        </w:rPr>
        <w:t>为(大写)：</w:t>
      </w:r>
      <w:r>
        <w:rPr>
          <w:rFonts w:hint="eastAsia" w:ascii="仿宋" w:hAnsi="仿宋" w:eastAsia="仿宋" w:cs="仿宋"/>
          <w:color w:val="000000"/>
          <w:sz w:val="24"/>
          <w:szCs w:val="24"/>
          <w:highlight w:val="none"/>
          <w:u w:val="single"/>
        </w:rPr>
        <w:t xml:space="preserve">           </w:t>
      </w:r>
      <w:r>
        <w:rPr>
          <w:rFonts w:hint="eastAsia" w:ascii="仿宋" w:hAnsi="仿宋" w:eastAsia="仿宋" w:cs="仿宋"/>
          <w:color w:val="000000"/>
          <w:sz w:val="24"/>
          <w:szCs w:val="24"/>
          <w:highlight w:val="none"/>
        </w:rPr>
        <w:t>元，即￥</w:t>
      </w:r>
      <w:r>
        <w:rPr>
          <w:rFonts w:hint="eastAsia" w:ascii="仿宋" w:hAnsi="仿宋" w:eastAsia="仿宋" w:cs="仿宋"/>
          <w:i w:val="0"/>
          <w:iCs w:val="0"/>
          <w:color w:val="000000"/>
          <w:sz w:val="24"/>
          <w:szCs w:val="24"/>
          <w:highlight w:val="none"/>
          <w:u w:val="single"/>
        </w:rPr>
        <w:t xml:space="preserve">       </w:t>
      </w:r>
      <w:r>
        <w:rPr>
          <w:rFonts w:hint="eastAsia" w:ascii="仿宋" w:hAnsi="仿宋" w:eastAsia="仿宋" w:cs="仿宋"/>
          <w:color w:val="000000"/>
          <w:sz w:val="24"/>
          <w:szCs w:val="24"/>
          <w:highlight w:val="none"/>
        </w:rPr>
        <w:t>元</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依据合同所签订的单价</w:t>
      </w:r>
      <w:r>
        <w:rPr>
          <w:rFonts w:hint="eastAsia" w:ascii="仿宋" w:hAnsi="仿宋" w:eastAsia="仿宋" w:cs="仿宋"/>
          <w:color w:val="000000"/>
          <w:sz w:val="24"/>
          <w:szCs w:val="24"/>
          <w:highlight w:val="none"/>
          <w:lang w:val="en-US" w:eastAsia="zh-CN"/>
        </w:rPr>
        <w:t>和</w:t>
      </w:r>
      <w:r>
        <w:rPr>
          <w:rFonts w:hint="eastAsia" w:ascii="仿宋" w:hAnsi="仿宋" w:eastAsia="仿宋" w:cs="仿宋"/>
          <w:color w:val="000000"/>
          <w:sz w:val="24"/>
          <w:szCs w:val="24"/>
          <w:highlight w:val="none"/>
        </w:rPr>
        <w:t>实际供货</w:t>
      </w:r>
      <w:r>
        <w:rPr>
          <w:rFonts w:hint="eastAsia" w:ascii="仿宋" w:hAnsi="仿宋" w:eastAsia="仿宋" w:cs="仿宋"/>
          <w:color w:val="000000"/>
          <w:sz w:val="24"/>
          <w:szCs w:val="24"/>
          <w:highlight w:val="none"/>
          <w:lang w:val="en-US" w:eastAsia="zh-CN"/>
        </w:rPr>
        <w:t>品种、数</w:t>
      </w:r>
      <w:r>
        <w:rPr>
          <w:rFonts w:hint="eastAsia" w:ascii="仿宋" w:hAnsi="仿宋" w:eastAsia="仿宋" w:cs="仿宋"/>
          <w:color w:val="000000"/>
          <w:sz w:val="24"/>
          <w:szCs w:val="24"/>
          <w:highlight w:val="none"/>
        </w:rPr>
        <w:t>量</w:t>
      </w:r>
      <w:r>
        <w:rPr>
          <w:rFonts w:hint="eastAsia" w:ascii="仿宋" w:hAnsi="仿宋" w:eastAsia="仿宋" w:cs="仿宋"/>
          <w:color w:val="000000"/>
          <w:sz w:val="24"/>
          <w:szCs w:val="24"/>
          <w:highlight w:val="none"/>
          <w:lang w:val="en-US" w:eastAsia="zh-CN"/>
        </w:rPr>
        <w:t>办理</w:t>
      </w:r>
      <w:r>
        <w:rPr>
          <w:rFonts w:hint="eastAsia" w:ascii="仿宋" w:hAnsi="仿宋" w:eastAsia="仿宋" w:cs="仿宋"/>
          <w:color w:val="000000"/>
          <w:sz w:val="24"/>
          <w:szCs w:val="24"/>
          <w:highlight w:val="none"/>
        </w:rPr>
        <w:t>结算</w:t>
      </w:r>
      <w:r>
        <w:rPr>
          <w:rFonts w:hint="eastAsia" w:ascii="仿宋" w:hAnsi="仿宋" w:eastAsia="仿宋" w:cs="仿宋"/>
          <w:color w:val="000000"/>
          <w:sz w:val="24"/>
          <w:szCs w:val="24"/>
          <w:highlight w:val="none"/>
          <w:lang w:val="en-US" w:eastAsia="zh-CN"/>
        </w:rPr>
        <w:t>手续</w:t>
      </w:r>
      <w:r>
        <w:rPr>
          <w:rFonts w:hint="eastAsia" w:ascii="仿宋" w:hAnsi="仿宋" w:eastAsia="仿宋" w:cs="仿宋"/>
          <w:color w:val="000000"/>
          <w:sz w:val="24"/>
          <w:szCs w:val="24"/>
          <w:highlight w:val="none"/>
        </w:rPr>
        <w:t>。</w:t>
      </w:r>
    </w:p>
    <w:tbl>
      <w:tblPr>
        <w:tblStyle w:val="24"/>
        <w:tblW w:w="9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248"/>
        <w:gridCol w:w="1248"/>
        <w:gridCol w:w="1227"/>
        <w:gridCol w:w="858"/>
        <w:gridCol w:w="1356"/>
        <w:gridCol w:w="120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品牌</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终端制式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（元/套）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小计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合同总价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氧气终端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12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7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c>
          <w:tcPr>
            <w:tcW w:w="12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8"/>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、质量标准</w:t>
      </w:r>
    </w:p>
    <w:p>
      <w:pPr>
        <w:pStyle w:val="8"/>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必须承诺提供厂商原装、全新的、符合用户提出的有关质量标准的货物。</w:t>
      </w:r>
    </w:p>
    <w:p>
      <w:pPr>
        <w:pStyle w:val="8"/>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货物必须符合国家各种标准及规范，以及本项目用户需求的质量要求和技术指标与出厂标准；若无国家标准则必须符合或优于行业标准。</w:t>
      </w:r>
    </w:p>
    <w:p>
      <w:pPr>
        <w:pStyle w:val="8"/>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所提供的货物必须是经检验合格的，并与响应时承诺的质量相一致。同时，</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须提供所供货物的出厂检测报告。</w:t>
      </w:r>
    </w:p>
    <w:p>
      <w:pPr>
        <w:pStyle w:val="8"/>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对于影响货物正常工作的必要组成部分，无论在技术规范中指出与否，</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都应提供并在响应文件中明确列出。</w:t>
      </w:r>
    </w:p>
    <w:p>
      <w:pPr>
        <w:pStyle w:val="8"/>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负责按国家相关标准进行货物包装，设备的包装均应有良好的防湿、防锈、防潮、防雨、防腐及防碰撞的措施。所有货物在开箱检验时必须完好，无破损，配置与装箱单相符。凡由于包装不良造成的损失和由此产生的费用均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w:t>
      </w:r>
    </w:p>
    <w:p>
      <w:pPr>
        <w:pStyle w:val="8"/>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因产品的质量问题发生争议，由广东省或广州市质检部门进行质量鉴定。</w:t>
      </w:r>
      <w:r>
        <w:rPr>
          <w:rFonts w:hint="eastAsia" w:ascii="仿宋" w:hAnsi="仿宋" w:eastAsia="仿宋" w:cs="仿宋"/>
          <w:color w:val="000000"/>
          <w:sz w:val="24"/>
          <w:szCs w:val="24"/>
          <w:highlight w:val="none"/>
          <w:lang w:val="en-US" w:eastAsia="zh-CN"/>
        </w:rPr>
        <w:t>双方</w:t>
      </w:r>
      <w:r>
        <w:rPr>
          <w:rFonts w:hint="eastAsia" w:ascii="仿宋" w:hAnsi="仿宋" w:eastAsia="仿宋" w:cs="仿宋"/>
          <w:color w:val="000000"/>
          <w:sz w:val="24"/>
          <w:szCs w:val="24"/>
          <w:highlight w:val="none"/>
        </w:rPr>
        <w:t>认为有需要，可以共同提出或分别提出质量鉴定，</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广东省质检部门与广州市质检部门的鉴定结论不一致的，以广东省质检部门的鉴定结论为准。产品符合质量标准的，鉴定费由</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承担；产品不符合质量标准的，鉴定费由</w:t>
      </w:r>
      <w:r>
        <w:rPr>
          <w:rFonts w:hint="eastAsia" w:ascii="仿宋" w:hAnsi="仿宋" w:eastAsia="仿宋" w:cs="仿宋"/>
          <w:color w:val="000000"/>
          <w:sz w:val="24"/>
          <w:szCs w:val="24"/>
          <w:highlight w:val="none"/>
          <w:lang w:eastAsia="zh-CN"/>
        </w:rPr>
        <w:t>乙方</w:t>
      </w:r>
      <w:r>
        <w:rPr>
          <w:rFonts w:hint="eastAsia" w:ascii="仿宋" w:hAnsi="仿宋" w:eastAsia="仿宋" w:cs="仿宋"/>
          <w:color w:val="000000"/>
          <w:sz w:val="24"/>
          <w:szCs w:val="24"/>
          <w:highlight w:val="none"/>
        </w:rPr>
        <w:t>承担。</w:t>
      </w:r>
    </w:p>
    <w:p>
      <w:pPr>
        <w:pStyle w:val="8"/>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7.氧气终端技术参数及要求按照本项目用户需求书第四点“氧气终端配置”要求执行。</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w:t>
      </w:r>
      <w:r>
        <w:rPr>
          <w:rFonts w:hint="eastAsia" w:ascii="仿宋" w:hAnsi="仿宋" w:eastAsia="仿宋" w:cs="仿宋"/>
          <w:b w:val="0"/>
          <w:bCs/>
          <w:color w:val="000000"/>
          <w:sz w:val="24"/>
          <w:szCs w:val="24"/>
          <w:highlight w:val="none"/>
          <w:lang w:val="en-US" w:eastAsia="zh-CN"/>
        </w:rPr>
        <w:t>包装、保险及发运、保管要求</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1.产品的包装应是制造商原厂包装，其包装均应有良好的防湿、防锈、防潮、防雨、防腐及防碰撞的措施。凡由于包装不良造成的损失和由此产生的费用均由乙方承担。</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2.乙方负责将产品货物到现场过程中的全部运输，包括装卸车、货物现场的搬运。</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3.乙方负责提供各类产品装箱清单，甲方按装箱清单验收货物。</w:t>
      </w:r>
    </w:p>
    <w:p>
      <w:pPr>
        <w:pStyle w:val="8"/>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color w:val="auto"/>
          <w:sz w:val="24"/>
          <w:szCs w:val="24"/>
          <w:highlight w:val="none"/>
        </w:rPr>
        <w:t>货物交付甲方验收合格之前的保管责任及毁损灭失等风险</w:t>
      </w:r>
      <w:r>
        <w:rPr>
          <w:rFonts w:hint="eastAsia" w:ascii="仿宋" w:hAnsi="仿宋" w:eastAsia="仿宋" w:cs="仿宋"/>
          <w:color w:val="auto"/>
          <w:sz w:val="24"/>
          <w:szCs w:val="24"/>
          <w:highlight w:val="none"/>
          <w:lang w:val="en-US" w:eastAsia="zh-CN"/>
        </w:rPr>
        <w:t>及相关费用</w:t>
      </w:r>
      <w:r>
        <w:rPr>
          <w:rFonts w:hint="eastAsia" w:ascii="仿宋" w:hAnsi="仿宋" w:eastAsia="仿宋" w:cs="仿宋"/>
          <w:color w:val="auto"/>
          <w:sz w:val="24"/>
          <w:szCs w:val="24"/>
          <w:highlight w:val="none"/>
        </w:rPr>
        <w:t>由乙方承担，乙方应及时安排</w:t>
      </w:r>
      <w:r>
        <w:rPr>
          <w:rFonts w:hint="eastAsia" w:ascii="仿宋" w:hAnsi="仿宋" w:eastAsia="仿宋" w:cs="仿宋"/>
          <w:color w:val="auto"/>
          <w:sz w:val="24"/>
          <w:szCs w:val="24"/>
          <w:highlight w:val="none"/>
          <w:lang w:val="en-US" w:eastAsia="zh-CN"/>
        </w:rPr>
        <w:t>更换</w:t>
      </w:r>
      <w:r>
        <w:rPr>
          <w:rFonts w:hint="eastAsia" w:ascii="仿宋" w:hAnsi="仿宋" w:eastAsia="仿宋" w:cs="仿宋"/>
          <w:color w:val="auto"/>
          <w:sz w:val="24"/>
          <w:szCs w:val="24"/>
          <w:highlight w:val="none"/>
        </w:rPr>
        <w:t>。货物交付甲方验收合格之后的责任由甲方承担，由于甲方保管不当造成的质量问题，乙方亦应负责修理，费用由甲方负担。</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5.货物在系统安装调试验收合格前的保险由乙方负责，乙方负责其派出的现场服务人员人身意外保险。</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6.各院区产品至甲方指定的使用现场的包装、保险及发运等环节和费用均由乙方负责。</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b w:val="0"/>
          <w:bCs/>
          <w:color w:val="000000"/>
          <w:sz w:val="24"/>
          <w:szCs w:val="24"/>
          <w:highlight w:val="none"/>
          <w:lang w:val="en-US" w:eastAsia="zh-CN"/>
        </w:rPr>
        <w:t>交货时间、地点</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1.交货期：接到甲方通知后60日历日内送货至甲方指定地点并安装完成且验收合格。</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 xml:space="preserve">2.交货地点：甲方指定地点。 </w:t>
      </w:r>
    </w:p>
    <w:p>
      <w:pPr>
        <w:pStyle w:val="8"/>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乙方保证合同项下提供的设备不侵犯任何第三方的专利、商标或版权。否则，乙方须承担对第三方的专利或版权的侵权责任并承担因此而发生的所有费用。</w:t>
      </w:r>
    </w:p>
    <w:p>
      <w:pPr>
        <w:pStyle w:val="8"/>
        <w:keepNext w:val="0"/>
        <w:keepLines w:val="0"/>
        <w:pageBreakBefore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货物的验收</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1．所有产品的拆箱、安装、调试等各项工作由乙方负责，但需在甲方指定人员的参与下进行。调试的原始记录须经各方签字后作为验收的文件之一。</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2．所有产品在开箱时应完好，无破损。数量、质量及性能不低于本比选文件中提出的要求。</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3．验收由甲乙双方及相关人员依国家有关标准、合同及有关附件要求进行。</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验收（履约）标准：乙方所供货物应符合中华人民共和国国家安全质量标准、环保标准或行业标准；符合比选文件和响应承诺中甲方认可的参数及各项要求。验收标准以乙方响应样品和响应文件为准，如发现所交付的货物有短装、次品、损坏或其它不符合本合同规定之情形者，甲方应作现场记录，或由双方签署备忘录。此现场记录或备忘录可用作补充和更换损坏、缺失部件的有效证据。由此产生的有关费用由乙方承担。</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七</w:t>
      </w:r>
      <w:r>
        <w:rPr>
          <w:rFonts w:hint="eastAsia" w:ascii="仿宋" w:hAnsi="仿宋" w:eastAsia="仿宋" w:cs="仿宋"/>
          <w:color w:val="000000"/>
          <w:sz w:val="24"/>
          <w:szCs w:val="24"/>
          <w:highlight w:val="none"/>
        </w:rPr>
        <w:t>、</w:t>
      </w:r>
      <w:r>
        <w:rPr>
          <w:rFonts w:hint="eastAsia" w:ascii="仿宋" w:hAnsi="仿宋" w:eastAsia="仿宋" w:cs="仿宋"/>
          <w:b w:val="0"/>
          <w:bCs/>
          <w:color w:val="000000"/>
          <w:sz w:val="24"/>
          <w:szCs w:val="24"/>
          <w:highlight w:val="none"/>
          <w:lang w:val="en-US" w:eastAsia="zh-CN"/>
        </w:rPr>
        <w:t>质量保证要求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本项目质量保证期的服务范围为氧气终端产品的全包维保服务：包括维修配件更换、修复，自用维保工具的提供、日常巡检等；质保期内所有维修配件均免费更换，对于非紧急故障，要求乙方4小时内到场响应。</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1.日常巡检要求：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巡回抽样检查气体压力值是否正常，</w:t>
      </w:r>
      <w:r>
        <w:rPr>
          <w:rFonts w:hint="eastAsia" w:ascii="仿宋" w:hAnsi="仿宋" w:eastAsia="仿宋" w:cs="仿宋"/>
          <w:b w:val="0"/>
          <w:bCs/>
          <w:color w:val="000000"/>
          <w:sz w:val="24"/>
          <w:szCs w:val="24"/>
          <w:highlight w:val="none"/>
          <w:u w:val="single"/>
          <w:lang w:val="en-US" w:eastAsia="zh-CN"/>
        </w:rPr>
        <w:t xml:space="preserve">   </w:t>
      </w:r>
      <w:r>
        <w:rPr>
          <w:rFonts w:hint="eastAsia" w:ascii="仿宋" w:hAnsi="仿宋" w:eastAsia="仿宋" w:cs="仿宋"/>
          <w:b w:val="0"/>
          <w:bCs/>
          <w:color w:val="000000"/>
          <w:sz w:val="24"/>
          <w:szCs w:val="24"/>
          <w:highlight w:val="none"/>
          <w:lang w:val="en-US" w:eastAsia="zh-CN"/>
        </w:rPr>
        <w:t>次/月；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巡回抽样检查各科室气体终端是否泄漏、发现泄漏及时修理，</w:t>
      </w:r>
      <w:r>
        <w:rPr>
          <w:rFonts w:hint="eastAsia" w:ascii="仿宋" w:hAnsi="仿宋" w:eastAsia="仿宋" w:cs="仿宋"/>
          <w:b w:val="0"/>
          <w:bCs/>
          <w:color w:val="000000"/>
          <w:sz w:val="24"/>
          <w:szCs w:val="24"/>
          <w:highlight w:val="none"/>
          <w:u w:val="single"/>
          <w:lang w:val="en-US" w:eastAsia="zh-CN"/>
        </w:rPr>
        <w:t xml:space="preserve">   </w:t>
      </w:r>
      <w:r>
        <w:rPr>
          <w:rFonts w:hint="eastAsia" w:ascii="仿宋" w:hAnsi="仿宋" w:eastAsia="仿宋" w:cs="仿宋"/>
          <w:b w:val="0"/>
          <w:bCs/>
          <w:color w:val="000000"/>
          <w:sz w:val="24"/>
          <w:szCs w:val="24"/>
          <w:highlight w:val="none"/>
          <w:lang w:val="en-US" w:eastAsia="zh-CN"/>
        </w:rPr>
        <w:t>次/月。</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2.紧急情况处理：</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如果遇到主配件短缺、改备用措施保证不可停气，主配件及时采购修复。接到紧急故障保证1小时内到场修理。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3.质量保证期：自验收合格之日起</w:t>
      </w:r>
      <w:r>
        <w:rPr>
          <w:rFonts w:hint="eastAsia" w:ascii="仿宋" w:hAnsi="仿宋" w:eastAsia="仿宋" w:cs="仿宋"/>
          <w:b w:val="0"/>
          <w:bCs/>
          <w:color w:val="000000"/>
          <w:sz w:val="24"/>
          <w:szCs w:val="24"/>
          <w:highlight w:val="none"/>
          <w:u w:val="single"/>
          <w:lang w:val="en-US" w:eastAsia="zh-CN"/>
        </w:rPr>
        <w:t xml:space="preserve">   </w:t>
      </w:r>
      <w:r>
        <w:rPr>
          <w:rFonts w:hint="eastAsia" w:ascii="仿宋" w:hAnsi="仿宋" w:eastAsia="仿宋" w:cs="仿宋"/>
          <w:b w:val="0"/>
          <w:bCs/>
          <w:color w:val="000000"/>
          <w:sz w:val="24"/>
          <w:szCs w:val="24"/>
          <w:highlight w:val="none"/>
          <w:lang w:val="en-US" w:eastAsia="zh-CN"/>
        </w:rPr>
        <w:t>年。</w:t>
      </w:r>
    </w:p>
    <w:p>
      <w:pPr>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服务要求</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1.安装调试期内要求安排驻场服务人员，具体要求如下：</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（1）具有良好的职业素质和服务态度；</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（2）医院内设立工作、值班室 (场地由甲方提供)；</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（3）驻场服务人员</w:t>
      </w:r>
      <w:r>
        <w:rPr>
          <w:rFonts w:hint="eastAsia" w:ascii="仿宋" w:hAnsi="仿宋" w:eastAsia="仿宋" w:cs="仿宋"/>
          <w:b w:val="0"/>
          <w:bCs/>
          <w:color w:val="000000"/>
          <w:sz w:val="24"/>
          <w:szCs w:val="24"/>
          <w:highlight w:val="none"/>
          <w:u w:val="single"/>
          <w:lang w:val="en-US" w:eastAsia="zh-CN"/>
        </w:rPr>
        <w:t xml:space="preserve">   </w:t>
      </w:r>
      <w:r>
        <w:rPr>
          <w:rFonts w:hint="eastAsia" w:ascii="仿宋" w:hAnsi="仿宋" w:eastAsia="仿宋" w:cs="仿宋"/>
          <w:b w:val="0"/>
          <w:bCs/>
          <w:color w:val="000000"/>
          <w:sz w:val="24"/>
          <w:szCs w:val="24"/>
          <w:highlight w:val="none"/>
          <w:lang w:val="en-US" w:eastAsia="zh-CN"/>
        </w:rPr>
        <w:t>人，提供7*24小时响应统一管理和服务；</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2.技术要求：</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驻场人员需要具备与所从事工作相应的服务能力、学历水平（原则上专科以上），能够保障特殊情况下的紧急加班服务。</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以上人员配置为甲方所需最基本的人员数量，不代表乙方实际投入所使用的人员数量（可增加但不得减少），乙方尚应充分考虑突发事件时所需要的人员配置与名额，报价包含此类突发事件所需要的人员与服务成本。</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、结算方式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b w:val="0"/>
          <w:bCs/>
          <w:color w:val="000000"/>
          <w:sz w:val="24"/>
          <w:szCs w:val="24"/>
          <w:highlight w:val="none"/>
          <w:lang w:val="en-US" w:eastAsia="zh-CN"/>
        </w:rPr>
        <w:t>合同产品全部送达指定地点并完成安装调试，乙方在经甲方验收合格并交付使用后15个工作日内提交结算资料，</w:t>
      </w:r>
      <w:r>
        <w:rPr>
          <w:rFonts w:hint="eastAsia" w:ascii="仿宋" w:hAnsi="仿宋" w:eastAsia="仿宋" w:cs="仿宋"/>
          <w:color w:val="000000" w:themeColor="text1"/>
          <w:sz w:val="24"/>
          <w:szCs w:val="24"/>
          <w:highlight w:val="none"/>
          <w:lang w:val="en-US" w:eastAsia="zh-CN"/>
          <w14:textFill>
            <w14:solidFill>
              <w14:schemeClr w14:val="tx1"/>
            </w14:solidFill>
          </w14:textFill>
        </w:rPr>
        <w:t>经甲方审核确认后</w:t>
      </w:r>
      <w:r>
        <w:rPr>
          <w:rFonts w:hint="eastAsia" w:ascii="仿宋" w:hAnsi="仿宋" w:eastAsia="仿宋" w:cs="仿宋"/>
          <w:b w:val="0"/>
          <w:bCs/>
          <w:color w:val="000000"/>
          <w:sz w:val="24"/>
          <w:szCs w:val="24"/>
          <w:highlight w:val="none"/>
          <w:lang w:val="en-US" w:eastAsia="zh-CN"/>
        </w:rPr>
        <w:t>，乙方根据核定金额开具正规发票。甲方</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w:t>
      </w:r>
      <w:r>
        <w:rPr>
          <w:rFonts w:hint="eastAsia" w:ascii="仿宋" w:hAnsi="仿宋" w:eastAsia="仿宋" w:cs="仿宋"/>
          <w:b w:val="0"/>
          <w:bCs/>
          <w:color w:val="000000"/>
          <w:sz w:val="24"/>
          <w:szCs w:val="24"/>
          <w:highlight w:val="none"/>
          <w:lang w:val="en-US" w:eastAsia="zh-CN"/>
        </w:rPr>
        <w:t>乙方</w:t>
      </w:r>
      <w:r>
        <w:rPr>
          <w:rFonts w:hint="eastAsia" w:ascii="仿宋" w:hAnsi="仿宋" w:eastAsia="仿宋" w:cs="仿宋"/>
          <w:color w:val="000000" w:themeColor="text1"/>
          <w:sz w:val="24"/>
          <w:szCs w:val="24"/>
          <w:highlight w:val="none"/>
          <w:lang w:val="en-US" w:eastAsia="zh-CN"/>
          <w14:textFill>
            <w14:solidFill>
              <w14:schemeClr w14:val="tx1"/>
            </w14:solidFill>
          </w14:textFill>
        </w:rPr>
        <w:t>的正规发票后30日内支付合同款项。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付款方式：采用支票、银行汇付（含电汇）等形式。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十</w:t>
      </w:r>
      <w:r>
        <w:rPr>
          <w:rFonts w:hint="eastAsia" w:ascii="仿宋" w:hAnsi="仿宋" w:eastAsia="仿宋" w:cs="仿宋"/>
          <w:color w:val="000000"/>
          <w:sz w:val="24"/>
          <w:szCs w:val="24"/>
          <w:highlight w:val="none"/>
        </w:rPr>
        <w:t>、双方责任</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1.甲方有按时收货和支付货款的义务。在乙方未发生不履行或不适当履行合同义务的情况下，如甲方无正当理由拒收货物或拒不支付货款的，甲方应按合同总价的5‰向乙方支付违约金。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2.乙方交付的货物不符合合同规定的，甲方有权拒收，同时乙方向甲方支付合同总价的5‰的违约金。</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3.除本合同另有约定外，乙方有不履行或不适当履行本合同项下义务的其他情形的，甲方有权提出警告并要求期限整改。</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甲方依法或依据本合同约定单方解除/终止合同的，乙方应于收到解除/终止通知之日起五个工作日内将甲方已付款项全额返还甲方，并应按合同总价的5‰向甲方支付违约金。如甲方要求乙方取回不合格设备、清理现场、或配合办理合同解除/终止之相关事宜的，乙方应积极配合，并于10日内处理完毕。</w:t>
      </w:r>
    </w:p>
    <w:p>
      <w:pPr>
        <w:pStyle w:val="2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5.其它违约责任按合同其他条款约定及《中华人民共和国民法典》规定处理。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、争议的解决方式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合同执行过程中发生的任何争议，如双方不能通过友好协商解决，甲、乙双方一致同意向甲方所在地人民法院提起诉讼。诉讼过程中，除双方有争议的部分外，本合同其他部分仍然有效，双方应继续履行。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十三</w:t>
      </w:r>
      <w:r>
        <w:rPr>
          <w:rFonts w:hint="eastAsia" w:ascii="仿宋" w:hAnsi="仿宋" w:eastAsia="仿宋" w:cs="仿宋"/>
          <w:color w:val="000000"/>
          <w:sz w:val="24"/>
          <w:szCs w:val="24"/>
          <w:highlight w:val="none"/>
        </w:rPr>
        <w:t>、合同解除与终止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如果一方违反合同，并在收到对方违约通知书后30天内仍未能改正违约情形的，另一方可立即终止本合同。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如因法律法规或监管政策变化致使本合同无法继续履行，双方均可解除合同且无需因此向对方负赔偿责任。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、合同补充和修改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1.在合同有效期内，甲乙双方须严格执行合同，原则上双方不得随意调价或变动合同内容。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2.对合同其他条款作任何改动或增加补充条款，均须由甲乙双方签订书面补充协议。</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五</w:t>
      </w:r>
      <w:r>
        <w:rPr>
          <w:rFonts w:hint="eastAsia" w:ascii="仿宋" w:hAnsi="仿宋" w:eastAsia="仿宋" w:cs="仿宋"/>
          <w:color w:val="000000"/>
          <w:sz w:val="24"/>
          <w:szCs w:val="24"/>
          <w:highlight w:val="none"/>
        </w:rPr>
        <w:t>、其它约定事项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3.本项目的比选文件、成交响应文件、成交通知书、附件等均为合同的组成部分。</w:t>
      </w:r>
    </w:p>
    <w:p>
      <w:pPr>
        <w:spacing w:beforeAutospacing="1"/>
        <w:rPr>
          <w:rFonts w:hint="eastAsia" w:ascii="仿宋" w:hAnsi="仿宋" w:eastAsia="仿宋" w:cs="仿宋"/>
          <w:color w:val="000000"/>
          <w:sz w:val="24"/>
          <w:szCs w:val="24"/>
          <w:highlight w:val="none"/>
        </w:rPr>
      </w:pPr>
    </w:p>
    <w:p>
      <w:pPr>
        <w:pStyle w:val="23"/>
        <w:rPr>
          <w:rFonts w:hint="eastAsia" w:ascii="仿宋" w:hAnsi="仿宋" w:eastAsia="仿宋" w:cs="仿宋"/>
          <w:b w:val="0"/>
          <w:bCs/>
          <w:color w:val="000000"/>
          <w:kern w:val="2"/>
          <w:sz w:val="24"/>
          <w:szCs w:val="24"/>
          <w:highlight w:val="none"/>
          <w:lang w:val="en-US" w:eastAsia="zh-CN" w:bidi="ar-SA"/>
        </w:rPr>
      </w:pPr>
    </w:p>
    <w:p>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pPr>
        <w:pStyle w:val="23"/>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pStyle w:val="23"/>
        <w:rPr>
          <w:rFonts w:hint="eastAsia" w:ascii="仿宋" w:hAnsi="仿宋" w:eastAsia="仿宋" w:cs="仿宋"/>
          <w:b w:val="0"/>
          <w:bCs/>
          <w:color w:val="000000"/>
          <w:kern w:val="2"/>
          <w:sz w:val="24"/>
          <w:szCs w:val="24"/>
          <w:highlight w:val="none"/>
          <w:lang w:val="en-US" w:eastAsia="zh-CN" w:bidi="ar-SA"/>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3"/>
        <w:ind w:left="0" w:leftChars="0" w:firstLine="0" w:firstLineChars="0"/>
        <w:rPr>
          <w:rFonts w:hint="eastAsia" w:ascii="微软雅黑" w:hAnsi="微软雅黑" w:eastAsia="微软雅黑" w:cs="微软雅黑"/>
          <w:color w:val="000000"/>
          <w:highlight w:val="none"/>
        </w:rPr>
      </w:pPr>
    </w:p>
    <w:p>
      <w:pPr>
        <w:pStyle w:val="23"/>
        <w:ind w:left="0" w:leftChars="0" w:firstLine="0" w:firstLineChars="0"/>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4"/>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29"/>
        <w:rPr>
          <w:rFonts w:hint="eastAsia"/>
          <w:color w:val="FF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rPr>
          <w:rFonts w:hint="eastAsia"/>
          <w:color w:val="000000"/>
          <w:highlight w:val="none"/>
        </w:rPr>
      </w:pPr>
    </w:p>
    <w:p>
      <w:pPr>
        <w:pStyle w:val="29"/>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29"/>
        <w:numPr>
          <w:ilvl w:val="0"/>
          <w:numId w:val="18"/>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29"/>
        <w:numPr>
          <w:ilvl w:val="0"/>
          <w:numId w:val="18"/>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29"/>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29"/>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29"/>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29"/>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29"/>
        <w:numPr>
          <w:ilvl w:val="0"/>
          <w:numId w:val="18"/>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Style w:val="29"/>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5"/>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5"/>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5"/>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5"/>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5"/>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29"/>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pPr>
        <w:pStyle w:val="29"/>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shd w:val="clear" w:color="auto" w:fill="FFFFFF"/>
        <w:spacing w:line="360" w:lineRule="auto"/>
        <w:rPr>
          <w:rFonts w:hint="eastAsia" w:ascii="仿宋" w:hAnsi="仿宋" w:eastAsia="仿宋" w:cs="仿宋"/>
          <w:color w:val="000000"/>
          <w:sz w:val="24"/>
          <w:szCs w:val="36"/>
          <w:highlight w:val="none"/>
        </w:rPr>
      </w:pPr>
    </w:p>
    <w:p>
      <w:pPr>
        <w:pStyle w:val="29"/>
        <w:rPr>
          <w:rFonts w:hint="eastAsia" w:ascii="仿宋" w:hAnsi="仿宋" w:eastAsia="仿宋" w:cs="仿宋"/>
          <w:color w:val="000000"/>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p>
    <w:p>
      <w:pPr>
        <w:pStyle w:val="29"/>
        <w:ind w:firstLine="400"/>
        <w:rPr>
          <w:rFonts w:hint="eastAsia" w:ascii="仿宋" w:hAnsi="仿宋" w:eastAsia="仿宋" w:cs="仿宋"/>
          <w:color w:val="000000"/>
          <w:sz w:val="24"/>
          <w:szCs w:val="24"/>
          <w:highlight w:val="none"/>
        </w:rPr>
      </w:pP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29"/>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29"/>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20"/>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5"/>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中山大学孙逸仙纪念医院南北院区氧气终端采购项目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pStyle w:val="29"/>
        <w:rPr>
          <w:rFonts w:hint="eastAsia" w:ascii="仿宋" w:hAnsi="仿宋" w:eastAsia="仿宋" w:cs="仿宋"/>
          <w:color w:val="000000"/>
          <w:sz w:val="21"/>
          <w:szCs w:val="21"/>
          <w:highlight w:val="none"/>
        </w:rPr>
      </w:pPr>
    </w:p>
    <w:tbl>
      <w:tblPr>
        <w:tblStyle w:val="24"/>
        <w:tblW w:w="8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1248"/>
        <w:gridCol w:w="1248"/>
        <w:gridCol w:w="1227"/>
        <w:gridCol w:w="858"/>
        <w:gridCol w:w="1356"/>
        <w:gridCol w:w="1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品牌</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终端制式</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所属院区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单价</w:t>
            </w:r>
          </w:p>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（元/套）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小计</w:t>
            </w:r>
          </w:p>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2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氧气终端</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南院区</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273"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2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4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英标</w:t>
            </w:r>
          </w:p>
        </w:tc>
        <w:tc>
          <w:tcPr>
            <w:tcW w:w="122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北院区</w:t>
            </w:r>
          </w:p>
        </w:tc>
        <w:tc>
          <w:tcPr>
            <w:tcW w:w="8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135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p>
        </w:tc>
        <w:tc>
          <w:tcPr>
            <w:tcW w:w="12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273"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合计</w:t>
            </w:r>
          </w:p>
        </w:tc>
        <w:tc>
          <w:tcPr>
            <w:tcW w:w="7143"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1273"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p>
        </w:tc>
        <w:tc>
          <w:tcPr>
            <w:tcW w:w="7143" w:type="dxa"/>
            <w:gridSpan w:val="6"/>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小写：</w:t>
            </w:r>
          </w:p>
        </w:tc>
      </w:tr>
    </w:tbl>
    <w:p>
      <w:pPr>
        <w:pStyle w:val="29"/>
        <w:rPr>
          <w:rFonts w:hint="eastAsia" w:ascii="仿宋" w:hAnsi="仿宋" w:eastAsia="仿宋" w:cs="仿宋"/>
          <w:color w:val="000000"/>
          <w:sz w:val="21"/>
          <w:szCs w:val="21"/>
          <w:highlight w:val="none"/>
        </w:rPr>
      </w:pPr>
    </w:p>
    <w:p>
      <w:pPr>
        <w:pStyle w:val="29"/>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完成本项目全部内容所需费用的含税价（产品的价格、运输费、卸装费、售后服务、保险、搬运费、利润及税金等伴随货物产生的一切费用）。</w:t>
      </w:r>
    </w:p>
    <w:p>
      <w:pPr>
        <w:pStyle w:val="29"/>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5"/>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供应商具备有效的特种设备安装改造维修许可或生产许可证（管道安装）GC2级或以上。（提供有效期内的证书复印件，加盖公章）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供应商具备建筑机电安装工程专业承包三级或以上资质。（提供有效期内的证书复印件，加盖公章）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供应商具有安全生产许可证。（提供有效期内的证书复印件，加盖公章）</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highlight w:val="none"/>
                <w:lang w:val="zh-CN"/>
              </w:rPr>
            </w:pPr>
            <w:r>
              <w:rPr>
                <w:rFonts w:hint="eastAsia" w:ascii="仿宋" w:hAnsi="仿宋" w:eastAsia="仿宋" w:cs="仿宋"/>
                <w:color w:val="000000"/>
                <w:sz w:val="21"/>
                <w:szCs w:val="21"/>
                <w:highlight w:val="none"/>
                <w:lang w:val="zh-CN"/>
              </w:rPr>
              <w:t>本项目所投产品为第二类医疗器械：如供应商为生产企业，提供监督管理部门签发的有效的《医疗器械生产许可证》复印件；如供应商为经营企业，提供监督管理部门签发的有效的二类经营备案复印件。（如国家另有规定，则适用其规定）</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29"/>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29"/>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29"/>
        <w:ind w:left="0" w:leftChars="0" w:firstLine="0" w:firstLineChars="0"/>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Style w:val="29"/>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ascii="仿宋_GB2312" w:hAnsi="华文仿宋" w:eastAsia="仿宋_GB2312" w:cs="华文仿宋"/>
          <w:bCs/>
          <w:color w:val="000000"/>
          <w:szCs w:val="21"/>
          <w:highlight w:val="none"/>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pStyle w:val="29"/>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29"/>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2"/>
        <w:rPr>
          <w:color w:val="000000"/>
          <w:highlight w:val="none"/>
        </w:rPr>
      </w:pPr>
    </w:p>
    <w:p>
      <w:pPr>
        <w:pStyle w:val="53"/>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4、特种设备安装改造维修许可或生产许可证（管道安装）GC2级或以上</w:t>
      </w:r>
    </w:p>
    <w:p>
      <w:pPr>
        <w:pStyle w:val="30"/>
        <w:jc w:val="center"/>
        <w:rPr>
          <w:rFonts w:ascii="宋体" w:hAnsi="宋体"/>
          <w:sz w:val="24"/>
          <w:highlight w:val="none"/>
        </w:rPr>
      </w:pPr>
      <w:r>
        <w:rPr>
          <w:rFonts w:hint="eastAsia" w:ascii="仿宋" w:hAnsi="仿宋" w:eastAsia="仿宋" w:cs="仿宋"/>
          <w:bCs/>
          <w:color w:val="auto"/>
          <w:sz w:val="24"/>
          <w:szCs w:val="24"/>
          <w:highlight w:val="none"/>
        </w:rPr>
        <w:t>（提供有效期内的证书复印件，加盖公章）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53"/>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5、建筑机电安装工程专业承包三级或以上</w:t>
      </w:r>
    </w:p>
    <w:p>
      <w:pPr>
        <w:pStyle w:val="30"/>
        <w:jc w:val="center"/>
        <w:rPr>
          <w:rFonts w:ascii="宋体" w:hAnsi="宋体"/>
          <w:sz w:val="24"/>
          <w:highlight w:val="none"/>
        </w:rPr>
      </w:pPr>
      <w:r>
        <w:rPr>
          <w:rFonts w:hint="eastAsia" w:ascii="仿宋" w:hAnsi="仿宋" w:eastAsia="仿宋" w:cs="仿宋"/>
          <w:bCs/>
          <w:color w:val="auto"/>
          <w:sz w:val="24"/>
          <w:szCs w:val="24"/>
          <w:highlight w:val="none"/>
        </w:rPr>
        <w:t>（提供有效期内的证书复印件，加盖公章）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53"/>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6、安全生产许可证</w:t>
      </w:r>
    </w:p>
    <w:p>
      <w:pPr>
        <w:pStyle w:val="30"/>
        <w:jc w:val="center"/>
        <w:rPr>
          <w:rFonts w:ascii="宋体" w:hAnsi="宋体"/>
          <w:sz w:val="24"/>
          <w:highlight w:val="none"/>
        </w:rPr>
      </w:pPr>
      <w:r>
        <w:rPr>
          <w:rFonts w:hint="eastAsia" w:ascii="仿宋" w:hAnsi="仿宋" w:eastAsia="仿宋" w:cs="仿宋"/>
          <w:bCs/>
          <w:color w:val="auto"/>
          <w:sz w:val="24"/>
          <w:szCs w:val="24"/>
          <w:highlight w:val="none"/>
        </w:rPr>
        <w:t>（提供有效期内的证书复印件，加盖公章）</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7、《医疗器械生产许可证》或二类经营备案</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b/>
          <w:bCs/>
          <w:sz w:val="24"/>
          <w:szCs w:val="24"/>
          <w:highlight w:val="none"/>
          <w:lang w:val="en-US" w:eastAsia="zh-CN"/>
        </w:rPr>
      </w:pPr>
      <w:r>
        <w:rPr>
          <w:rFonts w:hint="eastAsia" w:ascii="仿宋" w:hAnsi="仿宋" w:eastAsia="仿宋" w:cs="仿宋"/>
          <w:color w:val="000000"/>
          <w:sz w:val="24"/>
          <w:szCs w:val="24"/>
          <w:highlight w:val="none"/>
          <w:lang w:val="zh-CN"/>
        </w:rPr>
        <w:t>本项目所投产品为第二类医疗器械：如供应商为生产企业，提供监督管理部门签发的有效的《医疗器械生产许可证》复印件；如供应商为经营企业，提供监督管理部门签发的有效的二类经营备案复印件。（如国家另有规定，则适用其规定）</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29"/>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3"/>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3"/>
        <w:shd w:val="clear" w:color="auto" w:fill="FFFFFF"/>
        <w:rPr>
          <w:rFonts w:hint="eastAsia" w:ascii="仿宋" w:hAnsi="仿宋" w:eastAsia="仿宋" w:cs="仿宋"/>
          <w:sz w:val="21"/>
          <w:szCs w:val="21"/>
          <w:highlight w:val="none"/>
        </w:rPr>
      </w:pPr>
    </w:p>
    <w:p>
      <w:pPr>
        <w:pStyle w:val="13"/>
        <w:shd w:val="clear" w:color="auto" w:fill="FFFFFF"/>
        <w:rPr>
          <w:rFonts w:hint="eastAsia" w:ascii="仿宋" w:hAnsi="仿宋" w:eastAsia="仿宋" w:cs="仿宋"/>
          <w:sz w:val="21"/>
          <w:szCs w:val="21"/>
          <w:highlight w:val="none"/>
        </w:rPr>
      </w:pPr>
    </w:p>
    <w:p>
      <w:pPr>
        <w:pStyle w:val="13"/>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4"/>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4"/>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4"/>
        <w:tabs>
          <w:tab w:val="left" w:pos="900"/>
        </w:tabs>
        <w:spacing w:line="400" w:lineRule="exact"/>
        <w:ind w:firstLine="0"/>
        <w:rPr>
          <w:rFonts w:hint="eastAsia" w:ascii="仿宋" w:hAnsi="仿宋" w:eastAsia="仿宋" w:cs="仿宋"/>
          <w:bCs/>
          <w:color w:val="000000"/>
          <w:highlight w:val="none"/>
          <w:lang w:val="en-US"/>
        </w:rPr>
      </w:pP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9"/>
        <w:ind w:left="0" w:leftChars="0" w:firstLine="0" w:firstLineChars="0"/>
        <w:rPr>
          <w:rFonts w:hint="eastAsia" w:ascii="仿宋" w:hAnsi="仿宋" w:eastAsia="仿宋" w:cs="仿宋"/>
          <w:highlight w:val="none"/>
          <w:lang w:eastAsia="zh-CN"/>
        </w:rPr>
      </w:pPr>
    </w:p>
    <w:p>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4"/>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4"/>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4"/>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4"/>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rFonts w:hint="eastAsia" w:ascii="华文中宋" w:hAnsi="华文中宋" w:eastAsia="华文中宋" w:cs="华文中宋"/>
                                <w:sz w:val="21"/>
                                <w:szCs w:val="21"/>
                              </w:rPr>
                            </w:pPr>
                          </w:p>
                          <w:p>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9"/>
                        <w:rPr>
                          <w:rFonts w:hint="eastAsia" w:ascii="华文中宋" w:hAnsi="华文中宋" w:eastAsia="华文中宋" w:cs="华文中宋"/>
                          <w:sz w:val="21"/>
                          <w:szCs w:val="21"/>
                        </w:rPr>
                      </w:pPr>
                    </w:p>
                    <w:p>
                      <w:pPr>
                        <w:pStyle w:val="9"/>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29"/>
        <w:ind w:left="0" w:leftChars="0" w:firstLine="0" w:firstLineChars="0"/>
        <w:rPr>
          <w:rFonts w:hint="eastAsia" w:ascii="宋体" w:hAnsi="宋体" w:eastAsia="宋体" w:cs="宋体"/>
          <w:b/>
          <w:bCs/>
          <w:sz w:val="28"/>
          <w:szCs w:val="36"/>
          <w:highlight w:val="none"/>
          <w:lang w:eastAsia="zh-CN"/>
        </w:rPr>
      </w:pPr>
    </w:p>
    <w:p>
      <w:pPr>
        <w:pStyle w:val="9"/>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9"/>
        <w:ind w:left="0" w:leftChars="0" w:firstLine="0" w:firstLineChars="0"/>
        <w:rPr>
          <w:rFonts w:hint="eastAsia" w:ascii="宋体" w:hAnsi="宋体" w:eastAsia="宋体" w:cs="仿宋_GB2312"/>
          <w:bCs/>
          <w:color w:val="000000"/>
          <w:sz w:val="30"/>
          <w:szCs w:val="30"/>
          <w:highlight w:val="none"/>
          <w:lang w:val="en-US"/>
        </w:rPr>
      </w:pPr>
    </w:p>
    <w:p>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9"/>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（1）★我方保证所响应产品为同一品牌（即英标制式氧气终端与德标制式氧气终端品牌一致），保证一致性、安全性、稳定性和互换性。</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（2）★我方保证在接到采购人通知后60日历日内送货至采购人指定地点并安装完成且验收合格。</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（3）第二章用户需求书中的“★六、验收要求”。</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29"/>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pStyle w:val="2"/>
        <w:rPr>
          <w:rFonts w:hint="eastAsia" w:ascii="黑体" w:hAnsi="黑体" w:eastAsia="黑体" w:cs="黑体"/>
          <w:b/>
          <w:bCs/>
          <w:sz w:val="40"/>
          <w:szCs w:val="40"/>
          <w:highlight w:val="none"/>
          <w:lang w:val="en-US" w:eastAsia="zh-CN"/>
        </w:rPr>
      </w:pPr>
    </w:p>
    <w:p>
      <w:pPr>
        <w:pStyle w:val="2"/>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4"/>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具有有效的质量管理体系认证证书，得1分。</w:t>
            </w:r>
          </w:p>
        </w:tc>
        <w:tc>
          <w:tcPr>
            <w:tcW w:w="24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具有有效的职业健康安全管理体系认证证书，得1分。</w:t>
            </w:r>
          </w:p>
        </w:tc>
        <w:tc>
          <w:tcPr>
            <w:tcW w:w="24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具有有效的环境管理体系认证证书，得1分。</w:t>
            </w:r>
          </w:p>
        </w:tc>
        <w:tc>
          <w:tcPr>
            <w:tcW w:w="24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根据供应商自2020年1月1日（以合同签订时间为准）以来，提供所投产品同品牌的同类项目业绩进行评分，每提供一个得3分，最高得12分。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所投产品品牌。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2分，最高得8分。不提供不得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拟派项目人员（包括但不限于驻场人员）具有压力管道（容器）作业人员证书的，每提供一人得1分，最高得4分。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因本项目涉及到产品安装，人员需同时具有电工证和焊工证（二者缺一不可），每提供一人得2分，最高得8分。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注：提供证书复印件及近6个月内任意1个月供应商（或其分支机构）为其缴纳的社保证明，加盖公章。未提供或提供不齐全不得分。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29"/>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29"/>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4"/>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pStyle w:val="29"/>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4"/>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29"/>
        <w:rPr>
          <w:rFonts w:hint="eastAsia" w:ascii="仿宋" w:hAnsi="仿宋" w:eastAsia="仿宋" w:cs="仿宋"/>
          <w:highlight w:val="none"/>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3、企业体系认证情况</w:t>
      </w:r>
      <w:r>
        <w:rPr>
          <w:rFonts w:hint="eastAsia" w:ascii="仿宋" w:hAnsi="仿宋" w:eastAsia="仿宋" w:cs="仿宋"/>
          <w:b/>
          <w:bCs w:val="0"/>
          <w:sz w:val="22"/>
          <w:szCs w:val="22"/>
          <w:highlight w:val="none"/>
          <w:lang w:val="en-US" w:eastAsia="zh-CN"/>
        </w:rPr>
        <w:t>（如有）</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4"/>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29"/>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jc w:val="center"/>
        <w:rPr>
          <w:rFonts w:hint="eastAsia" w:ascii="宋体" w:hAnsi="宋体" w:cs="宋体"/>
          <w:b/>
          <w:bCs w:val="0"/>
          <w:sz w:val="32"/>
          <w:szCs w:val="32"/>
          <w:highlight w:val="none"/>
          <w:lang w:val="en-US" w:eastAsia="zh-CN"/>
        </w:rPr>
      </w:pPr>
    </w:p>
    <w:p>
      <w:pPr>
        <w:pStyle w:val="29"/>
        <w:jc w:val="center"/>
        <w:rPr>
          <w:rFonts w:hint="eastAsia" w:ascii="宋体" w:hAnsi="宋体" w:cs="宋体"/>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4、同类项目业绩</w:t>
      </w:r>
      <w:r>
        <w:rPr>
          <w:rFonts w:hint="eastAsia" w:ascii="仿宋" w:hAnsi="仿宋" w:eastAsia="仿宋" w:cs="仿宋"/>
          <w:b/>
          <w:bCs w:val="0"/>
          <w:sz w:val="22"/>
          <w:szCs w:val="22"/>
          <w:highlight w:val="none"/>
          <w:lang w:val="en-US" w:eastAsia="zh-CN"/>
        </w:rPr>
        <w:t>（如有）</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5、履约评价情况</w:t>
      </w:r>
      <w:r>
        <w:rPr>
          <w:rFonts w:hint="eastAsia" w:ascii="仿宋" w:hAnsi="仿宋" w:eastAsia="仿宋" w:cs="仿宋"/>
          <w:b/>
          <w:bCs w:val="0"/>
          <w:sz w:val="22"/>
          <w:szCs w:val="22"/>
          <w:highlight w:val="none"/>
          <w:lang w:val="en-US" w:eastAsia="zh-CN"/>
        </w:rPr>
        <w:t>（如有）</w:t>
      </w:r>
    </w:p>
    <w:p>
      <w:pPr>
        <w:pStyle w:val="29"/>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pPr>
        <w:pStyle w:val="29"/>
        <w:numPr>
          <w:ilvl w:val="0"/>
          <w:numId w:val="0"/>
        </w:numPr>
        <w:ind w:leftChars="200"/>
        <w:jc w:val="center"/>
        <w:rPr>
          <w:rFonts w:hint="eastAsia" w:ascii="仿宋" w:hAnsi="仿宋" w:eastAsia="仿宋" w:cs="仿宋"/>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40"/>
          <w:szCs w:val="40"/>
          <w:highlight w:val="none"/>
          <w:lang w:val="en-US" w:eastAsia="zh-CN"/>
        </w:rPr>
      </w:pPr>
    </w:p>
    <w:p>
      <w:pPr>
        <w:pStyle w:val="2"/>
        <w:rPr>
          <w:rFonts w:hint="eastAsia" w:ascii="仿宋" w:hAnsi="仿宋" w:eastAsia="仿宋" w:cs="仿宋"/>
          <w:b/>
          <w:bCs/>
          <w:sz w:val="40"/>
          <w:szCs w:val="40"/>
          <w:highlight w:val="none"/>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lang w:val="en-US" w:eastAsia="zh-CN"/>
        </w:rPr>
      </w:pPr>
    </w:p>
    <w:p>
      <w:pPr>
        <w:pStyle w:val="29"/>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lang w:val="en-US" w:eastAsia="zh-CN"/>
        </w:rPr>
        <w:t>6、</w:t>
      </w:r>
      <w:r>
        <w:rPr>
          <w:rFonts w:hint="eastAsia" w:ascii="仿宋" w:hAnsi="仿宋" w:eastAsia="仿宋" w:cs="仿宋"/>
          <w:b/>
          <w:bCs w:val="0"/>
          <w:sz w:val="32"/>
          <w:szCs w:val="32"/>
          <w:highlight w:val="none"/>
          <w:lang w:val="en-US" w:eastAsia="zh-CN"/>
        </w:rPr>
        <w:t>人员配置</w:t>
      </w:r>
      <w:r>
        <w:rPr>
          <w:rFonts w:hint="eastAsia" w:ascii="仿宋" w:hAnsi="仿宋" w:eastAsia="仿宋" w:cs="仿宋"/>
          <w:b/>
          <w:bCs w:val="0"/>
          <w:sz w:val="22"/>
          <w:szCs w:val="22"/>
          <w:highlight w:val="none"/>
          <w:lang w:val="en-US" w:eastAsia="zh-CN"/>
        </w:rPr>
        <w:t>（如有）</w:t>
      </w:r>
    </w:p>
    <w:p>
      <w:pPr>
        <w:pStyle w:val="9"/>
        <w:spacing w:line="364" w:lineRule="auto"/>
        <w:ind w:right="706" w:rightChars="0"/>
        <w:rPr>
          <w:rFonts w:hint="eastAsia" w:ascii="仿宋" w:hAnsi="仿宋" w:eastAsia="仿宋" w:cs="仿宋"/>
          <w:sz w:val="24"/>
          <w:szCs w:val="36"/>
          <w:lang w:val="en-US" w:eastAsia="zh-CN"/>
        </w:rPr>
      </w:pPr>
      <w:r>
        <w:rPr>
          <w:rFonts w:hint="eastAsia" w:ascii="仿宋" w:hAnsi="仿宋" w:eastAsia="仿宋" w:cs="仿宋"/>
        </w:rPr>
        <w:t>采购项目名称：中山大学孙逸仙纪念医院南北院区氧气终端采购项目</w:t>
      </w:r>
    </w:p>
    <w:tbl>
      <w:tblPr>
        <w:tblStyle w:val="24"/>
        <w:tblW w:w="9283"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gridCol w:w="2024"/>
        <w:gridCol w:w="112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序号</w:t>
            </w:r>
          </w:p>
        </w:tc>
        <w:tc>
          <w:tcPr>
            <w:tcW w:w="1147" w:type="dxa"/>
            <w:tcBorders>
              <w:tl2br w:val="nil"/>
              <w:tr2bl w:val="nil"/>
            </w:tcBorders>
            <w:vAlign w:val="center"/>
          </w:tcPr>
          <w:p>
            <w:pPr>
              <w:pStyle w:val="4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rPr>
            </w:pPr>
            <w:r>
              <w:rPr>
                <w:rFonts w:hint="eastAsia" w:ascii="仿宋" w:hAnsi="仿宋" w:eastAsia="仿宋" w:cs="仿宋"/>
                <w:spacing w:val="0"/>
                <w:kern w:val="2"/>
                <w:sz w:val="21"/>
                <w:szCs w:val="24"/>
              </w:rPr>
              <w:t>姓名</w:t>
            </w: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rPr>
            </w:pPr>
            <w:r>
              <w:rPr>
                <w:rFonts w:hint="eastAsia" w:ascii="仿宋" w:hAnsi="仿宋" w:eastAsia="仿宋" w:cs="仿宋"/>
              </w:rPr>
              <w:t>年龄</w:t>
            </w:r>
          </w:p>
        </w:tc>
        <w:tc>
          <w:tcPr>
            <w:tcW w:w="2150" w:type="dxa"/>
            <w:tcBorders>
              <w:tl2br w:val="nil"/>
              <w:tr2bl w:val="nil"/>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lang w:val="en-US" w:eastAsia="zh-CN"/>
              </w:rPr>
            </w:pPr>
            <w:r>
              <w:rPr>
                <w:rFonts w:hint="eastAsia" w:ascii="仿宋" w:hAnsi="仿宋" w:eastAsia="仿宋" w:cs="仿宋"/>
                <w:lang w:val="en-US" w:eastAsia="zh-CN"/>
              </w:rPr>
              <w:t>资格证书</w:t>
            </w: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lang w:val="en-US" w:eastAsia="zh-CN" w:bidi="ar-SA"/>
              </w:rPr>
            </w:pPr>
            <w:r>
              <w:rPr>
                <w:rFonts w:hint="eastAsia" w:ascii="仿宋" w:hAnsi="仿宋" w:eastAsia="仿宋" w:cs="仿宋"/>
              </w:rPr>
              <w:t>经验年限</w:t>
            </w: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lang w:val="en-US" w:eastAsia="zh-CN" w:bidi="ar-SA"/>
              </w:rPr>
            </w:pPr>
            <w:r>
              <w:rPr>
                <w:rFonts w:hint="eastAsia" w:ascii="仿宋" w:hAnsi="仿宋" w:eastAsia="仿宋" w:cs="仿宋"/>
              </w:rPr>
              <w:t>本项目拟担任职务</w:t>
            </w:r>
          </w:p>
        </w:tc>
        <w:tc>
          <w:tcPr>
            <w:tcW w:w="1128"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default" w:ascii="仿宋" w:hAnsi="仿宋" w:eastAsia="仿宋" w:cs="仿宋"/>
                <w:lang w:val="en-US" w:eastAsia="zh-CN"/>
              </w:rPr>
            </w:pPr>
            <w:r>
              <w:rPr>
                <w:rFonts w:hint="eastAsia" w:ascii="仿宋" w:hAnsi="仿宋" w:eastAsia="仿宋" w:cs="仿宋"/>
                <w:lang w:val="en-US" w:eastAsia="zh-CN"/>
              </w:rPr>
              <w:t>是否驻场人员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lang w:val="en-US" w:eastAsia="zh-CN" w:bidi="ar-SA"/>
              </w:rPr>
            </w:pPr>
            <w:r>
              <w:rPr>
                <w:rFonts w:hint="default" w:ascii="仿宋" w:hAnsi="仿宋" w:eastAsia="仿宋" w:cs="仿宋"/>
                <w:lang w:val="en-US" w:eastAsia="zh-CN"/>
              </w:rPr>
              <w:t>项目负责人</w:t>
            </w:r>
          </w:p>
        </w:tc>
        <w:tc>
          <w:tcPr>
            <w:tcW w:w="1128"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default" w:ascii="仿宋" w:hAnsi="仿宋" w:eastAsia="仿宋" w:cs="仿宋"/>
                <w:kern w:val="2"/>
                <w:sz w:val="21"/>
                <w:szCs w:val="24"/>
                <w:lang w:val="en-US" w:eastAsia="zh-CN" w:bidi="ar-SA"/>
              </w:rPr>
            </w:pPr>
            <w:r>
              <w:rPr>
                <w:rFonts w:hint="eastAsia" w:ascii="仿宋" w:hAnsi="仿宋" w:eastAsia="仿宋" w:cs="仿宋"/>
                <w:kern w:val="2"/>
                <w:sz w:val="21"/>
                <w:szCs w:val="24"/>
                <w:lang w:val="en-US" w:eastAsia="zh-CN" w:bidi="ar-SA"/>
              </w:rPr>
              <w:t>技术人员</w:t>
            </w:r>
          </w:p>
        </w:tc>
        <w:tc>
          <w:tcPr>
            <w:tcW w:w="1128"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l2br w:val="nil"/>
              <w:tr2bl w:val="nil"/>
            </w:tcBorders>
            <w:vAlign w:val="center"/>
          </w:tcPr>
          <w:p>
            <w:pPr>
              <w:keepNext w:val="0"/>
              <w:keepLines w:val="0"/>
              <w:suppressLineNumbers w:val="0"/>
              <w:spacing w:before="0" w:beforeAutospacing="0" w:after="0" w:afterAutospacing="0" w:line="240" w:lineRule="auto"/>
              <w:ind w:left="0" w:right="0"/>
              <w:jc w:val="both"/>
              <w:rPr>
                <w:rFonts w:hint="eastAsia" w:ascii="仿宋" w:hAnsi="仿宋" w:eastAsia="仿宋" w:cs="仿宋"/>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仿宋"/>
                <w:kern w:val="2"/>
                <w:sz w:val="21"/>
                <w:szCs w:val="24"/>
                <w:lang w:val="en-US" w:eastAsia="zh-CN" w:bidi="ar-SA"/>
              </w:rPr>
            </w:pPr>
          </w:p>
        </w:tc>
        <w:tc>
          <w:tcPr>
            <w:tcW w:w="1128" w:type="dxa"/>
            <w:tcBorders>
              <w:tl2br w:val="nil"/>
              <w:tr2bl w:val="nil"/>
            </w:tcBorders>
            <w:vAlign w:val="center"/>
          </w:tcPr>
          <w:p>
            <w:pPr>
              <w:keepNext w:val="0"/>
              <w:keepLines w:val="0"/>
              <w:suppressLineNumbers w:val="0"/>
              <w:spacing w:before="0" w:beforeAutospacing="0" w:after="0" w:afterAutospacing="0" w:line="240" w:lineRule="auto"/>
              <w:ind w:left="0" w:right="0"/>
              <w:jc w:val="center"/>
              <w:rPr>
                <w:rFonts w:hint="eastAsia" w:ascii="仿宋" w:hAnsi="仿宋" w:eastAsia="仿宋" w:cs="仿宋"/>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47"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97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2150"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leftChars="0" w:right="0" w:rightChars="0" w:firstLine="420" w:firstLineChars="200"/>
              <w:jc w:val="center"/>
              <w:rPr>
                <w:rFonts w:hint="eastAsia" w:ascii="仿宋" w:hAnsi="仿宋" w:eastAsia="仿宋" w:cs="仿宋"/>
                <w:kern w:val="2"/>
                <w:sz w:val="21"/>
                <w:szCs w:val="24"/>
                <w:lang w:val="en-US" w:eastAsia="zh-CN" w:bidi="ar-SA"/>
              </w:rPr>
            </w:pPr>
          </w:p>
        </w:tc>
        <w:tc>
          <w:tcPr>
            <w:tcW w:w="2024" w:type="dxa"/>
            <w:tcBorders>
              <w:tl2br w:val="nil"/>
              <w:tr2bl w:val="nil"/>
            </w:tcBorders>
            <w:vAlign w:val="center"/>
          </w:tcPr>
          <w:p>
            <w:pPr>
              <w:keepNext w:val="0"/>
              <w:keepLines w:val="0"/>
              <w:suppressLineNumbers w:val="0"/>
              <w:spacing w:before="0" w:beforeAutospacing="0" w:after="0" w:afterAutospacing="0" w:line="360" w:lineRule="auto"/>
              <w:ind w:left="0" w:right="0" w:rightChars="0"/>
              <w:jc w:val="center"/>
              <w:rPr>
                <w:rFonts w:hint="eastAsia" w:ascii="仿宋" w:hAnsi="仿宋" w:eastAsia="仿宋" w:cs="仿宋"/>
                <w:kern w:val="2"/>
                <w:sz w:val="21"/>
                <w:szCs w:val="24"/>
                <w:lang w:val="en-US" w:eastAsia="zh-CN" w:bidi="ar-SA"/>
              </w:rPr>
            </w:pPr>
            <w:r>
              <w:rPr>
                <w:rFonts w:hint="eastAsia" w:ascii="仿宋" w:hAnsi="仿宋" w:eastAsia="仿宋" w:cs="仿宋"/>
                <w:lang w:eastAsia="zh-CN"/>
              </w:rPr>
              <w:t>……</w:t>
            </w:r>
          </w:p>
        </w:tc>
        <w:tc>
          <w:tcPr>
            <w:tcW w:w="1128" w:type="dxa"/>
            <w:tcBorders>
              <w:tl2br w:val="nil"/>
              <w:tr2bl w:val="nil"/>
            </w:tcBorders>
            <w:vAlign w:val="center"/>
          </w:tcPr>
          <w:p>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rPr>
            </w:pPr>
          </w:p>
        </w:tc>
      </w:tr>
    </w:tbl>
    <w:p>
      <w:pPr>
        <w:jc w:val="both"/>
        <w:rPr>
          <w:rFonts w:hint="eastAsia" w:ascii="仿宋" w:hAnsi="仿宋" w:eastAsia="仿宋" w:cs="仿宋"/>
          <w:sz w:val="20"/>
          <w:szCs w:val="20"/>
        </w:rPr>
      </w:pPr>
    </w:p>
    <w:p>
      <w:pPr>
        <w:pStyle w:val="29"/>
        <w:ind w:left="0" w:leftChars="0" w:firstLine="0" w:firstLineChars="0"/>
        <w:rPr>
          <w:rFonts w:hint="eastAsia" w:ascii="仿宋" w:hAnsi="仿宋" w:eastAsia="仿宋" w:cs="仿宋"/>
          <w:color w:val="auto"/>
          <w:szCs w:val="21"/>
          <w:lang w:val="en-GB"/>
        </w:rPr>
      </w:pPr>
      <w:r>
        <w:rPr>
          <w:rFonts w:hint="eastAsia" w:ascii="仿宋" w:hAnsi="仿宋" w:eastAsia="仿宋" w:cs="仿宋"/>
          <w:color w:val="auto"/>
          <w:szCs w:val="21"/>
          <w:lang w:val="en-GB"/>
        </w:rPr>
        <w:t>注：1.响应人应如实填写拟</w:t>
      </w:r>
      <w:r>
        <w:rPr>
          <w:rFonts w:hint="eastAsia" w:ascii="仿宋" w:hAnsi="仿宋" w:eastAsia="仿宋" w:cs="仿宋"/>
          <w:color w:val="auto"/>
          <w:szCs w:val="21"/>
          <w:lang w:val="en-US" w:eastAsia="zh-CN"/>
        </w:rPr>
        <w:t>配备团队人员资质</w:t>
      </w:r>
      <w:r>
        <w:rPr>
          <w:rFonts w:hint="eastAsia" w:ascii="仿宋" w:hAnsi="仿宋" w:eastAsia="仿宋" w:cs="仿宋"/>
          <w:color w:val="auto"/>
          <w:szCs w:val="21"/>
          <w:lang w:val="en-GB"/>
        </w:rPr>
        <w:t>情况，不得弄虚作假；</w:t>
      </w:r>
    </w:p>
    <w:p>
      <w:pPr>
        <w:numPr>
          <w:ilvl w:val="0"/>
          <w:numId w:val="0"/>
        </w:numPr>
        <w:ind w:firstLine="420" w:firstLineChars="200"/>
        <w:jc w:val="both"/>
        <w:rPr>
          <w:rFonts w:hint="eastAsia" w:ascii="仿宋" w:hAnsi="仿宋" w:eastAsia="仿宋" w:cs="仿宋"/>
          <w:color w:val="auto"/>
          <w:sz w:val="20"/>
          <w:szCs w:val="21"/>
          <w:lang w:val="en-GB" w:eastAsia="zh-CN"/>
        </w:rPr>
      </w:pPr>
      <w:r>
        <w:rPr>
          <w:rFonts w:hint="eastAsia" w:ascii="仿宋" w:hAnsi="仿宋" w:eastAsia="仿宋" w:cs="仿宋"/>
          <w:color w:val="auto"/>
          <w:szCs w:val="21"/>
          <w:lang w:val="en-US" w:eastAsia="zh-CN"/>
        </w:rPr>
        <w:t>2.</w:t>
      </w:r>
      <w:r>
        <w:rPr>
          <w:rFonts w:hint="eastAsia" w:ascii="仿宋" w:hAnsi="仿宋" w:eastAsia="仿宋" w:cs="仿宋"/>
          <w:color w:val="auto"/>
          <w:szCs w:val="21"/>
          <w:lang w:val="en-GB"/>
        </w:rPr>
        <w:t>请在表格下方附上所列人员的相关证明资料</w:t>
      </w:r>
      <w:r>
        <w:rPr>
          <w:rFonts w:hint="eastAsia" w:ascii="仿宋" w:hAnsi="仿宋" w:eastAsia="仿宋" w:cs="仿宋"/>
          <w:color w:val="auto"/>
          <w:szCs w:val="21"/>
          <w:lang w:val="en-GB" w:eastAsia="zh-CN"/>
        </w:rPr>
        <w:t>：须同时提供证书复印件及近6个月内任意1个月供应商（或其分支机构）为其缴纳的社保证明，加盖公章。未提供或提供不齐全不得分。</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9"/>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4"/>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0"/>
                <w:szCs w:val="20"/>
                <w:highlight w:val="none"/>
              </w:rPr>
            </w:pPr>
            <w:r>
              <w:rPr>
                <w:rFonts w:hint="eastAsia" w:ascii="仿宋" w:hAnsi="仿宋" w:eastAsia="仿宋" w:cs="仿宋"/>
                <w:color w:val="000000"/>
                <w:kern w:val="0"/>
                <w:sz w:val="21"/>
                <w:szCs w:val="21"/>
                <w:highlight w:val="none"/>
              </w:rPr>
              <w:t>采购需求中带▲号的重要技术条款的符合性</w:t>
            </w:r>
          </w:p>
        </w:tc>
        <w:tc>
          <w:tcPr>
            <w:tcW w:w="5054" w:type="dxa"/>
            <w:vAlign w:val="center"/>
          </w:tcPr>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供应商所响应产品每满足一项用户需求书中带“▲”号的重要技术要求（共1项），得5分，合计5分；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rPr>
              <w:t>注：提供省级或以上食品药品监督管理部门出具的产品检测报告。</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color w:val="000000"/>
                <w:sz w:val="21"/>
                <w:szCs w:val="21"/>
                <w:highlight w:val="none"/>
              </w:rPr>
              <w:t>采购需求中</w:t>
            </w:r>
            <w:r>
              <w:rPr>
                <w:rFonts w:hint="eastAsia" w:ascii="仿宋" w:hAnsi="仿宋" w:eastAsia="仿宋" w:cs="仿宋"/>
                <w:color w:val="000000"/>
                <w:sz w:val="21"/>
                <w:szCs w:val="21"/>
                <w:highlight w:val="none"/>
                <w:lang w:val="en-US" w:eastAsia="zh-CN"/>
              </w:rPr>
              <w:t>对于终端前级、后级的</w:t>
            </w:r>
            <w:r>
              <w:rPr>
                <w:rFonts w:hint="eastAsia" w:ascii="仿宋" w:hAnsi="仿宋" w:eastAsia="仿宋" w:cs="仿宋"/>
                <w:color w:val="000000"/>
                <w:sz w:val="21"/>
                <w:szCs w:val="21"/>
                <w:highlight w:val="none"/>
              </w:rPr>
              <w:t>技术条款的符合性</w:t>
            </w:r>
          </w:p>
        </w:tc>
        <w:tc>
          <w:tcPr>
            <w:tcW w:w="505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供应商所响应产品每满足一项用户需求书“</w:t>
            </w:r>
            <w:r>
              <w:rPr>
                <w:rFonts w:hint="eastAsia" w:ascii="仿宋" w:hAnsi="仿宋" w:eastAsia="仿宋" w:cs="仿宋"/>
                <w:color w:val="000000"/>
                <w:sz w:val="21"/>
                <w:szCs w:val="21"/>
                <w:highlight w:val="none"/>
                <w:lang w:val="en-US" w:eastAsia="zh-CN"/>
              </w:rPr>
              <w:t>氧气终端配置</w:t>
            </w:r>
            <w:r>
              <w:rPr>
                <w:rFonts w:hint="eastAsia" w:ascii="仿宋" w:hAnsi="仿宋" w:eastAsia="仿宋" w:cs="仿宋"/>
                <w:color w:val="000000"/>
                <w:sz w:val="21"/>
                <w:szCs w:val="21"/>
                <w:highlight w:val="none"/>
              </w:rPr>
              <w:t>”中</w:t>
            </w:r>
            <w:r>
              <w:rPr>
                <w:rFonts w:hint="eastAsia" w:ascii="仿宋" w:hAnsi="仿宋" w:eastAsia="仿宋" w:cs="仿宋"/>
                <w:color w:val="000000"/>
                <w:sz w:val="21"/>
                <w:szCs w:val="21"/>
                <w:highlight w:val="none"/>
                <w:lang w:eastAsia="zh-CN"/>
              </w:rPr>
              <w:t>“终端前级”“</w:t>
            </w:r>
            <w:r>
              <w:rPr>
                <w:rFonts w:hint="eastAsia" w:ascii="仿宋" w:hAnsi="仿宋" w:eastAsia="仿宋" w:cs="仿宋"/>
                <w:color w:val="000000"/>
                <w:sz w:val="21"/>
                <w:szCs w:val="21"/>
                <w:highlight w:val="none"/>
                <w:lang w:val="en-US" w:eastAsia="zh-CN"/>
              </w:rPr>
              <w:t>终端</w:t>
            </w:r>
            <w:r>
              <w:rPr>
                <w:rFonts w:hint="eastAsia" w:ascii="仿宋" w:hAnsi="仿宋" w:eastAsia="仿宋" w:cs="仿宋"/>
                <w:color w:val="000000"/>
                <w:sz w:val="21"/>
                <w:szCs w:val="21"/>
                <w:highlight w:val="none"/>
                <w:lang w:eastAsia="zh-CN"/>
              </w:rPr>
              <w:t>后级”</w:t>
            </w:r>
            <w:r>
              <w:rPr>
                <w:rFonts w:hint="eastAsia" w:ascii="仿宋" w:hAnsi="仿宋" w:eastAsia="仿宋" w:cs="仿宋"/>
                <w:color w:val="000000"/>
                <w:sz w:val="21"/>
                <w:szCs w:val="21"/>
                <w:highlight w:val="none"/>
              </w:rPr>
              <w:t>的技术要求（共</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项），得1分，合计</w:t>
            </w:r>
            <w:r>
              <w:rPr>
                <w:rFonts w:hint="eastAsia" w:ascii="仿宋" w:hAnsi="仿宋" w:eastAsia="仿宋" w:cs="仿宋"/>
                <w:color w:val="000000"/>
                <w:sz w:val="21"/>
                <w:szCs w:val="21"/>
                <w:highlight w:val="none"/>
                <w:lang w:val="en-US" w:eastAsia="zh-CN"/>
              </w:rPr>
              <w:t>4</w:t>
            </w:r>
            <w:r>
              <w:rPr>
                <w:rFonts w:hint="eastAsia" w:ascii="仿宋" w:hAnsi="仿宋" w:eastAsia="仿宋" w:cs="仿宋"/>
                <w:color w:val="000000"/>
                <w:sz w:val="21"/>
                <w:szCs w:val="21"/>
                <w:highlight w:val="none"/>
              </w:rPr>
              <w:t>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color w:val="000000"/>
                <w:sz w:val="21"/>
                <w:szCs w:val="21"/>
                <w:highlight w:val="none"/>
              </w:rPr>
              <w:t>提供响应产品彩页或相应技术参数的厂家使用说明书作为技术证明文件，否则评审委员会有权视相应技术参数响应不符合比选要求（如厂家的产品使用说明书为英文版，请同时提供中文版）。</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0"/>
                <w:sz w:val="21"/>
                <w:szCs w:val="21"/>
              </w:rPr>
              <w:t>售后服务</w:t>
            </w:r>
          </w:p>
        </w:tc>
        <w:tc>
          <w:tcPr>
            <w:tcW w:w="505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kern w:val="0"/>
                <w:sz w:val="21"/>
                <w:szCs w:val="21"/>
              </w:rPr>
            </w:pPr>
            <w:r>
              <w:rPr>
                <w:rFonts w:hint="eastAsia" w:ascii="仿宋" w:hAnsi="仿宋" w:eastAsia="仿宋" w:cs="仿宋"/>
                <w:b w:val="0"/>
                <w:bCs w:val="0"/>
                <w:color w:val="000000"/>
                <w:kern w:val="0"/>
                <w:sz w:val="21"/>
                <w:szCs w:val="21"/>
              </w:rPr>
              <w:t>根据</w:t>
            </w:r>
            <w:r>
              <w:rPr>
                <w:rFonts w:hint="eastAsia" w:ascii="仿宋" w:hAnsi="仿宋" w:eastAsia="仿宋" w:cs="仿宋"/>
                <w:b w:val="0"/>
                <w:bCs w:val="0"/>
                <w:color w:val="000000"/>
                <w:kern w:val="0"/>
                <w:sz w:val="21"/>
                <w:szCs w:val="21"/>
                <w:lang w:val="en-US" w:eastAsia="zh-CN"/>
              </w:rPr>
              <w:t>供应商</w:t>
            </w:r>
            <w:r>
              <w:rPr>
                <w:rFonts w:hint="eastAsia" w:ascii="仿宋" w:hAnsi="仿宋" w:eastAsia="仿宋" w:cs="仿宋"/>
                <w:b w:val="0"/>
                <w:bCs w:val="0"/>
                <w:color w:val="000000"/>
                <w:kern w:val="0"/>
                <w:sz w:val="21"/>
                <w:szCs w:val="21"/>
              </w:rPr>
              <w:t>的</w:t>
            </w:r>
            <w:r>
              <w:rPr>
                <w:rFonts w:hint="eastAsia" w:ascii="仿宋" w:hAnsi="仿宋" w:eastAsia="仿宋" w:cs="仿宋"/>
                <w:b w:val="0"/>
                <w:bCs w:val="0"/>
                <w:color w:val="000000"/>
                <w:kern w:val="0"/>
                <w:sz w:val="21"/>
                <w:szCs w:val="21"/>
                <w:lang w:val="en-US" w:eastAsia="zh-CN"/>
              </w:rPr>
              <w:t>售后服务方案</w:t>
            </w:r>
            <w:r>
              <w:rPr>
                <w:rFonts w:hint="eastAsia" w:ascii="仿宋" w:hAnsi="仿宋" w:eastAsia="仿宋" w:cs="仿宋"/>
                <w:b w:val="0"/>
                <w:bCs w:val="0"/>
                <w:color w:val="000000"/>
                <w:kern w:val="0"/>
                <w:sz w:val="21"/>
                <w:szCs w:val="21"/>
              </w:rPr>
              <w:t>作为评审依据</w:t>
            </w:r>
            <w:r>
              <w:rPr>
                <w:rFonts w:hint="eastAsia" w:ascii="仿宋" w:hAnsi="仿宋" w:eastAsia="仿宋" w:cs="仿宋"/>
                <w:kern w:val="0"/>
                <w:sz w:val="21"/>
                <w:szCs w:val="21"/>
              </w:rPr>
              <w:t>(包括质保期、快速响应时间等)</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按照方案</w:t>
            </w:r>
            <w:r>
              <w:rPr>
                <w:rFonts w:hint="eastAsia" w:ascii="仿宋" w:hAnsi="仿宋" w:eastAsia="仿宋" w:cs="仿宋"/>
                <w:kern w:val="0"/>
                <w:sz w:val="21"/>
                <w:szCs w:val="21"/>
              </w:rPr>
              <w:t>是否完善具体，各阶段服务计划是否详尽进行综合评议及打分：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质保期优于用户需求，</w:t>
            </w:r>
            <w:r>
              <w:rPr>
                <w:rFonts w:hint="eastAsia" w:ascii="仿宋" w:hAnsi="仿宋" w:eastAsia="仿宋" w:cs="仿宋"/>
                <w:kern w:val="0"/>
                <w:sz w:val="21"/>
                <w:szCs w:val="21"/>
                <w:lang w:eastAsia="zh-CN"/>
              </w:rPr>
              <w:t>在</w:t>
            </w:r>
            <w:r>
              <w:rPr>
                <w:rFonts w:hint="eastAsia" w:ascii="仿宋" w:hAnsi="仿宋" w:eastAsia="仿宋" w:cs="仿宋"/>
                <w:kern w:val="0"/>
                <w:sz w:val="21"/>
                <w:szCs w:val="21"/>
                <w:lang w:val="en-US" w:eastAsia="zh-CN"/>
              </w:rPr>
              <w:t>用户需求基础上</w:t>
            </w:r>
            <w:r>
              <w:rPr>
                <w:rFonts w:hint="eastAsia" w:ascii="仿宋" w:hAnsi="仿宋" w:eastAsia="仿宋" w:cs="仿宋"/>
                <w:kern w:val="0"/>
                <w:sz w:val="21"/>
                <w:szCs w:val="21"/>
              </w:rPr>
              <w:t>每增加一年得1分，最多得2分；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①</w:t>
            </w:r>
            <w:r>
              <w:rPr>
                <w:rFonts w:hint="eastAsia" w:ascii="仿宋" w:hAnsi="仿宋" w:eastAsia="仿宋" w:cs="仿宋"/>
                <w:b w:val="0"/>
                <w:bCs w:val="0"/>
                <w:kern w:val="0"/>
                <w:sz w:val="21"/>
                <w:szCs w:val="21"/>
              </w:rPr>
              <w:t>售后服务保障方案完善全面，应急维修时间安排合理科学，培训计划及安排全面合理，整体可行性高、操作性强，得</w:t>
            </w:r>
            <w:r>
              <w:rPr>
                <w:rFonts w:hint="eastAsia" w:ascii="仿宋" w:hAnsi="仿宋" w:eastAsia="仿宋" w:cs="仿宋"/>
                <w:b w:val="0"/>
                <w:bCs w:val="0"/>
                <w:kern w:val="0"/>
                <w:sz w:val="21"/>
                <w:szCs w:val="21"/>
                <w:lang w:val="en-US" w:eastAsia="zh-CN"/>
              </w:rPr>
              <w:t>4</w:t>
            </w:r>
            <w:r>
              <w:rPr>
                <w:rFonts w:hint="eastAsia" w:ascii="仿宋" w:hAnsi="仿宋" w:eastAsia="仿宋" w:cs="仿宋"/>
                <w:b w:val="0"/>
                <w:bCs w:val="0"/>
                <w:kern w:val="0"/>
                <w:sz w:val="21"/>
                <w:szCs w:val="21"/>
              </w:rPr>
              <w:t>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②</w:t>
            </w:r>
            <w:r>
              <w:rPr>
                <w:rFonts w:hint="eastAsia" w:ascii="仿宋" w:hAnsi="仿宋" w:eastAsia="仿宋" w:cs="仿宋"/>
                <w:b w:val="0"/>
                <w:bCs w:val="0"/>
                <w:kern w:val="0"/>
                <w:sz w:val="21"/>
                <w:szCs w:val="21"/>
              </w:rPr>
              <w:t>售后服务保障方案较为完善全面，应急维修时间安排较为合理科学，培训计划及安排较为全面合理，整体可行性、操作性较强，得</w:t>
            </w:r>
            <w:r>
              <w:rPr>
                <w:rFonts w:hint="eastAsia" w:ascii="仿宋" w:hAnsi="仿宋" w:eastAsia="仿宋" w:cs="仿宋"/>
                <w:b w:val="0"/>
                <w:bCs w:val="0"/>
                <w:kern w:val="0"/>
                <w:sz w:val="21"/>
                <w:szCs w:val="21"/>
                <w:lang w:val="en-US" w:eastAsia="zh-CN"/>
              </w:rPr>
              <w:t>2</w:t>
            </w:r>
            <w:r>
              <w:rPr>
                <w:rFonts w:hint="eastAsia" w:ascii="仿宋" w:hAnsi="仿宋" w:eastAsia="仿宋" w:cs="仿宋"/>
                <w:b w:val="0"/>
                <w:bCs w:val="0"/>
                <w:kern w:val="0"/>
                <w:sz w:val="21"/>
                <w:szCs w:val="21"/>
              </w:rPr>
              <w:t>分；</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③</w:t>
            </w:r>
            <w:r>
              <w:rPr>
                <w:rFonts w:hint="eastAsia" w:ascii="仿宋" w:hAnsi="仿宋" w:eastAsia="仿宋" w:cs="仿宋"/>
                <w:b w:val="0"/>
                <w:bCs w:val="0"/>
                <w:kern w:val="0"/>
                <w:sz w:val="21"/>
                <w:szCs w:val="21"/>
              </w:rPr>
              <w:t>售后服务保障方案不太完善全面，应急维修时间安排不太合理科学，培训计划及培训不太全面合理，只具有一定的可行性、操作性，得 1 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kern w:val="0"/>
                <w:sz w:val="21"/>
                <w:szCs w:val="21"/>
              </w:rPr>
            </w:pPr>
            <w:r>
              <w:rPr>
                <w:rFonts w:hint="eastAsia" w:ascii="仿宋" w:hAnsi="仿宋" w:eastAsia="仿宋" w:cs="仿宋"/>
                <w:b w:val="0"/>
                <w:bCs w:val="0"/>
                <w:kern w:val="0"/>
                <w:sz w:val="21"/>
                <w:szCs w:val="21"/>
                <w:lang w:val="en-US" w:eastAsia="zh-CN"/>
              </w:rPr>
              <w:t>④</w:t>
            </w:r>
            <w:r>
              <w:rPr>
                <w:rFonts w:hint="eastAsia" w:ascii="仿宋" w:hAnsi="仿宋" w:eastAsia="仿宋" w:cs="仿宋"/>
                <w:b w:val="0"/>
                <w:bCs w:val="0"/>
                <w:kern w:val="0"/>
                <w:sz w:val="21"/>
                <w:szCs w:val="21"/>
              </w:rPr>
              <w:t>售后服务保障方案片面粗略，应急维修时间安排不合理，培训计划及安排不合理，可行性、操作性较低，或无提供售后服务和技术培训方案不得分。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b/>
                <w:bCs/>
                <w:kern w:val="0"/>
                <w:sz w:val="21"/>
                <w:szCs w:val="21"/>
              </w:rPr>
              <w:t>注：需提供售后服务承诺函并加盖厂家公章，否则不得分。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04" w:type="dxa"/>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履约能力</w:t>
            </w:r>
          </w:p>
        </w:tc>
        <w:tc>
          <w:tcPr>
            <w:tcW w:w="5054" w:type="dxa"/>
            <w:vAlign w:val="center"/>
          </w:tcPr>
          <w:p>
            <w:pPr>
              <w:pStyle w:val="56"/>
              <w:keepNext w:val="0"/>
              <w:keepLines w:val="0"/>
              <w:pageBreakBefore w:val="0"/>
              <w:suppressLineNumbers w:val="0"/>
              <w:tabs>
                <w:tab w:val="left" w:pos="993"/>
                <w:tab w:val="left" w:pos="1134"/>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rPr>
              <w:t>根据</w:t>
            </w:r>
            <w:r>
              <w:rPr>
                <w:rFonts w:hint="eastAsia" w:ascii="仿宋" w:hAnsi="仿宋" w:eastAsia="仿宋" w:cs="仿宋"/>
                <w:b w:val="0"/>
                <w:bCs w:val="0"/>
                <w:color w:val="000000"/>
                <w:kern w:val="0"/>
                <w:sz w:val="21"/>
                <w:szCs w:val="21"/>
                <w:lang w:val="en-US" w:eastAsia="zh-CN"/>
              </w:rPr>
              <w:t>供应商</w:t>
            </w:r>
            <w:r>
              <w:rPr>
                <w:rFonts w:hint="eastAsia" w:ascii="仿宋" w:hAnsi="仿宋" w:eastAsia="仿宋" w:cs="仿宋"/>
                <w:b w:val="0"/>
                <w:bCs w:val="0"/>
                <w:color w:val="000000"/>
                <w:kern w:val="0"/>
                <w:sz w:val="21"/>
                <w:szCs w:val="21"/>
              </w:rPr>
              <w:t>的履约能力作为评审依据，包括但不限于以下内容</w:t>
            </w:r>
            <w:r>
              <w:rPr>
                <w:rFonts w:hint="eastAsia" w:ascii="仿宋" w:hAnsi="仿宋" w:eastAsia="仿宋" w:cs="仿宋"/>
                <w:b w:val="0"/>
                <w:bCs w:val="0"/>
                <w:color w:val="000000"/>
                <w:kern w:val="0"/>
                <w:sz w:val="21"/>
                <w:szCs w:val="21"/>
                <w:lang w:eastAsia="zh-CN"/>
              </w:rPr>
              <w:t>：</w:t>
            </w:r>
          </w:p>
          <w:p>
            <w:pPr>
              <w:pStyle w:val="56"/>
              <w:keepNext w:val="0"/>
              <w:keepLines w:val="0"/>
              <w:pageBreakBefore w:val="0"/>
              <w:numPr>
                <w:ilvl w:val="0"/>
                <w:numId w:val="19"/>
              </w:numPr>
              <w:suppressLineNumbers w:val="0"/>
              <w:tabs>
                <w:tab w:val="left" w:pos="993"/>
                <w:tab w:val="left" w:pos="1134"/>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lang w:val="en-US" w:eastAsia="zh-CN"/>
              </w:rPr>
              <w:t>产品介绍；</w:t>
            </w:r>
          </w:p>
          <w:p>
            <w:pPr>
              <w:pStyle w:val="56"/>
              <w:keepNext w:val="0"/>
              <w:keepLines w:val="0"/>
              <w:pageBreakBefore w:val="0"/>
              <w:numPr>
                <w:ilvl w:val="0"/>
                <w:numId w:val="19"/>
              </w:numPr>
              <w:suppressLineNumbers w:val="0"/>
              <w:tabs>
                <w:tab w:val="left" w:pos="993"/>
                <w:tab w:val="left" w:pos="1134"/>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特色服务方案</w:t>
            </w:r>
            <w:r>
              <w:rPr>
                <w:rFonts w:hint="eastAsia" w:ascii="仿宋" w:hAnsi="仿宋" w:eastAsia="仿宋" w:cs="仿宋"/>
                <w:b w:val="0"/>
                <w:bCs w:val="0"/>
                <w:color w:val="000000"/>
                <w:kern w:val="0"/>
                <w:sz w:val="21"/>
                <w:szCs w:val="21"/>
                <w:lang w:eastAsia="zh-CN"/>
              </w:rPr>
              <w:t>；</w:t>
            </w:r>
          </w:p>
          <w:p>
            <w:pPr>
              <w:pStyle w:val="56"/>
              <w:keepNext w:val="0"/>
              <w:keepLines w:val="0"/>
              <w:pageBreakBefore w:val="0"/>
              <w:numPr>
                <w:ilvl w:val="0"/>
                <w:numId w:val="19"/>
              </w:numPr>
              <w:suppressLineNumbers w:val="0"/>
              <w:tabs>
                <w:tab w:val="left" w:pos="993"/>
                <w:tab w:val="left" w:pos="1134"/>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rPr>
              <w:t>安全管理方案</w:t>
            </w:r>
            <w:r>
              <w:rPr>
                <w:rFonts w:hint="eastAsia" w:ascii="仿宋" w:hAnsi="仿宋" w:eastAsia="仿宋" w:cs="仿宋"/>
                <w:b w:val="0"/>
                <w:bCs w:val="0"/>
                <w:color w:val="000000"/>
                <w:kern w:val="0"/>
                <w:sz w:val="21"/>
                <w:szCs w:val="21"/>
                <w:lang w:eastAsia="zh-CN"/>
              </w:rPr>
              <w:t>；</w:t>
            </w:r>
          </w:p>
          <w:p>
            <w:pPr>
              <w:pStyle w:val="56"/>
              <w:keepNext w:val="0"/>
              <w:keepLines w:val="0"/>
              <w:pageBreakBefore w:val="0"/>
              <w:numPr>
                <w:ilvl w:val="0"/>
                <w:numId w:val="19"/>
              </w:numPr>
              <w:suppressLineNumbers w:val="0"/>
              <w:tabs>
                <w:tab w:val="left" w:pos="993"/>
                <w:tab w:val="left" w:pos="1134"/>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rPr>
              <w:t>安装调试方案</w:t>
            </w:r>
            <w:r>
              <w:rPr>
                <w:rFonts w:hint="eastAsia" w:ascii="仿宋" w:hAnsi="仿宋" w:eastAsia="仿宋" w:cs="仿宋"/>
                <w:b w:val="0"/>
                <w:bCs w:val="0"/>
                <w:color w:val="000000"/>
                <w:kern w:val="0"/>
                <w:sz w:val="21"/>
                <w:szCs w:val="21"/>
                <w:lang w:eastAsia="zh-CN"/>
              </w:rPr>
              <w:t>；</w:t>
            </w:r>
          </w:p>
          <w:p>
            <w:pPr>
              <w:pStyle w:val="56"/>
              <w:keepNext w:val="0"/>
              <w:keepLines w:val="0"/>
              <w:pageBreakBefore w:val="0"/>
              <w:numPr>
                <w:ilvl w:val="0"/>
                <w:numId w:val="19"/>
              </w:numPr>
              <w:suppressLineNumbers w:val="0"/>
              <w:tabs>
                <w:tab w:val="left" w:pos="993"/>
                <w:tab w:val="left" w:pos="1134"/>
              </w:tabs>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仿宋" w:hAnsi="仿宋" w:eastAsia="仿宋" w:cs="仿宋"/>
                <w:b w:val="0"/>
                <w:bCs w:val="0"/>
                <w:color w:val="000000"/>
                <w:kern w:val="0"/>
                <w:sz w:val="21"/>
                <w:szCs w:val="21"/>
                <w:lang w:eastAsia="zh-CN"/>
              </w:rPr>
            </w:pPr>
            <w:r>
              <w:rPr>
                <w:rFonts w:hint="eastAsia" w:ascii="仿宋" w:hAnsi="仿宋" w:eastAsia="仿宋" w:cs="仿宋"/>
                <w:b w:val="0"/>
                <w:bCs w:val="0"/>
                <w:color w:val="000000"/>
                <w:kern w:val="0"/>
                <w:sz w:val="21"/>
                <w:szCs w:val="21"/>
              </w:rPr>
              <w:t>应急处理方案</w:t>
            </w:r>
            <w:r>
              <w:rPr>
                <w:rFonts w:hint="eastAsia" w:ascii="仿宋" w:hAnsi="仿宋" w:eastAsia="仿宋" w:cs="仿宋"/>
                <w:b w:val="0"/>
                <w:bCs w:val="0"/>
                <w:color w:val="000000"/>
                <w:kern w:val="0"/>
                <w:sz w:val="21"/>
                <w:szCs w:val="21"/>
                <w:lang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color w:val="000000"/>
                <w:kern w:val="0"/>
                <w:sz w:val="21"/>
                <w:szCs w:val="21"/>
              </w:rPr>
            </w:pPr>
            <w:r>
              <w:rPr>
                <w:rFonts w:hint="eastAsia" w:ascii="仿宋" w:hAnsi="仿宋" w:eastAsia="仿宋" w:cs="仿宋"/>
                <w:b/>
                <w:color w:val="000000"/>
                <w:kern w:val="0"/>
                <w:sz w:val="21"/>
                <w:szCs w:val="21"/>
              </w:rPr>
              <w:t>评审标准：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kern w:val="0"/>
                <w:sz w:val="21"/>
                <w:szCs w:val="21"/>
              </w:rPr>
            </w:pP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lang w:eastAsia="zh-CN"/>
              </w:rPr>
              <w:t>）</w:t>
            </w:r>
            <w:r>
              <w:rPr>
                <w:rFonts w:hint="eastAsia" w:ascii="仿宋" w:hAnsi="仿宋" w:eastAsia="仿宋" w:cs="仿宋"/>
                <w:bCs/>
                <w:color w:val="000000"/>
                <w:kern w:val="0"/>
                <w:sz w:val="21"/>
                <w:szCs w:val="21"/>
              </w:rPr>
              <w:t>以上</w:t>
            </w:r>
            <w:r>
              <w:rPr>
                <w:rFonts w:hint="eastAsia" w:ascii="仿宋" w:hAnsi="仿宋" w:eastAsia="仿宋" w:cs="仿宋"/>
                <w:bCs/>
                <w:color w:val="000000"/>
                <w:kern w:val="0"/>
                <w:sz w:val="21"/>
                <w:szCs w:val="21"/>
                <w:lang w:val="en-US" w:eastAsia="zh-CN"/>
              </w:rPr>
              <w:t>每提供一项内容</w:t>
            </w:r>
            <w:r>
              <w:rPr>
                <w:rFonts w:hint="eastAsia" w:ascii="仿宋" w:hAnsi="仿宋" w:eastAsia="仿宋" w:cs="仿宋"/>
                <w:bCs/>
                <w:color w:val="000000"/>
                <w:kern w:val="0"/>
                <w:sz w:val="21"/>
                <w:szCs w:val="21"/>
              </w:rPr>
              <w:t>得</w:t>
            </w:r>
            <w:r>
              <w:rPr>
                <w:rFonts w:hint="eastAsia" w:ascii="仿宋" w:hAnsi="仿宋" w:eastAsia="仿宋" w:cs="仿宋"/>
                <w:bCs/>
                <w:color w:val="000000"/>
                <w:kern w:val="0"/>
                <w:sz w:val="21"/>
                <w:szCs w:val="21"/>
                <w:lang w:val="en-US" w:eastAsia="zh-CN"/>
              </w:rPr>
              <w:t>1</w:t>
            </w:r>
            <w:r>
              <w:rPr>
                <w:rFonts w:hint="eastAsia" w:ascii="仿宋" w:hAnsi="仿宋" w:eastAsia="仿宋" w:cs="仿宋"/>
                <w:bCs/>
                <w:color w:val="000000"/>
                <w:kern w:val="0"/>
                <w:sz w:val="21"/>
                <w:szCs w:val="21"/>
              </w:rPr>
              <w:t>分，最高得</w:t>
            </w:r>
            <w:r>
              <w:rPr>
                <w:rFonts w:hint="eastAsia" w:ascii="仿宋" w:hAnsi="仿宋" w:eastAsia="仿宋" w:cs="仿宋"/>
                <w:bCs/>
                <w:color w:val="000000"/>
                <w:kern w:val="0"/>
                <w:sz w:val="21"/>
                <w:szCs w:val="21"/>
                <w:lang w:val="en-US" w:eastAsia="zh-CN"/>
              </w:rPr>
              <w:t>5</w:t>
            </w:r>
            <w:r>
              <w:rPr>
                <w:rFonts w:hint="eastAsia" w:ascii="仿宋" w:hAnsi="仿宋" w:eastAsia="仿宋" w:cs="仿宋"/>
                <w:bCs/>
                <w:color w:val="000000"/>
                <w:kern w:val="0"/>
                <w:sz w:val="21"/>
                <w:szCs w:val="21"/>
              </w:rPr>
              <w:t>分，</w:t>
            </w:r>
            <w:r>
              <w:rPr>
                <w:rFonts w:hint="eastAsia" w:ascii="仿宋" w:hAnsi="仿宋" w:eastAsia="仿宋" w:cs="仿宋"/>
                <w:bCs/>
                <w:color w:val="000000"/>
                <w:kern w:val="0"/>
                <w:sz w:val="21"/>
                <w:szCs w:val="21"/>
                <w:lang w:val="en-US" w:eastAsia="zh-CN"/>
              </w:rPr>
              <w:t>不提供</w:t>
            </w:r>
            <w:r>
              <w:rPr>
                <w:rFonts w:hint="eastAsia" w:ascii="仿宋" w:hAnsi="仿宋" w:eastAsia="仿宋" w:cs="仿宋"/>
                <w:bCs/>
                <w:color w:val="000000"/>
                <w:kern w:val="0"/>
                <w:sz w:val="21"/>
                <w:szCs w:val="21"/>
              </w:rPr>
              <w:t>不得分。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sz w:val="21"/>
                <w:szCs w:val="21"/>
              </w:rPr>
            </w:pP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2</w:t>
            </w:r>
            <w:r>
              <w:rPr>
                <w:rFonts w:hint="eastAsia" w:ascii="仿宋" w:hAnsi="仿宋" w:eastAsia="仿宋" w:cs="仿宋"/>
                <w:b/>
                <w:bCs/>
                <w:sz w:val="21"/>
                <w:szCs w:val="21"/>
                <w:lang w:eastAsia="zh-CN"/>
              </w:rPr>
              <w:t>）</w:t>
            </w:r>
            <w:r>
              <w:rPr>
                <w:rFonts w:hint="eastAsia" w:ascii="仿宋" w:hAnsi="仿宋" w:eastAsia="仿宋" w:cs="仿宋"/>
                <w:b/>
                <w:bCs/>
                <w:sz w:val="21"/>
                <w:szCs w:val="21"/>
              </w:rPr>
              <w:t>在此基础上，根据各供应商的具体响应情况按照以下内容进一步评审：</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①</w:t>
            </w:r>
            <w:r>
              <w:rPr>
                <w:rFonts w:hint="eastAsia" w:ascii="仿宋" w:hAnsi="仿宋" w:eastAsia="仿宋" w:cs="仿宋"/>
                <w:sz w:val="21"/>
                <w:szCs w:val="21"/>
              </w:rPr>
              <w:t>方案内容响应全面、具体；</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②</w:t>
            </w:r>
            <w:r>
              <w:rPr>
                <w:rFonts w:hint="eastAsia" w:ascii="仿宋" w:hAnsi="仿宋" w:eastAsia="仿宋" w:cs="仿宋"/>
                <w:sz w:val="21"/>
                <w:szCs w:val="21"/>
              </w:rPr>
              <w:t>方案内容响应针对性强；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③</w:t>
            </w:r>
            <w:r>
              <w:rPr>
                <w:rFonts w:hint="eastAsia" w:ascii="仿宋" w:hAnsi="仿宋" w:eastAsia="仿宋" w:cs="仿宋"/>
                <w:sz w:val="21"/>
                <w:szCs w:val="21"/>
              </w:rPr>
              <w:t>方案内容响应科学合理、符合项目实际情况；</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④</w:t>
            </w:r>
            <w:r>
              <w:rPr>
                <w:rFonts w:hint="eastAsia" w:ascii="仿宋" w:hAnsi="仿宋" w:eastAsia="仿宋" w:cs="仿宋"/>
                <w:sz w:val="21"/>
                <w:szCs w:val="21"/>
              </w:rPr>
              <w:t>方案内容响应可操作性强。</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每一小项</w:t>
            </w:r>
            <w:r>
              <w:rPr>
                <w:rFonts w:hint="eastAsia" w:ascii="仿宋" w:hAnsi="仿宋" w:eastAsia="仿宋" w:cs="仿宋"/>
                <w:sz w:val="21"/>
                <w:szCs w:val="21"/>
              </w:rPr>
              <w:t>满足以上四项要求的评价为优，得</w:t>
            </w:r>
            <w:r>
              <w:rPr>
                <w:rFonts w:hint="eastAsia" w:ascii="仿宋" w:hAnsi="仿宋" w:eastAsia="仿宋" w:cs="仿宋"/>
                <w:sz w:val="21"/>
                <w:szCs w:val="21"/>
                <w:lang w:val="en-US" w:eastAsia="zh-CN"/>
              </w:rPr>
              <w:t>3</w:t>
            </w:r>
            <w:r>
              <w:rPr>
                <w:rFonts w:hint="eastAsia" w:ascii="仿宋" w:hAnsi="仿宋" w:eastAsia="仿宋" w:cs="仿宋"/>
                <w:sz w:val="21"/>
                <w:szCs w:val="21"/>
              </w:rPr>
              <w:t>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每一小项</w:t>
            </w:r>
            <w:r>
              <w:rPr>
                <w:rFonts w:hint="eastAsia" w:ascii="仿宋" w:hAnsi="仿宋" w:eastAsia="仿宋" w:cs="仿宋"/>
                <w:sz w:val="21"/>
                <w:szCs w:val="21"/>
              </w:rPr>
              <w:t>满足以上三项要求的评价为良，得</w:t>
            </w:r>
            <w:r>
              <w:rPr>
                <w:rFonts w:hint="eastAsia" w:ascii="仿宋" w:hAnsi="仿宋" w:eastAsia="仿宋" w:cs="仿宋"/>
                <w:sz w:val="21"/>
                <w:szCs w:val="21"/>
                <w:lang w:val="en-US" w:eastAsia="zh-CN"/>
              </w:rPr>
              <w:t>2</w:t>
            </w:r>
            <w:r>
              <w:rPr>
                <w:rFonts w:hint="eastAsia" w:ascii="仿宋" w:hAnsi="仿宋" w:eastAsia="仿宋" w:cs="仿宋"/>
                <w:sz w:val="21"/>
                <w:szCs w:val="21"/>
              </w:rPr>
              <w:t>分。</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每一小项</w:t>
            </w:r>
            <w:r>
              <w:rPr>
                <w:rFonts w:hint="eastAsia" w:ascii="仿宋" w:hAnsi="仿宋" w:eastAsia="仿宋" w:cs="仿宋"/>
                <w:sz w:val="21"/>
                <w:szCs w:val="21"/>
              </w:rPr>
              <w:t>满足以上二项要求的评价为中，得</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bCs/>
                <w:kern w:val="0"/>
                <w:sz w:val="21"/>
                <w:szCs w:val="21"/>
              </w:rPr>
            </w:pPr>
            <w:r>
              <w:rPr>
                <w:rFonts w:hint="eastAsia" w:ascii="仿宋" w:hAnsi="仿宋" w:eastAsia="仿宋" w:cs="仿宋"/>
                <w:sz w:val="21"/>
                <w:szCs w:val="21"/>
              </w:rPr>
              <w:t>其它情况的评价为差，不得分。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29"/>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29"/>
        <w:ind w:left="0" w:leftChars="0" w:firstLine="0" w:firstLineChars="0"/>
        <w:rPr>
          <w:rFonts w:hint="eastAsia" w:ascii="仿宋" w:hAnsi="仿宋" w:eastAsia="仿宋" w:cs="仿宋"/>
          <w:highlight w:val="none"/>
        </w:rPr>
      </w:pPr>
    </w:p>
    <w:p>
      <w:pPr>
        <w:pStyle w:val="29"/>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1、采购需求中带▲号的重要技术条款的符合性</w:t>
      </w:r>
      <w:r>
        <w:rPr>
          <w:rFonts w:hint="eastAsia" w:ascii="仿宋" w:hAnsi="仿宋" w:eastAsia="仿宋" w:cs="仿宋"/>
          <w:b/>
          <w:bCs w:val="0"/>
          <w:sz w:val="22"/>
          <w:szCs w:val="22"/>
          <w:highlight w:val="none"/>
          <w:lang w:val="en-US" w:eastAsia="zh-CN"/>
        </w:rPr>
        <w:t>（如有）</w:t>
      </w:r>
    </w:p>
    <w:p>
      <w:pPr>
        <w:pStyle w:val="2"/>
        <w:rPr>
          <w:rFonts w:hint="eastAsia" w:ascii="仿宋" w:hAnsi="仿宋" w:eastAsia="仿宋" w:cs="仿宋"/>
          <w:sz w:val="21"/>
          <w:szCs w:val="21"/>
          <w:highlight w:val="none"/>
        </w:rPr>
      </w:pPr>
    </w:p>
    <w:p>
      <w:pPr>
        <w:pStyle w:val="2"/>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注：提供省级或以上食品药品监督管理部门出具的产品检测报告。</w:t>
      </w:r>
    </w:p>
    <w:p>
      <w:pPr>
        <w:pStyle w:val="2"/>
        <w:rPr>
          <w:rFonts w:hint="default" w:ascii="宋体" w:hAnsi="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2、采购需求中对于终端前级、后级的技术条款的符合性</w:t>
      </w:r>
      <w:r>
        <w:rPr>
          <w:rFonts w:hint="eastAsia" w:ascii="仿宋" w:hAnsi="仿宋" w:eastAsia="仿宋" w:cs="仿宋"/>
          <w:b/>
          <w:bCs w:val="0"/>
          <w:sz w:val="22"/>
          <w:szCs w:val="22"/>
          <w:highlight w:val="none"/>
          <w:lang w:val="en-US" w:eastAsia="zh-CN"/>
        </w:rPr>
        <w:t>（如有）</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786"/>
        <w:gridCol w:w="2175"/>
        <w:gridCol w:w="2029"/>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2" w:type="dxa"/>
            <w:tcBorders>
              <w:top w:val="single" w:color="auto" w:sz="12" w:space="0"/>
              <w:bottom w:val="double" w:color="auto" w:sz="4" w:space="0"/>
            </w:tcBorders>
            <w:shd w:val="clear" w:color="auto" w:fill="EEECE1"/>
            <w:noWrap w:val="0"/>
            <w:vAlign w:val="center"/>
          </w:tcPr>
          <w:p>
            <w:pPr>
              <w:keepNext w:val="0"/>
              <w:keepLines w:val="0"/>
              <w:suppressLineNumbers w:val="0"/>
              <w:snapToGrid w:val="0"/>
              <w:spacing w:before="0" w:beforeAutospacing="0" w:after="0" w:afterAutospacing="0"/>
              <w:ind w:left="-71" w:leftChars="-34" w:right="-73" w:rightChars="-35"/>
              <w:jc w:val="center"/>
              <w:rPr>
                <w:rFonts w:hint="eastAsia" w:ascii="仿宋" w:hAnsi="仿宋" w:eastAsia="仿宋" w:cs="仿宋"/>
                <w:sz w:val="24"/>
              </w:rPr>
            </w:pPr>
            <w:r>
              <w:rPr>
                <w:rFonts w:hint="eastAsia" w:ascii="仿宋" w:hAnsi="仿宋" w:eastAsia="仿宋" w:cs="仿宋"/>
                <w:sz w:val="24"/>
              </w:rPr>
              <w:t>序号</w:t>
            </w:r>
          </w:p>
        </w:tc>
        <w:tc>
          <w:tcPr>
            <w:tcW w:w="2786" w:type="dxa"/>
            <w:tcBorders>
              <w:top w:val="single" w:color="auto" w:sz="12" w:space="0"/>
              <w:bottom w:val="double" w:color="auto" w:sz="4" w:space="0"/>
            </w:tcBorders>
            <w:shd w:val="clear" w:color="auto" w:fill="EEECE1"/>
            <w:noWrap w:val="0"/>
            <w:vAlign w:val="center"/>
          </w:tcPr>
          <w:p>
            <w:pPr>
              <w:keepNext w:val="0"/>
              <w:keepLines w:val="0"/>
              <w:suppressLineNumbers w:val="0"/>
              <w:snapToGrid w:val="0"/>
              <w:spacing w:before="0" w:beforeAutospacing="0" w:after="0" w:afterAutospacing="0"/>
              <w:ind w:left="-71" w:leftChars="-34" w:right="-73" w:rightChars="-35"/>
              <w:jc w:val="center"/>
              <w:rPr>
                <w:rFonts w:hint="eastAsia" w:ascii="仿宋" w:hAnsi="仿宋" w:eastAsia="仿宋" w:cs="仿宋"/>
                <w:sz w:val="24"/>
              </w:rPr>
            </w:pPr>
            <w:r>
              <w:rPr>
                <w:rFonts w:hint="eastAsia" w:ascii="仿宋" w:hAnsi="仿宋" w:eastAsia="仿宋" w:cs="仿宋"/>
                <w:sz w:val="24"/>
                <w:lang w:val="en-US" w:eastAsia="zh-CN"/>
              </w:rPr>
              <w:t>比选</w:t>
            </w:r>
            <w:r>
              <w:rPr>
                <w:rFonts w:hint="eastAsia" w:ascii="仿宋" w:hAnsi="仿宋" w:eastAsia="仿宋" w:cs="仿宋"/>
                <w:sz w:val="24"/>
              </w:rPr>
              <w:t>文件条款描述</w:t>
            </w:r>
          </w:p>
        </w:tc>
        <w:tc>
          <w:tcPr>
            <w:tcW w:w="2175" w:type="dxa"/>
            <w:tcBorders>
              <w:top w:val="single" w:color="auto" w:sz="12" w:space="0"/>
              <w:bottom w:val="double" w:color="auto" w:sz="4" w:space="0"/>
            </w:tcBorders>
            <w:shd w:val="clear" w:color="auto" w:fill="EEECE1"/>
            <w:noWrap w:val="0"/>
            <w:vAlign w:val="center"/>
          </w:tcPr>
          <w:p>
            <w:pPr>
              <w:keepNext w:val="0"/>
              <w:keepLines w:val="0"/>
              <w:suppressLineNumbers w:val="0"/>
              <w:snapToGrid w:val="0"/>
              <w:spacing w:before="0" w:beforeAutospacing="0" w:after="0" w:afterAutospacing="0"/>
              <w:ind w:left="-71" w:leftChars="-34" w:right="-73" w:rightChars="-35"/>
              <w:jc w:val="center"/>
              <w:rPr>
                <w:rFonts w:hint="eastAsia" w:ascii="仿宋" w:hAnsi="仿宋" w:eastAsia="仿宋" w:cs="仿宋"/>
                <w:sz w:val="24"/>
              </w:rPr>
            </w:pPr>
            <w:r>
              <w:rPr>
                <w:rFonts w:hint="eastAsia" w:ascii="仿宋" w:hAnsi="仿宋" w:eastAsia="仿宋" w:cs="仿宋"/>
                <w:sz w:val="24"/>
                <w:lang w:val="en-US" w:eastAsia="zh-CN"/>
              </w:rPr>
              <w:t>供应商</w:t>
            </w:r>
            <w:r>
              <w:rPr>
                <w:rFonts w:hint="eastAsia" w:ascii="仿宋" w:hAnsi="仿宋" w:eastAsia="仿宋" w:cs="仿宋"/>
                <w:sz w:val="24"/>
              </w:rPr>
              <w:t>响应描述</w:t>
            </w:r>
          </w:p>
        </w:tc>
        <w:tc>
          <w:tcPr>
            <w:tcW w:w="2029" w:type="dxa"/>
            <w:tcBorders>
              <w:top w:val="single" w:color="auto" w:sz="12" w:space="0"/>
              <w:bottom w:val="double" w:color="auto" w:sz="4" w:space="0"/>
            </w:tcBorders>
            <w:shd w:val="clear" w:color="auto" w:fill="EEECE1"/>
            <w:noWrap w:val="0"/>
            <w:vAlign w:val="center"/>
          </w:tcPr>
          <w:p>
            <w:pPr>
              <w:keepNext w:val="0"/>
              <w:keepLines w:val="0"/>
              <w:suppressLineNumbers w:val="0"/>
              <w:snapToGrid w:val="0"/>
              <w:spacing w:before="0" w:beforeAutospacing="0" w:after="0" w:afterAutospacing="0"/>
              <w:ind w:left="-71" w:leftChars="-34" w:right="-73" w:rightChars="-35"/>
              <w:jc w:val="center"/>
              <w:rPr>
                <w:rFonts w:hint="eastAsia" w:ascii="仿宋" w:hAnsi="仿宋" w:eastAsia="仿宋" w:cs="仿宋"/>
                <w:sz w:val="24"/>
              </w:rPr>
            </w:pPr>
            <w:r>
              <w:rPr>
                <w:rFonts w:hint="eastAsia" w:ascii="仿宋" w:hAnsi="仿宋" w:eastAsia="仿宋" w:cs="仿宋"/>
                <w:sz w:val="24"/>
              </w:rPr>
              <w:t>偏离情况说明</w:t>
            </w:r>
          </w:p>
        </w:tc>
        <w:tc>
          <w:tcPr>
            <w:tcW w:w="1344" w:type="dxa"/>
            <w:tcBorders>
              <w:top w:val="single" w:color="auto" w:sz="12" w:space="0"/>
              <w:bottom w:val="double" w:color="auto" w:sz="4" w:space="0"/>
            </w:tcBorders>
            <w:shd w:val="clear" w:color="auto" w:fill="EEECE1"/>
            <w:noWrap w:val="0"/>
            <w:vAlign w:val="center"/>
          </w:tcPr>
          <w:p>
            <w:pPr>
              <w:keepNext w:val="0"/>
              <w:keepLines w:val="0"/>
              <w:suppressLineNumbers w:val="0"/>
              <w:snapToGrid w:val="0"/>
              <w:spacing w:before="0" w:beforeAutospacing="0" w:after="0" w:afterAutospacing="0"/>
              <w:ind w:left="-71" w:leftChars="-34" w:right="-73" w:rightChars="-35"/>
              <w:jc w:val="center"/>
              <w:rPr>
                <w:rFonts w:hint="eastAsia" w:ascii="仿宋" w:hAnsi="仿宋" w:eastAsia="仿宋" w:cs="仿宋"/>
                <w:sz w:val="24"/>
              </w:rPr>
            </w:pPr>
            <w:r>
              <w:rPr>
                <w:rFonts w:hint="eastAsia" w:ascii="仿宋" w:hAnsi="仿宋" w:eastAsia="仿宋" w:cs="仿宋"/>
                <w:sz w:val="24"/>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noWrap w:val="0"/>
            <w:vAlign w:val="center"/>
          </w:tcPr>
          <w:p>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2786"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0"/>
                <w:szCs w:val="20"/>
              </w:rPr>
            </w:pPr>
            <w:r>
              <w:rPr>
                <w:rFonts w:hint="eastAsia" w:ascii="仿宋" w:hAnsi="仿宋" w:eastAsia="仿宋" w:cs="仿宋"/>
                <w:sz w:val="20"/>
                <w:szCs w:val="20"/>
              </w:rPr>
              <w:t>终端前级</w:t>
            </w:r>
            <w:r>
              <w:rPr>
                <w:rFonts w:hint="eastAsia" w:ascii="仿宋" w:hAnsi="仿宋" w:eastAsia="仿宋" w:cs="仿宋"/>
                <w:sz w:val="20"/>
                <w:szCs w:val="20"/>
                <w:lang w:eastAsia="zh-CN"/>
              </w:rPr>
              <w:t>：</w:t>
            </w:r>
            <w:r>
              <w:rPr>
                <w:rFonts w:hint="eastAsia" w:ascii="仿宋" w:hAnsi="仿宋" w:eastAsia="仿宋" w:cs="仿宋"/>
                <w:sz w:val="20"/>
                <w:szCs w:val="20"/>
              </w:rPr>
              <w:t>配置可拆卸金属压盖，色标满足GB50751-2012《医用气体工程技术规范》及YY/T 0801《医用气体管道系统终端》要求</w:t>
            </w:r>
            <w:r>
              <w:rPr>
                <w:rFonts w:hint="eastAsia" w:ascii="仿宋" w:hAnsi="仿宋" w:eastAsia="仿宋" w:cs="仿宋"/>
                <w:sz w:val="20"/>
                <w:szCs w:val="20"/>
                <w:lang w:eastAsia="zh-CN"/>
              </w:rPr>
              <w:t>。</w:t>
            </w:r>
          </w:p>
        </w:tc>
        <w:tc>
          <w:tcPr>
            <w:tcW w:w="217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c>
          <w:tcPr>
            <w:tcW w:w="2029"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c>
          <w:tcPr>
            <w:tcW w:w="134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noWrap w:val="0"/>
            <w:vAlign w:val="center"/>
          </w:tcPr>
          <w:p>
            <w:pPr>
              <w:keepNext w:val="0"/>
              <w:keepLines w:val="0"/>
              <w:numPr>
                <w:ilvl w:val="0"/>
                <w:numId w:val="0"/>
              </w:numPr>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2786"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0"/>
                <w:szCs w:val="20"/>
              </w:rPr>
            </w:pPr>
            <w:r>
              <w:rPr>
                <w:rFonts w:hint="eastAsia" w:ascii="仿宋" w:hAnsi="仿宋" w:eastAsia="仿宋" w:cs="仿宋"/>
                <w:sz w:val="20"/>
                <w:szCs w:val="20"/>
              </w:rPr>
              <w:t>终端前级</w:t>
            </w:r>
            <w:r>
              <w:rPr>
                <w:rFonts w:hint="eastAsia" w:ascii="仿宋" w:hAnsi="仿宋" w:eastAsia="仿宋" w:cs="仿宋"/>
                <w:sz w:val="20"/>
                <w:szCs w:val="20"/>
                <w:lang w:eastAsia="zh-CN"/>
              </w:rPr>
              <w:t>：</w:t>
            </w:r>
            <w:r>
              <w:rPr>
                <w:rFonts w:hint="eastAsia" w:ascii="仿宋" w:hAnsi="仿宋" w:eastAsia="仿宋" w:cs="仿宋"/>
                <w:sz w:val="20"/>
                <w:szCs w:val="20"/>
              </w:rPr>
              <w:t>金属滚珠式设计。</w:t>
            </w:r>
          </w:p>
        </w:tc>
        <w:tc>
          <w:tcPr>
            <w:tcW w:w="217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c>
          <w:tcPr>
            <w:tcW w:w="2029"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c>
          <w:tcPr>
            <w:tcW w:w="134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2786"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0"/>
                <w:szCs w:val="20"/>
                <w:lang w:eastAsia="zh-CN"/>
              </w:rPr>
            </w:pPr>
            <w:r>
              <w:rPr>
                <w:rFonts w:hint="eastAsia" w:ascii="仿宋" w:hAnsi="仿宋" w:eastAsia="仿宋" w:cs="仿宋"/>
                <w:sz w:val="20"/>
                <w:szCs w:val="20"/>
              </w:rPr>
              <w:t>终端后级</w:t>
            </w:r>
            <w:r>
              <w:rPr>
                <w:rFonts w:hint="eastAsia" w:ascii="仿宋" w:hAnsi="仿宋" w:eastAsia="仿宋" w:cs="仿宋"/>
                <w:sz w:val="20"/>
                <w:szCs w:val="20"/>
                <w:lang w:eastAsia="zh-CN"/>
              </w:rPr>
              <w:t>：</w:t>
            </w:r>
            <w:r>
              <w:rPr>
                <w:rFonts w:hint="eastAsia" w:ascii="仿宋" w:hAnsi="仿宋" w:eastAsia="仿宋" w:cs="仿宋"/>
                <w:sz w:val="20"/>
                <w:szCs w:val="20"/>
              </w:rPr>
              <w:t>配置独立维护阀，可进行带气维护</w:t>
            </w:r>
            <w:r>
              <w:rPr>
                <w:rFonts w:hint="eastAsia" w:ascii="仿宋" w:hAnsi="仿宋" w:eastAsia="仿宋" w:cs="仿宋"/>
                <w:sz w:val="20"/>
                <w:szCs w:val="20"/>
                <w:lang w:eastAsia="zh-CN"/>
              </w:rPr>
              <w:t>。</w:t>
            </w:r>
          </w:p>
        </w:tc>
        <w:tc>
          <w:tcPr>
            <w:tcW w:w="217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c>
          <w:tcPr>
            <w:tcW w:w="2029"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c>
          <w:tcPr>
            <w:tcW w:w="134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FF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692"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2786" w:type="dxa"/>
            <w:noWrap w:val="0"/>
            <w:vAlign w:val="center"/>
          </w:tcPr>
          <w:p>
            <w:pPr>
              <w:keepNext w:val="0"/>
              <w:keepLines w:val="0"/>
              <w:suppressLineNumbers w:val="0"/>
              <w:spacing w:before="0" w:beforeAutospacing="0" w:after="0" w:afterAutospacing="0" w:line="240" w:lineRule="auto"/>
              <w:ind w:left="0" w:right="0"/>
              <w:jc w:val="left"/>
              <w:rPr>
                <w:rFonts w:hint="eastAsia" w:ascii="仿宋" w:hAnsi="仿宋" w:eastAsia="仿宋" w:cs="仿宋"/>
                <w:sz w:val="20"/>
                <w:szCs w:val="20"/>
              </w:rPr>
            </w:pPr>
            <w:r>
              <w:rPr>
                <w:rFonts w:hint="eastAsia" w:ascii="仿宋" w:hAnsi="仿宋" w:eastAsia="仿宋" w:cs="仿宋"/>
                <w:sz w:val="20"/>
                <w:szCs w:val="20"/>
              </w:rPr>
              <w:t>终端后级</w:t>
            </w:r>
            <w:r>
              <w:rPr>
                <w:rFonts w:hint="eastAsia" w:ascii="仿宋" w:hAnsi="仿宋" w:eastAsia="仿宋" w:cs="仿宋"/>
                <w:sz w:val="20"/>
                <w:szCs w:val="20"/>
                <w:lang w:eastAsia="zh-CN"/>
              </w:rPr>
              <w:t>：</w:t>
            </w:r>
            <w:r>
              <w:rPr>
                <w:rFonts w:hint="eastAsia" w:ascii="仿宋" w:hAnsi="仿宋" w:eastAsia="仿宋" w:cs="仿宋"/>
                <w:sz w:val="20"/>
                <w:szCs w:val="20"/>
              </w:rPr>
              <w:t>优质铜制底座，可配置不同接口形式(吊塔式、墙式、设备带式等)。</w:t>
            </w:r>
          </w:p>
        </w:tc>
        <w:tc>
          <w:tcPr>
            <w:tcW w:w="2175"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c>
          <w:tcPr>
            <w:tcW w:w="2029"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sz w:val="24"/>
              </w:rPr>
            </w:pPr>
          </w:p>
        </w:tc>
        <w:tc>
          <w:tcPr>
            <w:tcW w:w="1344" w:type="dxa"/>
            <w:noWrap w:val="0"/>
            <w:vAlign w:val="center"/>
          </w:tcPr>
          <w:p>
            <w:pPr>
              <w:keepNext w:val="0"/>
              <w:keepLines w:val="0"/>
              <w:suppressLineNumbers w:val="0"/>
              <w:spacing w:before="0" w:beforeAutospacing="0" w:after="0" w:afterAutospacing="0" w:line="400" w:lineRule="exact"/>
              <w:ind w:left="0" w:right="0"/>
              <w:jc w:val="center"/>
              <w:rPr>
                <w:rFonts w:hint="eastAsia" w:ascii="仿宋" w:hAnsi="仿宋" w:eastAsia="仿宋" w:cs="仿宋"/>
                <w:color w:val="FF0000"/>
                <w:sz w:val="24"/>
              </w:rPr>
            </w:pPr>
          </w:p>
        </w:tc>
      </w:tr>
    </w:tbl>
    <w:p>
      <w:pPr>
        <w:pStyle w:val="2"/>
        <w:rPr>
          <w:rFonts w:hint="eastAsia" w:ascii="仿宋" w:hAnsi="仿宋" w:eastAsia="仿宋" w:cs="仿宋"/>
          <w:color w:val="000000"/>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val="en-US" w:eastAsia="zh-CN"/>
        </w:rPr>
        <w:t>1.</w:t>
      </w:r>
      <w:r>
        <w:rPr>
          <w:rFonts w:hint="eastAsia" w:ascii="仿宋" w:hAnsi="仿宋" w:eastAsia="仿宋" w:cs="仿宋"/>
          <w:color w:val="000000"/>
          <w:sz w:val="21"/>
          <w:szCs w:val="21"/>
          <w:highlight w:val="none"/>
        </w:rPr>
        <w:t>提供响应产品彩页或相应技术参数的厂家使用说明书作为技术证明文件，否则评审委员会有权视相应技术参数响应不符合比选要求（如厂家的产品使用说明书为英文版，请同时提供中文版）。</w:t>
      </w:r>
    </w:p>
    <w:p>
      <w:pPr>
        <w:pStyle w:val="2"/>
        <w:numPr>
          <w:ilvl w:val="0"/>
          <w:numId w:val="0"/>
        </w:numPr>
        <w:ind w:left="400" w:leftChars="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2.偏离情况说明：根据供应商自身实际情况填写“正偏离”“完全响应”或“负偏离”。</w:t>
      </w:r>
    </w:p>
    <w:p>
      <w:pPr>
        <w:pStyle w:val="2"/>
        <w:numPr>
          <w:ilvl w:val="0"/>
          <w:numId w:val="0"/>
        </w:numPr>
        <w:ind w:left="400" w:leftChars="0"/>
        <w:rPr>
          <w:rFonts w:hint="default" w:ascii="宋体" w:hAnsi="宋体" w:eastAsia="仿宋" w:cs="宋体"/>
          <w:color w:val="auto"/>
          <w:sz w:val="24"/>
          <w:highlight w:val="none"/>
          <w:lang w:val="en-US" w:eastAsia="zh-CN"/>
        </w:rPr>
      </w:pPr>
      <w:r>
        <w:rPr>
          <w:rFonts w:hint="eastAsia" w:ascii="仿宋" w:hAnsi="仿宋" w:eastAsia="仿宋" w:cs="仿宋"/>
          <w:color w:val="000000"/>
          <w:sz w:val="21"/>
          <w:szCs w:val="21"/>
          <w:highlight w:val="none"/>
          <w:lang w:val="en-US" w:eastAsia="zh-CN"/>
        </w:rPr>
        <w:t>3.供应商按响应货物实际数据填写。</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default" w:ascii="仿宋" w:hAnsi="仿宋" w:eastAsia="仿宋" w:cs="仿宋"/>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
        <w:rPr>
          <w:rFonts w:hint="default" w:ascii="宋体" w:hAnsi="宋体" w:cs="宋体"/>
          <w:color w:val="auto"/>
          <w:sz w:val="24"/>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3、售后服务</w:t>
      </w:r>
      <w:r>
        <w:rPr>
          <w:rFonts w:hint="eastAsia" w:ascii="仿宋" w:hAnsi="仿宋" w:eastAsia="仿宋" w:cs="仿宋"/>
          <w:b/>
          <w:bCs w:val="0"/>
          <w:sz w:val="22"/>
          <w:szCs w:val="22"/>
          <w:highlight w:val="none"/>
          <w:lang w:val="en-US" w:eastAsia="zh-CN"/>
        </w:rPr>
        <w:t>（如有）</w:t>
      </w:r>
    </w:p>
    <w:p>
      <w:pPr>
        <w:spacing w:before="213"/>
        <w:ind w:right="86" w:rightChars="0"/>
        <w:jc w:val="center"/>
        <w:rPr>
          <w:rFonts w:hint="eastAsia" w:ascii="宋体" w:hAnsi="宋体" w:eastAsia="宋体" w:cs="宋体"/>
          <w:b/>
          <w:sz w:val="32"/>
          <w:szCs w:val="32"/>
          <w:lang w:val="en-US" w:eastAsia="zh-CN"/>
        </w:rPr>
      </w:pPr>
      <w:r>
        <w:rPr>
          <w:rFonts w:hint="eastAsia" w:ascii="华文中宋" w:hAnsi="华文中宋" w:eastAsia="华文中宋" w:cs="华文中宋"/>
          <w:b/>
          <w:sz w:val="32"/>
          <w:szCs w:val="32"/>
          <w:lang w:val="en-US" w:eastAsia="zh-CN"/>
        </w:rPr>
        <w:t>（一）生产厂家授权书及生产厂家售后服务承诺书</w:t>
      </w:r>
    </w:p>
    <w:p>
      <w:pPr>
        <w:pStyle w:val="29"/>
        <w:ind w:firstLine="400"/>
        <w:jc w:val="center"/>
        <w:rPr>
          <w:rFonts w:hint="eastAsia" w:ascii="仿宋" w:hAnsi="仿宋" w:eastAsia="仿宋" w:cs="仿宋"/>
          <w:b w:val="0"/>
          <w:bCs/>
          <w:sz w:val="22"/>
          <w:szCs w:val="22"/>
          <w:lang w:val="en-US" w:eastAsia="zh-CN"/>
        </w:rPr>
      </w:pPr>
      <w:r>
        <w:rPr>
          <w:rFonts w:hint="eastAsia" w:ascii="仿宋" w:hAnsi="仿宋" w:eastAsia="仿宋" w:cs="仿宋"/>
          <w:b w:val="0"/>
          <w:bCs/>
          <w:sz w:val="22"/>
          <w:szCs w:val="22"/>
        </w:rPr>
        <w:t>（</w:t>
      </w:r>
      <w:r>
        <w:rPr>
          <w:rFonts w:hint="eastAsia" w:ascii="仿宋" w:hAnsi="仿宋" w:eastAsia="仿宋" w:cs="仿宋"/>
          <w:b w:val="0"/>
          <w:bCs/>
          <w:sz w:val="22"/>
          <w:szCs w:val="22"/>
          <w:lang w:val="en-US" w:eastAsia="zh-CN"/>
        </w:rPr>
        <w:t>授权函格式仅供参考，</w:t>
      </w:r>
      <w:r>
        <w:rPr>
          <w:rFonts w:hint="eastAsia" w:ascii="仿宋" w:hAnsi="仿宋" w:eastAsia="仿宋" w:cs="仿宋"/>
          <w:b/>
          <w:bCs w:val="0"/>
          <w:color w:val="FF0000"/>
          <w:sz w:val="22"/>
          <w:szCs w:val="22"/>
          <w:lang w:val="en-US" w:eastAsia="zh-CN"/>
        </w:rPr>
        <w:t>适用于医疗器械经营企业。如为生产企业，本承诺书不必填。</w:t>
      </w:r>
      <w:r>
        <w:rPr>
          <w:rFonts w:hint="eastAsia" w:ascii="仿宋" w:hAnsi="仿宋" w:eastAsia="仿宋" w:cs="仿宋"/>
          <w:b w:val="0"/>
          <w:bCs/>
          <w:sz w:val="22"/>
          <w:szCs w:val="22"/>
          <w:lang w:val="en-US" w:eastAsia="zh-CN"/>
        </w:rPr>
        <w:t>）</w:t>
      </w:r>
    </w:p>
    <w:p>
      <w:pPr>
        <w:pStyle w:val="31"/>
        <w:rPr>
          <w:rFonts w:hint="eastAsia" w:ascii="宋体" w:hAnsi="宋体" w:eastAsia="宋体" w:cs="宋体"/>
          <w:sz w:val="21"/>
          <w:szCs w:val="21"/>
        </w:rPr>
      </w:pPr>
    </w:p>
    <w:p>
      <w:pPr>
        <w:shd w:val="clear" w:color="auto" w:fill="FFFFFF"/>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致：中山大学孙逸仙纪念医院</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仿宋" w:hAnsi="仿宋" w:eastAsia="仿宋" w:cs="仿宋"/>
          <w:sz w:val="21"/>
          <w:szCs w:val="21"/>
          <w:lang w:eastAsia="zh-CN"/>
        </w:rPr>
      </w:pPr>
      <w:r>
        <w:rPr>
          <w:rFonts w:hint="eastAsia" w:ascii="仿宋" w:hAnsi="仿宋" w:eastAsia="仿宋" w:cs="仿宋"/>
          <w:color w:val="000000"/>
          <w:spacing w:val="0"/>
          <w:w w:val="100"/>
          <w:position w:val="0"/>
          <w:sz w:val="21"/>
          <w:szCs w:val="21"/>
        </w:rPr>
        <w:t>我们</w:t>
      </w:r>
      <w:r>
        <w:rPr>
          <w:rFonts w:hint="eastAsia" w:ascii="仿宋" w:hAnsi="仿宋" w:eastAsia="仿宋" w:cs="仿宋"/>
          <w:color w:val="000000"/>
          <w:spacing w:val="0"/>
          <w:w w:val="100"/>
          <w:position w:val="0"/>
          <w:sz w:val="21"/>
          <w:szCs w:val="21"/>
          <w:u w:val="single"/>
          <w:lang w:val="zh-CN" w:eastAsia="zh-CN" w:bidi="zh-CN"/>
        </w:rPr>
        <w:t>（</w:t>
      </w:r>
      <w:r>
        <w:rPr>
          <w:rFonts w:hint="eastAsia" w:ascii="仿宋" w:hAnsi="仿宋" w:eastAsia="仿宋" w:cs="仿宋"/>
          <w:color w:val="000000"/>
          <w:spacing w:val="0"/>
          <w:w w:val="100"/>
          <w:position w:val="0"/>
          <w:sz w:val="21"/>
          <w:szCs w:val="21"/>
          <w:u w:val="single"/>
        </w:rPr>
        <w:t>制造商名称）</w:t>
      </w:r>
      <w:r>
        <w:rPr>
          <w:rFonts w:hint="eastAsia" w:ascii="仿宋" w:hAnsi="仿宋" w:eastAsia="仿宋" w:cs="仿宋"/>
          <w:color w:val="000000"/>
          <w:spacing w:val="0"/>
          <w:w w:val="100"/>
          <w:position w:val="0"/>
          <w:sz w:val="21"/>
          <w:szCs w:val="21"/>
        </w:rPr>
        <w:t>是按中华人民共和国法律成立的一家制造商,主要营业地点设在</w:t>
      </w:r>
      <w:r>
        <w:rPr>
          <w:rFonts w:hint="eastAsia" w:ascii="仿宋" w:hAnsi="仿宋" w:eastAsia="仿宋" w:cs="仿宋"/>
          <w:color w:val="000000"/>
          <w:spacing w:val="0"/>
          <w:w w:val="100"/>
          <w:position w:val="0"/>
          <w:sz w:val="21"/>
          <w:szCs w:val="21"/>
          <w:u w:val="single"/>
        </w:rPr>
        <w:t>（制造商地址）</w:t>
      </w:r>
      <w:r>
        <w:rPr>
          <w:rFonts w:hint="eastAsia" w:ascii="仿宋" w:hAnsi="仿宋" w:eastAsia="仿宋" w:cs="仿宋"/>
          <w:color w:val="000000"/>
          <w:spacing w:val="0"/>
          <w:w w:val="100"/>
          <w:position w:val="0"/>
          <w:sz w:val="21"/>
          <w:szCs w:val="21"/>
        </w:rPr>
        <w:t>。兹指派按中华人民共和国的法律正式成立的，主要营业地点设在</w:t>
      </w:r>
      <w:r>
        <w:rPr>
          <w:rFonts w:hint="eastAsia" w:ascii="仿宋" w:hAnsi="仿宋" w:eastAsia="仿宋" w:cs="仿宋"/>
          <w:color w:val="000000"/>
          <w:spacing w:val="0"/>
          <w:w w:val="100"/>
          <w:position w:val="0"/>
          <w:sz w:val="21"/>
          <w:szCs w:val="21"/>
          <w:u w:val="single"/>
          <w:lang w:val="en-US" w:eastAsia="zh-CN"/>
        </w:rPr>
        <w:t xml:space="preserve">   </w:t>
      </w:r>
      <w:r>
        <w:rPr>
          <w:rFonts w:hint="eastAsia" w:ascii="仿宋" w:hAnsi="仿宋" w:eastAsia="仿宋" w:cs="仿宋"/>
          <w:color w:val="000000"/>
          <w:spacing w:val="0"/>
          <w:w w:val="100"/>
          <w:position w:val="0"/>
          <w:sz w:val="21"/>
          <w:szCs w:val="21"/>
          <w:u w:val="single"/>
        </w:rPr>
        <w:t>（</w:t>
      </w:r>
      <w:r>
        <w:rPr>
          <w:rFonts w:hint="eastAsia" w:ascii="仿宋" w:hAnsi="仿宋" w:eastAsia="仿宋" w:cs="仿宋"/>
          <w:color w:val="000000"/>
          <w:spacing w:val="0"/>
          <w:w w:val="100"/>
          <w:position w:val="0"/>
          <w:sz w:val="21"/>
          <w:szCs w:val="21"/>
          <w:u w:val="single"/>
          <w:lang w:val="en-US" w:eastAsia="zh-CN"/>
        </w:rPr>
        <w:t>响应人地址</w:t>
      </w:r>
      <w:r>
        <w:rPr>
          <w:rFonts w:hint="eastAsia" w:ascii="仿宋" w:hAnsi="仿宋" w:eastAsia="仿宋" w:cs="仿宋"/>
          <w:color w:val="000000"/>
          <w:spacing w:val="0"/>
          <w:w w:val="100"/>
          <w:position w:val="0"/>
          <w:sz w:val="21"/>
          <w:szCs w:val="21"/>
          <w:u w:val="single"/>
        </w:rPr>
        <w:t>）</w:t>
      </w:r>
      <w:r>
        <w:rPr>
          <w:rFonts w:hint="eastAsia" w:ascii="仿宋" w:hAnsi="仿宋" w:eastAsia="仿宋" w:cs="仿宋"/>
          <w:color w:val="000000"/>
          <w:spacing w:val="0"/>
          <w:w w:val="100"/>
          <w:position w:val="0"/>
          <w:sz w:val="21"/>
          <w:szCs w:val="21"/>
          <w:u w:val="single"/>
          <w:lang w:val="en-US" w:eastAsia="zh-CN"/>
        </w:rPr>
        <w:t xml:space="preserve">    </w:t>
      </w:r>
      <w:r>
        <w:rPr>
          <w:rFonts w:hint="eastAsia" w:ascii="仿宋" w:hAnsi="仿宋" w:eastAsia="仿宋" w:cs="仿宋"/>
          <w:color w:val="000000"/>
          <w:spacing w:val="0"/>
          <w:w w:val="100"/>
          <w:position w:val="0"/>
          <w:sz w:val="21"/>
          <w:szCs w:val="21"/>
        </w:rPr>
        <w:t>的</w:t>
      </w:r>
      <w:r>
        <w:rPr>
          <w:rFonts w:hint="eastAsia" w:ascii="仿宋" w:hAnsi="仿宋" w:eastAsia="仿宋" w:cs="仿宋"/>
          <w:color w:val="000000"/>
          <w:spacing w:val="0"/>
          <w:w w:val="100"/>
          <w:position w:val="0"/>
          <w:sz w:val="21"/>
          <w:szCs w:val="21"/>
          <w:u w:val="single"/>
        </w:rPr>
        <w:t>（</w:t>
      </w:r>
      <w:r>
        <w:rPr>
          <w:rFonts w:hint="eastAsia" w:ascii="仿宋" w:hAnsi="仿宋" w:eastAsia="仿宋" w:cs="仿宋"/>
          <w:color w:val="000000"/>
          <w:spacing w:val="0"/>
          <w:w w:val="100"/>
          <w:position w:val="0"/>
          <w:sz w:val="21"/>
          <w:szCs w:val="21"/>
          <w:u w:val="single"/>
          <w:lang w:val="en-US" w:eastAsia="zh-CN"/>
        </w:rPr>
        <w:t>响应人</w:t>
      </w:r>
      <w:r>
        <w:rPr>
          <w:rFonts w:hint="eastAsia" w:ascii="仿宋" w:hAnsi="仿宋" w:eastAsia="仿宋" w:cs="仿宋"/>
          <w:color w:val="000000"/>
          <w:spacing w:val="0"/>
          <w:w w:val="100"/>
          <w:position w:val="0"/>
          <w:sz w:val="21"/>
          <w:szCs w:val="21"/>
          <w:u w:val="single"/>
        </w:rPr>
        <w:t>名称）</w:t>
      </w:r>
      <w:r>
        <w:rPr>
          <w:rFonts w:hint="eastAsia" w:ascii="仿宋" w:hAnsi="仿宋" w:eastAsia="仿宋" w:cs="仿宋"/>
          <w:color w:val="000000"/>
          <w:spacing w:val="0"/>
          <w:w w:val="100"/>
          <w:position w:val="0"/>
          <w:sz w:val="21"/>
          <w:szCs w:val="21"/>
        </w:rPr>
        <w:t>作为我方真正的和合法的代理人进行下列有效的活动</w:t>
      </w:r>
      <w:r>
        <w:rPr>
          <w:rFonts w:hint="eastAsia" w:ascii="仿宋" w:hAnsi="仿宋" w:eastAsia="仿宋" w:cs="仿宋"/>
          <w:color w:val="000000"/>
          <w:spacing w:val="0"/>
          <w:w w:val="100"/>
          <w:position w:val="0"/>
          <w:sz w:val="21"/>
          <w:szCs w:val="21"/>
          <w:lang w:eastAsia="zh-CN"/>
        </w:rPr>
        <w:t>：</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⑴代表我方在中华人民共和国办理</w:t>
      </w:r>
      <w:r>
        <w:rPr>
          <w:rFonts w:hint="eastAsia" w:ascii="仿宋" w:hAnsi="仿宋" w:eastAsia="仿宋" w:cs="仿宋"/>
          <w:color w:val="000000"/>
          <w:spacing w:val="0"/>
          <w:w w:val="100"/>
          <w:position w:val="0"/>
          <w:sz w:val="21"/>
          <w:szCs w:val="21"/>
          <w:u w:val="single"/>
        </w:rPr>
        <w:t>（</w:t>
      </w:r>
      <w:r>
        <w:rPr>
          <w:rFonts w:hint="eastAsia" w:ascii="仿宋" w:hAnsi="仿宋" w:eastAsia="仿宋" w:cs="仿宋"/>
          <w:color w:val="000000"/>
          <w:spacing w:val="0"/>
          <w:w w:val="100"/>
          <w:position w:val="0"/>
          <w:sz w:val="21"/>
          <w:szCs w:val="21"/>
          <w:u w:val="single"/>
          <w:lang w:val="en-US" w:eastAsia="zh-CN"/>
        </w:rPr>
        <w:t>采购</w:t>
      </w:r>
      <w:r>
        <w:rPr>
          <w:rFonts w:hint="eastAsia" w:ascii="仿宋" w:hAnsi="仿宋" w:eastAsia="仿宋" w:cs="仿宋"/>
          <w:color w:val="000000"/>
          <w:spacing w:val="0"/>
          <w:w w:val="100"/>
          <w:position w:val="0"/>
          <w:sz w:val="21"/>
          <w:szCs w:val="21"/>
          <w:u w:val="single"/>
        </w:rPr>
        <w:t>项目名称）</w:t>
      </w:r>
      <w:r>
        <w:rPr>
          <w:rFonts w:hint="eastAsia" w:ascii="仿宋" w:hAnsi="仿宋" w:eastAsia="仿宋" w:cs="仿宋"/>
          <w:color w:val="000000"/>
          <w:spacing w:val="0"/>
          <w:w w:val="100"/>
          <w:position w:val="0"/>
          <w:sz w:val="21"/>
          <w:szCs w:val="21"/>
          <w:lang w:eastAsia="zh-CN"/>
        </w:rPr>
        <w:t>的</w:t>
      </w:r>
      <w:r>
        <w:rPr>
          <w:rFonts w:hint="eastAsia" w:ascii="仿宋" w:hAnsi="仿宋" w:eastAsia="仿宋" w:cs="仿宋"/>
          <w:color w:val="000000"/>
          <w:spacing w:val="0"/>
          <w:w w:val="100"/>
          <w:position w:val="0"/>
          <w:sz w:val="21"/>
          <w:szCs w:val="21"/>
        </w:rPr>
        <w:t>邀请</w:t>
      </w:r>
      <w:r>
        <w:rPr>
          <w:rFonts w:hint="eastAsia" w:ascii="仿宋" w:hAnsi="仿宋" w:eastAsia="仿宋" w:cs="仿宋"/>
          <w:color w:val="000000"/>
          <w:spacing w:val="0"/>
          <w:w w:val="100"/>
          <w:position w:val="0"/>
          <w:sz w:val="21"/>
          <w:szCs w:val="21"/>
          <w:lang w:eastAsia="zh-CN"/>
        </w:rPr>
        <w:t>，</w:t>
      </w:r>
      <w:r>
        <w:rPr>
          <w:rFonts w:hint="eastAsia" w:ascii="仿宋" w:hAnsi="仿宋" w:eastAsia="仿宋" w:cs="仿宋"/>
          <w:color w:val="000000"/>
          <w:spacing w:val="0"/>
          <w:w w:val="100"/>
          <w:position w:val="0"/>
          <w:sz w:val="21"/>
          <w:szCs w:val="21"/>
        </w:rPr>
        <w:t>要求提供由我方制造货物的有关事宜，并对我方具有约束力。</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⑵作为制造商，我方保证以</w:t>
      </w:r>
      <w:r>
        <w:rPr>
          <w:rFonts w:hint="eastAsia" w:ascii="仿宋" w:hAnsi="仿宋" w:eastAsia="仿宋" w:cs="仿宋"/>
          <w:color w:val="000000"/>
          <w:spacing w:val="0"/>
          <w:w w:val="100"/>
          <w:position w:val="0"/>
          <w:sz w:val="21"/>
          <w:szCs w:val="21"/>
          <w:lang w:val="en-US" w:eastAsia="zh-CN"/>
        </w:rPr>
        <w:t>响应</w:t>
      </w:r>
      <w:r>
        <w:rPr>
          <w:rFonts w:hint="eastAsia" w:ascii="仿宋" w:hAnsi="仿宋" w:eastAsia="仿宋" w:cs="仿宋"/>
          <w:color w:val="000000"/>
          <w:spacing w:val="0"/>
          <w:w w:val="100"/>
          <w:position w:val="0"/>
          <w:sz w:val="21"/>
          <w:szCs w:val="21"/>
        </w:rPr>
        <w:t>合作者来约束自己，并对该</w:t>
      </w:r>
      <w:r>
        <w:rPr>
          <w:rFonts w:hint="eastAsia" w:ascii="仿宋" w:hAnsi="仿宋" w:eastAsia="仿宋" w:cs="仿宋"/>
          <w:color w:val="000000"/>
          <w:spacing w:val="0"/>
          <w:w w:val="100"/>
          <w:position w:val="0"/>
          <w:sz w:val="21"/>
          <w:szCs w:val="21"/>
          <w:lang w:val="en-US" w:eastAsia="zh-CN"/>
        </w:rPr>
        <w:t>项目响应</w:t>
      </w:r>
      <w:r>
        <w:rPr>
          <w:rFonts w:hint="eastAsia" w:ascii="仿宋" w:hAnsi="仿宋" w:eastAsia="仿宋" w:cs="仿宋"/>
          <w:color w:val="000000"/>
          <w:spacing w:val="0"/>
          <w:w w:val="100"/>
          <w:position w:val="0"/>
          <w:sz w:val="21"/>
          <w:szCs w:val="21"/>
        </w:rPr>
        <w:t>共同和分别承担</w:t>
      </w:r>
      <w:r>
        <w:rPr>
          <w:rFonts w:hint="eastAsia" w:ascii="仿宋" w:hAnsi="仿宋" w:eastAsia="仿宋" w:cs="仿宋"/>
          <w:color w:val="000000"/>
          <w:spacing w:val="0"/>
          <w:w w:val="100"/>
          <w:position w:val="0"/>
          <w:sz w:val="21"/>
          <w:szCs w:val="21"/>
          <w:lang w:val="en-US" w:eastAsia="zh-CN"/>
        </w:rPr>
        <w:t>采购</w:t>
      </w:r>
      <w:r>
        <w:rPr>
          <w:rFonts w:hint="eastAsia" w:ascii="仿宋" w:hAnsi="仿宋" w:eastAsia="仿宋" w:cs="仿宋"/>
          <w:color w:val="000000"/>
          <w:spacing w:val="0"/>
          <w:w w:val="100"/>
          <w:position w:val="0"/>
          <w:sz w:val="21"/>
          <w:szCs w:val="21"/>
        </w:rPr>
        <w:t>文件中所规定的义务。</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left"/>
        <w:textAlignment w:val="auto"/>
        <w:rPr>
          <w:rFonts w:hint="eastAsia" w:ascii="仿宋" w:hAnsi="仿宋" w:eastAsia="仿宋" w:cs="仿宋"/>
          <w:sz w:val="21"/>
          <w:szCs w:val="21"/>
        </w:rPr>
      </w:pPr>
      <w:r>
        <w:rPr>
          <w:rFonts w:hint="eastAsia" w:ascii="仿宋" w:hAnsi="仿宋" w:eastAsia="仿宋" w:cs="仿宋"/>
          <w:color w:val="000000"/>
          <w:spacing w:val="0"/>
          <w:w w:val="100"/>
          <w:position w:val="0"/>
          <w:sz w:val="21"/>
          <w:szCs w:val="21"/>
        </w:rPr>
        <w:t>⑶我方兹授予</w:t>
      </w:r>
      <w:r>
        <w:rPr>
          <w:rFonts w:hint="eastAsia" w:ascii="仿宋" w:hAnsi="仿宋" w:eastAsia="仿宋" w:cs="仿宋"/>
          <w:color w:val="000000"/>
          <w:spacing w:val="0"/>
          <w:w w:val="100"/>
          <w:position w:val="0"/>
          <w:sz w:val="21"/>
          <w:szCs w:val="21"/>
          <w:u w:val="single"/>
        </w:rPr>
        <w:t>（</w:t>
      </w:r>
      <w:r>
        <w:rPr>
          <w:rFonts w:hint="eastAsia" w:ascii="仿宋" w:hAnsi="仿宋" w:eastAsia="仿宋" w:cs="仿宋"/>
          <w:color w:val="000000"/>
          <w:spacing w:val="0"/>
          <w:w w:val="100"/>
          <w:position w:val="0"/>
          <w:sz w:val="21"/>
          <w:szCs w:val="21"/>
          <w:u w:val="single"/>
          <w:lang w:val="en-US" w:eastAsia="zh-CN"/>
        </w:rPr>
        <w:t>响应人</w:t>
      </w:r>
      <w:r>
        <w:rPr>
          <w:rFonts w:hint="eastAsia" w:ascii="仿宋" w:hAnsi="仿宋" w:eastAsia="仿宋" w:cs="仿宋"/>
          <w:color w:val="000000"/>
          <w:spacing w:val="0"/>
          <w:w w:val="100"/>
          <w:position w:val="0"/>
          <w:sz w:val="21"/>
          <w:szCs w:val="21"/>
          <w:u w:val="single"/>
        </w:rPr>
        <w:t>名称）</w:t>
      </w:r>
      <w:r>
        <w:rPr>
          <w:rFonts w:hint="eastAsia" w:ascii="仿宋" w:hAnsi="仿宋" w:eastAsia="仿宋" w:cs="仿宋"/>
          <w:color w:val="000000"/>
          <w:spacing w:val="0"/>
          <w:w w:val="100"/>
          <w:position w:val="0"/>
          <w:sz w:val="21"/>
          <w:szCs w:val="21"/>
        </w:rPr>
        <w:t>全权办理和履行上述我方为完成上述各点所必须的事宜，具有替换或撤消的全权。兹确认</w:t>
      </w:r>
      <w:r>
        <w:rPr>
          <w:rFonts w:hint="eastAsia" w:ascii="仿宋" w:hAnsi="仿宋" w:eastAsia="仿宋" w:cs="仿宋"/>
          <w:color w:val="000000"/>
          <w:spacing w:val="0"/>
          <w:w w:val="100"/>
          <w:position w:val="0"/>
          <w:sz w:val="21"/>
          <w:szCs w:val="21"/>
          <w:u w:val="single"/>
        </w:rPr>
        <w:t>（</w:t>
      </w:r>
      <w:r>
        <w:rPr>
          <w:rFonts w:hint="eastAsia" w:ascii="仿宋" w:hAnsi="仿宋" w:eastAsia="仿宋" w:cs="仿宋"/>
          <w:color w:val="000000"/>
          <w:spacing w:val="0"/>
          <w:w w:val="100"/>
          <w:position w:val="0"/>
          <w:sz w:val="21"/>
          <w:szCs w:val="21"/>
          <w:u w:val="single"/>
          <w:lang w:val="en-US" w:eastAsia="zh-CN"/>
        </w:rPr>
        <w:t>响应人</w:t>
      </w:r>
      <w:r>
        <w:rPr>
          <w:rFonts w:hint="eastAsia" w:ascii="仿宋" w:hAnsi="仿宋" w:eastAsia="仿宋" w:cs="仿宋"/>
          <w:color w:val="000000"/>
          <w:spacing w:val="0"/>
          <w:w w:val="100"/>
          <w:position w:val="0"/>
          <w:sz w:val="21"/>
          <w:szCs w:val="21"/>
          <w:u w:val="single"/>
        </w:rPr>
        <w:t>名称</w:t>
      </w:r>
      <w:r>
        <w:rPr>
          <w:rFonts w:hint="eastAsia" w:ascii="仿宋" w:hAnsi="仿宋" w:eastAsia="仿宋" w:cs="仿宋"/>
          <w:i/>
          <w:iCs/>
          <w:color w:val="000000"/>
          <w:spacing w:val="0"/>
          <w:w w:val="100"/>
          <w:position w:val="0"/>
          <w:sz w:val="21"/>
          <w:szCs w:val="21"/>
          <w:u w:val="single"/>
        </w:rPr>
        <w:t>）</w:t>
      </w:r>
      <w:r>
        <w:rPr>
          <w:rFonts w:hint="eastAsia" w:ascii="仿宋" w:hAnsi="仿宋" w:eastAsia="仿宋" w:cs="仿宋"/>
          <w:color w:val="000000"/>
          <w:spacing w:val="0"/>
          <w:w w:val="100"/>
          <w:position w:val="0"/>
          <w:sz w:val="21"/>
          <w:szCs w:val="21"/>
        </w:rPr>
        <w:t>或其正式授权代表依此合法地办理一切事宜。</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rPr>
      </w:pPr>
      <w:r>
        <w:rPr>
          <w:rFonts w:hint="eastAsia" w:ascii="仿宋" w:hAnsi="仿宋" w:eastAsia="仿宋" w:cs="仿宋"/>
          <w:color w:val="000000"/>
          <w:spacing w:val="0"/>
          <w:w w:val="100"/>
          <w:position w:val="0"/>
          <w:sz w:val="21"/>
          <w:szCs w:val="21"/>
          <w:lang w:val="en-US" w:eastAsia="zh-CN"/>
        </w:rPr>
        <w:t xml:space="preserve">                                           </w:t>
      </w:r>
      <w:r>
        <w:rPr>
          <w:rFonts w:hint="eastAsia" w:ascii="仿宋" w:hAnsi="仿宋" w:eastAsia="仿宋" w:cs="仿宋"/>
          <w:color w:val="000000"/>
          <w:spacing w:val="0"/>
          <w:w w:val="100"/>
          <w:position w:val="0"/>
          <w:sz w:val="21"/>
          <w:szCs w:val="21"/>
        </w:rPr>
        <w:t>出具授权书的制造商名称</w:t>
      </w:r>
      <w:r>
        <w:rPr>
          <w:rFonts w:hint="eastAsia" w:ascii="仿宋" w:hAnsi="仿宋" w:eastAsia="仿宋" w:cs="仿宋"/>
          <w:color w:val="000000"/>
          <w:spacing w:val="0"/>
          <w:w w:val="100"/>
          <w:position w:val="0"/>
          <w:sz w:val="21"/>
          <w:szCs w:val="21"/>
          <w:lang w:val="zh-CN" w:eastAsia="zh-CN" w:bidi="zh-CN"/>
        </w:rPr>
        <w:t>：</w:t>
      </w:r>
      <w:r>
        <w:rPr>
          <w:rFonts w:hint="eastAsia" w:ascii="仿宋" w:hAnsi="仿宋" w:eastAsia="仿宋" w:cs="仿宋"/>
          <w:color w:val="000000"/>
          <w:spacing w:val="0"/>
          <w:w w:val="100"/>
          <w:position w:val="0"/>
          <w:sz w:val="21"/>
          <w:szCs w:val="21"/>
          <w:lang w:val="en-US" w:eastAsia="zh-CN" w:bidi="zh-CN"/>
        </w:rPr>
        <w:t xml:space="preserve">  </w:t>
      </w:r>
      <w:r>
        <w:rPr>
          <w:rFonts w:hint="eastAsia" w:ascii="仿宋" w:hAnsi="仿宋" w:eastAsia="仿宋" w:cs="仿宋"/>
          <w:color w:val="000000"/>
          <w:spacing w:val="0"/>
          <w:w w:val="100"/>
          <w:position w:val="0"/>
          <w:sz w:val="21"/>
          <w:szCs w:val="21"/>
        </w:rPr>
        <w:t>（公章）</w:t>
      </w:r>
      <w:r>
        <w:rPr>
          <w:rFonts w:hint="eastAsia" w:ascii="仿宋" w:hAnsi="仿宋" w:eastAsia="仿宋" w:cs="仿宋"/>
          <w:color w:val="000000"/>
          <w:spacing w:val="0"/>
          <w:w w:val="100"/>
          <w:position w:val="0"/>
          <w:sz w:val="21"/>
          <w:szCs w:val="21"/>
          <w:lang w:val="en-US" w:eastAsia="zh-CN"/>
        </w:rPr>
        <w:t xml:space="preserve">                                             </w:t>
      </w:r>
    </w:p>
    <w:p>
      <w:pPr>
        <w:pStyle w:val="42"/>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仿宋" w:hAnsi="仿宋" w:eastAsia="仿宋" w:cs="仿宋"/>
          <w:color w:val="000000"/>
          <w:spacing w:val="0"/>
          <w:w w:val="100"/>
          <w:position w:val="0"/>
          <w:sz w:val="21"/>
          <w:szCs w:val="21"/>
          <w:lang w:val="en-US" w:eastAsia="zh-CN"/>
        </w:rPr>
      </w:pPr>
      <w:r>
        <w:rPr>
          <w:rFonts w:hint="eastAsia" w:ascii="仿宋" w:hAnsi="仿宋" w:eastAsia="仿宋" w:cs="仿宋"/>
          <w:color w:val="000000"/>
          <w:spacing w:val="0"/>
          <w:w w:val="100"/>
          <w:position w:val="0"/>
          <w:sz w:val="21"/>
          <w:szCs w:val="21"/>
          <w:lang w:val="en-US" w:eastAsia="zh-CN"/>
        </w:rPr>
        <w:t xml:space="preserve">               日期：</w:t>
      </w: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autoSpaceDE w:val="0"/>
        <w:autoSpaceDN w:val="0"/>
        <w:spacing w:line="360" w:lineRule="auto"/>
        <w:ind w:firstLine="320" w:firstLineChars="100"/>
        <w:jc w:val="center"/>
        <w:rPr>
          <w:rFonts w:hint="default"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（二）供应商售后服务方案</w:t>
      </w:r>
    </w:p>
    <w:p>
      <w:pPr>
        <w:pStyle w:val="29"/>
        <w:rPr>
          <w:rFonts w:hint="eastAsia" w:ascii="仿宋" w:hAnsi="仿宋" w:eastAsia="仿宋" w:cs="仿宋"/>
          <w:sz w:val="21"/>
          <w:szCs w:val="28"/>
          <w:lang w:val="en-US" w:eastAsia="zh-CN"/>
        </w:rPr>
      </w:pPr>
      <w:r>
        <w:rPr>
          <w:rFonts w:hint="eastAsia" w:ascii="仿宋" w:hAnsi="仿宋" w:eastAsia="仿宋" w:cs="仿宋"/>
          <w:sz w:val="21"/>
          <w:szCs w:val="28"/>
        </w:rPr>
        <w:t>售后服务主要根据采购需求的要求自行拟写。包括但不限于：售后服务保障方案</w:t>
      </w:r>
      <w:r>
        <w:rPr>
          <w:rFonts w:hint="eastAsia" w:ascii="仿宋" w:hAnsi="仿宋" w:eastAsia="仿宋" w:cs="仿宋"/>
          <w:sz w:val="21"/>
          <w:szCs w:val="28"/>
          <w:lang w:eastAsia="zh-CN"/>
        </w:rPr>
        <w:t>、</w:t>
      </w:r>
      <w:r>
        <w:rPr>
          <w:rFonts w:hint="eastAsia" w:ascii="仿宋" w:hAnsi="仿宋" w:eastAsia="仿宋" w:cs="仿宋"/>
          <w:sz w:val="21"/>
          <w:szCs w:val="28"/>
        </w:rPr>
        <w:t>快速响应时间</w:t>
      </w:r>
      <w:r>
        <w:rPr>
          <w:rFonts w:hint="eastAsia" w:ascii="仿宋" w:hAnsi="仿宋" w:eastAsia="仿宋" w:cs="仿宋"/>
          <w:sz w:val="21"/>
          <w:szCs w:val="28"/>
          <w:lang w:eastAsia="zh-CN"/>
        </w:rPr>
        <w:t>、培训计划及安排</w:t>
      </w:r>
      <w:r>
        <w:rPr>
          <w:rFonts w:hint="eastAsia" w:ascii="仿宋" w:hAnsi="仿宋" w:eastAsia="仿宋" w:cs="仿宋"/>
          <w:sz w:val="21"/>
          <w:szCs w:val="28"/>
          <w:lang w:val="en-US" w:eastAsia="zh-CN"/>
        </w:rPr>
        <w:t>等。</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Style w:val="57"/>
        <w:rPr>
          <w:rFonts w:hint="eastAsia"/>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r>
        <w:rPr>
          <w:rFonts w:hint="eastAsia" w:ascii="华文中宋" w:hAnsi="华文中宋" w:eastAsia="华文中宋" w:cs="华文中宋"/>
          <w:b/>
          <w:bCs/>
          <w:sz w:val="32"/>
          <w:szCs w:val="32"/>
          <w:lang w:val="en-US" w:eastAsia="zh-CN"/>
        </w:rPr>
        <w:t>（三）供应商售后</w:t>
      </w:r>
      <w:r>
        <w:rPr>
          <w:rFonts w:hint="eastAsia" w:ascii="华文中宋" w:hAnsi="华文中宋" w:eastAsia="华文中宋" w:cs="华文中宋"/>
          <w:b/>
          <w:bCs/>
          <w:sz w:val="32"/>
          <w:szCs w:val="32"/>
        </w:rPr>
        <w:t>服务承诺</w:t>
      </w:r>
      <w:r>
        <w:rPr>
          <w:rFonts w:hint="eastAsia" w:ascii="华文中宋" w:hAnsi="华文中宋" w:eastAsia="华文中宋" w:cs="华文中宋"/>
          <w:b/>
          <w:bCs/>
          <w:sz w:val="32"/>
          <w:szCs w:val="32"/>
          <w:lang w:val="en-US" w:eastAsia="zh-CN"/>
        </w:rPr>
        <w:t>书</w:t>
      </w:r>
    </w:p>
    <w:p>
      <w:pPr>
        <w:pStyle w:val="29"/>
        <w:jc w:val="center"/>
        <w:rPr>
          <w:rFonts w:hint="eastAsia" w:ascii="仿宋" w:hAnsi="仿宋" w:eastAsia="仿宋" w:cs="仿宋"/>
          <w:lang w:val="en-US" w:eastAsia="zh-CN"/>
        </w:rPr>
      </w:pPr>
      <w:r>
        <w:rPr>
          <w:rFonts w:hint="eastAsia" w:ascii="仿宋" w:hAnsi="仿宋" w:eastAsia="仿宋" w:cs="仿宋"/>
          <w:color w:val="auto"/>
          <w:szCs w:val="21"/>
          <w:lang w:val="en-GB" w:eastAsia="zh-CN"/>
        </w:rPr>
        <w:t>（</w:t>
      </w:r>
      <w:r>
        <w:rPr>
          <w:rFonts w:hint="eastAsia" w:ascii="仿宋" w:hAnsi="仿宋" w:eastAsia="仿宋" w:cs="仿宋"/>
          <w:color w:val="auto"/>
          <w:szCs w:val="21"/>
          <w:lang w:val="en-US" w:eastAsia="zh-CN"/>
        </w:rPr>
        <w:t>按照实际情况自行拟写、修改</w:t>
      </w:r>
      <w:r>
        <w:rPr>
          <w:rFonts w:hint="eastAsia" w:ascii="仿宋" w:hAnsi="仿宋" w:eastAsia="仿宋" w:cs="仿宋"/>
          <w:color w:val="auto"/>
          <w:szCs w:val="21"/>
          <w:lang w:val="en-GB" w:eastAsia="zh-CN"/>
        </w:rPr>
        <w:t>）</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致：中山大学孙逸仙纪念医院</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sz w:val="21"/>
          <w:szCs w:val="21"/>
          <w:lang w:val="zh-CN"/>
        </w:rPr>
      </w:pPr>
      <w:r>
        <w:rPr>
          <w:rFonts w:hint="eastAsia" w:ascii="仿宋" w:hAnsi="仿宋" w:eastAsia="仿宋" w:cs="仿宋"/>
          <w:sz w:val="21"/>
          <w:szCs w:val="21"/>
          <w:lang w:val="zh-CN"/>
        </w:rPr>
        <w:t>根据贵方为</w:t>
      </w:r>
      <w:r>
        <w:rPr>
          <w:rFonts w:hint="eastAsia" w:ascii="仿宋" w:hAnsi="仿宋" w:eastAsia="仿宋" w:cs="仿宋"/>
          <w:sz w:val="21"/>
          <w:szCs w:val="21"/>
          <w:u w:val="single"/>
          <w:lang w:val="zh-CN"/>
        </w:rPr>
        <w:t xml:space="preserve">  </w:t>
      </w:r>
      <w:r>
        <w:rPr>
          <w:rFonts w:hint="eastAsia" w:ascii="仿宋" w:hAnsi="仿宋" w:eastAsia="仿宋" w:cs="仿宋"/>
          <w:sz w:val="21"/>
          <w:szCs w:val="21"/>
          <w:lang w:val="zh-CN"/>
        </w:rPr>
        <w:t xml:space="preserve">年 </w:t>
      </w:r>
      <w:r>
        <w:rPr>
          <w:rFonts w:hint="eastAsia" w:ascii="仿宋" w:hAnsi="仿宋" w:eastAsia="仿宋" w:cs="仿宋"/>
          <w:sz w:val="21"/>
          <w:szCs w:val="21"/>
          <w:u w:val="single"/>
          <w:lang w:val="zh-CN"/>
        </w:rPr>
        <w:t xml:space="preserve"> </w:t>
      </w:r>
      <w:r>
        <w:rPr>
          <w:rFonts w:hint="eastAsia" w:ascii="仿宋" w:hAnsi="仿宋" w:eastAsia="仿宋" w:cs="仿宋"/>
          <w:sz w:val="21"/>
          <w:szCs w:val="21"/>
          <w:lang w:val="zh-CN"/>
        </w:rPr>
        <w:t>月</w:t>
      </w:r>
      <w:r>
        <w:rPr>
          <w:rFonts w:hint="eastAsia" w:ascii="仿宋" w:hAnsi="仿宋" w:eastAsia="仿宋" w:cs="仿宋"/>
          <w:sz w:val="21"/>
          <w:szCs w:val="21"/>
          <w:u w:val="single"/>
        </w:rPr>
        <w:t xml:space="preserve"> </w:t>
      </w:r>
      <w:r>
        <w:rPr>
          <w:rFonts w:hint="eastAsia" w:ascii="仿宋" w:hAnsi="仿宋" w:eastAsia="仿宋" w:cs="仿宋"/>
          <w:sz w:val="21"/>
          <w:szCs w:val="21"/>
          <w:lang w:val="zh-CN"/>
        </w:rPr>
        <w:t>日</w:t>
      </w:r>
      <w:r>
        <w:rPr>
          <w:rFonts w:hint="eastAsia" w:ascii="仿宋" w:hAnsi="仿宋" w:eastAsia="仿宋" w:cs="仿宋"/>
          <w:sz w:val="21"/>
          <w:szCs w:val="21"/>
        </w:rPr>
        <w:t xml:space="preserve"> </w:t>
      </w:r>
      <w:r>
        <w:rPr>
          <w:rFonts w:hint="eastAsia" w:ascii="仿宋" w:hAnsi="仿宋" w:eastAsia="仿宋" w:cs="仿宋"/>
          <w:sz w:val="21"/>
          <w:szCs w:val="21"/>
          <w:u w:val="single"/>
        </w:rPr>
        <w:t xml:space="preserve">                   </w:t>
      </w:r>
      <w:r>
        <w:rPr>
          <w:rFonts w:hint="eastAsia" w:ascii="仿宋" w:hAnsi="仿宋" w:eastAsia="仿宋" w:cs="仿宋"/>
          <w:sz w:val="21"/>
          <w:szCs w:val="21"/>
          <w:lang w:val="en-US" w:eastAsia="zh-CN"/>
        </w:rPr>
        <w:t>比选</w:t>
      </w:r>
      <w:r>
        <w:rPr>
          <w:rFonts w:hint="eastAsia" w:ascii="仿宋" w:hAnsi="仿宋" w:eastAsia="仿宋" w:cs="仿宋"/>
          <w:sz w:val="21"/>
          <w:szCs w:val="21"/>
          <w:lang w:val="zh-CN"/>
        </w:rPr>
        <w:t>项目的邀请，我方对该项目做出如下产品质量承诺：</w:t>
      </w:r>
    </w:p>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仿宋" w:hAnsi="仿宋" w:eastAsia="仿宋" w:cs="仿宋"/>
          <w:b/>
          <w:sz w:val="21"/>
          <w:szCs w:val="21"/>
          <w:lang w:val="zh-CN"/>
        </w:rPr>
      </w:pPr>
      <w:r>
        <w:rPr>
          <w:rFonts w:hint="eastAsia" w:ascii="仿宋" w:hAnsi="仿宋" w:eastAsia="仿宋" w:cs="仿宋"/>
          <w:b/>
          <w:sz w:val="21"/>
          <w:szCs w:val="21"/>
          <w:lang w:val="zh-CN"/>
        </w:rPr>
        <w:t>一、产品都属于厂家原装正品产品：</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我方承诺提供以下质量保证并承担相应的法律责任：</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l、提供的产品是全新的、符合国家质量标准、中国有关部门手续完备、具有生产厂家质量保证书（或合格证明）的产品；</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2、提供的产品符合报价文件承诺和所签合同规定的技术要求；</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kern w:val="0"/>
          <w:sz w:val="21"/>
          <w:szCs w:val="21"/>
        </w:rPr>
      </w:pPr>
      <w:r>
        <w:rPr>
          <w:rFonts w:hint="eastAsia" w:ascii="仿宋" w:hAnsi="仿宋" w:eastAsia="仿宋" w:cs="仿宋"/>
          <w:kern w:val="0"/>
          <w:sz w:val="21"/>
          <w:szCs w:val="21"/>
        </w:rPr>
        <w:t>3、保证“报价产品服务承诺”全部内容的满足；</w:t>
      </w:r>
    </w:p>
    <w:p>
      <w:pPr>
        <w:keepNext w:val="0"/>
        <w:keepLines w:val="0"/>
        <w:pageBreakBefore w:val="0"/>
        <w:widowControl/>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sz w:val="21"/>
          <w:szCs w:val="21"/>
          <w:lang w:val="zh-CN"/>
        </w:rPr>
      </w:pPr>
      <w:r>
        <w:rPr>
          <w:rFonts w:hint="eastAsia" w:ascii="仿宋" w:hAnsi="仿宋" w:eastAsia="仿宋" w:cs="仿宋"/>
          <w:kern w:val="0"/>
          <w:sz w:val="21"/>
          <w:szCs w:val="21"/>
        </w:rPr>
        <w:t>4、若我方成交，保证所送交检验的产品符合</w:t>
      </w:r>
      <w:r>
        <w:rPr>
          <w:rFonts w:hint="eastAsia" w:ascii="仿宋" w:hAnsi="仿宋" w:eastAsia="仿宋" w:cs="仿宋"/>
          <w:kern w:val="0"/>
          <w:sz w:val="21"/>
          <w:szCs w:val="21"/>
          <w:lang w:val="en-US" w:eastAsia="zh-CN"/>
        </w:rPr>
        <w:t>采购</w:t>
      </w:r>
      <w:r>
        <w:rPr>
          <w:rFonts w:hint="eastAsia" w:ascii="仿宋" w:hAnsi="仿宋" w:eastAsia="仿宋" w:cs="仿宋"/>
          <w:kern w:val="0"/>
          <w:sz w:val="21"/>
          <w:szCs w:val="21"/>
        </w:rPr>
        <w:t>文件要求及国家或行业标准，若有不符，则放弃成交，并承担相应的责任。</w:t>
      </w:r>
    </w:p>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仿宋" w:hAnsi="仿宋" w:eastAsia="仿宋" w:cs="仿宋"/>
          <w:b/>
          <w:sz w:val="21"/>
          <w:szCs w:val="21"/>
          <w:lang w:val="zh-CN"/>
        </w:rPr>
      </w:pPr>
      <w:r>
        <w:rPr>
          <w:rFonts w:hint="eastAsia" w:ascii="仿宋" w:hAnsi="仿宋" w:eastAsia="仿宋" w:cs="仿宋"/>
          <w:b/>
          <w:sz w:val="21"/>
          <w:szCs w:val="21"/>
          <w:lang w:val="zh-CN"/>
        </w:rPr>
        <w:t>二、保修年限、范围、保修条件</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sz w:val="21"/>
          <w:szCs w:val="21"/>
          <w:lang w:val="zh-CN"/>
        </w:rPr>
      </w:pPr>
      <w:r>
        <w:rPr>
          <w:rFonts w:hint="eastAsia" w:ascii="仿宋" w:hAnsi="仿宋" w:eastAsia="仿宋" w:cs="仿宋"/>
          <w:color w:val="000000"/>
          <w:sz w:val="21"/>
          <w:szCs w:val="21"/>
        </w:rPr>
        <w:t>我司提供产品质量保修期为</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rPr>
        <w:t>年。在质保期内，发现质量问题，我司负责修理、更换，由此发生的一切费用由我司负责：如因使用不当造成的问题，我司负责修复，只收取材料成本费。</w:t>
      </w:r>
    </w:p>
    <w:p>
      <w:pPr>
        <w:keepNext w:val="0"/>
        <w:keepLines w:val="0"/>
        <w:pageBreakBefore w:val="0"/>
        <w:tabs>
          <w:tab w:val="left" w:pos="840"/>
        </w:tabs>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仿宋" w:hAnsi="仿宋" w:eastAsia="仿宋" w:cs="仿宋"/>
          <w:sz w:val="21"/>
          <w:szCs w:val="21"/>
          <w:lang w:val="zh-CN"/>
        </w:rPr>
      </w:pPr>
      <w:r>
        <w:rPr>
          <w:rFonts w:hint="eastAsia" w:ascii="仿宋" w:hAnsi="仿宋" w:eastAsia="仿宋" w:cs="仿宋"/>
          <w:b/>
          <w:sz w:val="21"/>
          <w:szCs w:val="21"/>
          <w:lang w:val="zh-CN"/>
        </w:rPr>
        <w:t>三、质量问题的处理</w:t>
      </w:r>
      <w:r>
        <w:rPr>
          <w:rFonts w:hint="eastAsia" w:ascii="仿宋" w:hAnsi="仿宋" w:eastAsia="仿宋" w:cs="仿宋"/>
          <w:sz w:val="21"/>
          <w:szCs w:val="21"/>
          <w:lang w:val="zh-CN"/>
        </w:rPr>
        <w:t>：</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sz w:val="21"/>
          <w:szCs w:val="21"/>
          <w:lang w:val="zh-CN"/>
        </w:rPr>
      </w:pPr>
      <w:r>
        <w:rPr>
          <w:rFonts w:hint="eastAsia" w:ascii="仿宋" w:hAnsi="仿宋" w:eastAsia="仿宋" w:cs="仿宋"/>
          <w:color w:val="000000"/>
          <w:sz w:val="21"/>
          <w:szCs w:val="21"/>
        </w:rPr>
        <w:t>质保期内，我司保证每年至少</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rPr>
        <w:t>次的定期检</w:t>
      </w:r>
      <w:r>
        <w:rPr>
          <w:rFonts w:hint="eastAsia" w:ascii="仿宋" w:hAnsi="仿宋" w:eastAsia="仿宋" w:cs="仿宋"/>
          <w:color w:val="000000"/>
          <w:sz w:val="21"/>
          <w:szCs w:val="21"/>
          <w:lang w:val="en-US" w:eastAsia="zh-CN"/>
        </w:rPr>
        <w:t>测</w:t>
      </w:r>
      <w:r>
        <w:rPr>
          <w:rFonts w:hint="eastAsia" w:ascii="仿宋" w:hAnsi="仿宋" w:eastAsia="仿宋" w:cs="仿宋"/>
          <w:color w:val="000000"/>
          <w:sz w:val="21"/>
          <w:szCs w:val="21"/>
        </w:rPr>
        <w:t>（定期巡检内容见后附表），并做好记录：除不可抗力和使用方责任外，费用全部由我司承担。质保期内产品质量经权威机构鉴定为不符合质量要求的，按合同协议承担违约责任。我司将建立完善的维修保档案，为用户提供咨询服务。</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1、本公司提供即时响应服务，对于非紧急故障，对供方的服务指示信息按供方要求</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rPr>
        <w:t>小时内响应到位。</w:t>
      </w:r>
      <w:r>
        <w:rPr>
          <w:rFonts w:hint="eastAsia" w:ascii="仿宋" w:hAnsi="仿宋" w:eastAsia="仿宋" w:cs="仿宋"/>
          <w:color w:val="000000"/>
          <w:sz w:val="21"/>
          <w:szCs w:val="21"/>
          <w:lang w:val="en-US" w:eastAsia="zh-CN"/>
        </w:rPr>
        <w:t>对于出现紧急故障，我司承诺</w:t>
      </w:r>
      <w:r>
        <w:rPr>
          <w:rFonts w:hint="eastAsia" w:ascii="仿宋" w:hAnsi="仿宋" w:eastAsia="仿宋" w:cs="仿宋"/>
          <w:color w:val="000000"/>
          <w:sz w:val="21"/>
          <w:szCs w:val="21"/>
          <w:u w:val="single"/>
          <w:lang w:val="en-US" w:eastAsia="zh-CN"/>
        </w:rPr>
        <w:t xml:space="preserve">    </w:t>
      </w:r>
      <w:r>
        <w:rPr>
          <w:rFonts w:hint="eastAsia" w:ascii="仿宋" w:hAnsi="仿宋" w:eastAsia="仿宋" w:cs="仿宋"/>
          <w:color w:val="000000"/>
          <w:sz w:val="21"/>
          <w:szCs w:val="21"/>
        </w:rPr>
        <w:t>小时内响应到位。</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2、及时提供非设备本身质量引起的其它意外故障的处理。</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在保修期内，凡设备在开箱检验、安装调试、设备调试运转过程中发现的设备及工程质量问题，实行包修、包换、包退、直到产品符合质量要求。承担修理、调换、退货发生的一切费用和买方的直接经济损失。</w:t>
      </w:r>
    </w:p>
    <w:p>
      <w:pPr>
        <w:keepNext w:val="0"/>
        <w:keepLines w:val="0"/>
        <w:pageBreakBefore w:val="0"/>
        <w:tabs>
          <w:tab w:val="left" w:pos="-180"/>
          <w:tab w:val="left" w:pos="36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w:t>
      </w:r>
      <w:r>
        <w:rPr>
          <w:rFonts w:hint="eastAsia" w:ascii="仿宋" w:hAnsi="仿宋" w:eastAsia="仿宋" w:cs="仿宋"/>
          <w:color w:val="000000"/>
          <w:sz w:val="21"/>
          <w:szCs w:val="21"/>
          <w:lang w:val="en-US" w:eastAsia="zh-CN"/>
        </w:rPr>
        <w:t>无条件</w:t>
      </w:r>
      <w:r>
        <w:rPr>
          <w:rFonts w:hint="eastAsia" w:ascii="仿宋" w:hAnsi="仿宋" w:eastAsia="仿宋" w:cs="仿宋"/>
          <w:color w:val="000000"/>
          <w:sz w:val="21"/>
          <w:szCs w:val="21"/>
        </w:rPr>
        <w:t>负责修理和更换任何由于设备自身的质量问题造成的损坏及故障。修好后，我方将一式两份报告给用户，包括故障原因，解决措施，完成修理所需时间及恢复正常运行日期。</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sz w:val="21"/>
          <w:szCs w:val="21"/>
          <w:lang w:val="zh-CN"/>
        </w:rPr>
      </w:pPr>
      <w:r>
        <w:rPr>
          <w:rFonts w:hint="eastAsia" w:ascii="仿宋" w:hAnsi="仿宋" w:eastAsia="仿宋" w:cs="仿宋"/>
          <w:color w:val="000000"/>
          <w:sz w:val="21"/>
          <w:szCs w:val="21"/>
        </w:rPr>
        <w:t>5、在保修期期满时，我方工程师和用户代表将对产品进行另一次测试，任何故障由我方免费解决并取得用户的认可。</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仿宋" w:hAnsi="仿宋" w:eastAsia="仿宋" w:cs="仿宋"/>
          <w:b/>
          <w:sz w:val="21"/>
          <w:szCs w:val="21"/>
          <w:lang w:val="zh-CN"/>
        </w:rPr>
      </w:pPr>
      <w:r>
        <w:rPr>
          <w:rFonts w:hint="eastAsia" w:ascii="仿宋" w:hAnsi="仿宋" w:eastAsia="仿宋" w:cs="仿宋"/>
          <w:b/>
          <w:sz w:val="21"/>
          <w:szCs w:val="21"/>
          <w:lang w:val="zh-CN"/>
        </w:rPr>
        <w:t>四、售后服务联系方式</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负责人：xxx</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联系方式：xxxxxxxxx</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exact"/>
        <w:ind w:left="0" w:firstLine="422" w:firstLineChars="200"/>
        <w:jc w:val="left"/>
        <w:textAlignment w:val="auto"/>
        <w:rPr>
          <w:rFonts w:hint="eastAsia" w:ascii="仿宋" w:hAnsi="仿宋" w:eastAsia="仿宋" w:cs="仿宋"/>
          <w:b/>
          <w:sz w:val="21"/>
          <w:szCs w:val="21"/>
          <w:lang w:val="en-US" w:eastAsia="zh-CN"/>
        </w:rPr>
      </w:pPr>
      <w:r>
        <w:rPr>
          <w:rFonts w:hint="eastAsia" w:ascii="仿宋" w:hAnsi="仿宋" w:eastAsia="仿宋" w:cs="仿宋"/>
          <w:b/>
          <w:sz w:val="21"/>
          <w:szCs w:val="21"/>
          <w:lang w:val="zh-CN"/>
        </w:rPr>
        <w:t>五、</w:t>
      </w:r>
      <w:r>
        <w:rPr>
          <w:rFonts w:hint="eastAsia" w:ascii="仿宋" w:hAnsi="仿宋" w:eastAsia="仿宋" w:cs="仿宋"/>
          <w:b/>
          <w:sz w:val="21"/>
          <w:szCs w:val="21"/>
          <w:lang w:val="en-US" w:eastAsia="zh-CN"/>
        </w:rPr>
        <w:t>售后承诺</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1、有合法的、经生产厂家认可的销售渠道，所提供的货物保证是全新原厂正品，且得到生产厂家提供的在中国大陆标准的技术支持和售后服务。</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2、对合同条款、付款方向全部予以响应。</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3、对使用单位提供技术培训与保养常识培训。</w:t>
      </w:r>
    </w:p>
    <w:p>
      <w:pPr>
        <w:keepNext w:val="0"/>
        <w:keepLines w:val="0"/>
        <w:pageBreakBefore w:val="0"/>
        <w:tabs>
          <w:tab w:val="left" w:pos="0"/>
          <w:tab w:val="left" w:pos="540"/>
        </w:tabs>
        <w:kinsoku/>
        <w:wordWrap/>
        <w:overflowPunct/>
        <w:topLinePunct w:val="0"/>
        <w:bidi w:val="0"/>
        <w:adjustRightInd w:val="0"/>
        <w:snapToGrid w:val="0"/>
        <w:spacing w:beforeAutospacing="0" w:afterAutospacing="0" w:line="360" w:lineRule="exact"/>
        <w:ind w:left="0" w:firstLine="420" w:firstLineChars="200"/>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、设备投入运营后，质保期内整套工程故障免费维修，并提供免费维保；以最优惠的价格供应所需零配件及耗材，免收服务费。</w:t>
      </w:r>
    </w:p>
    <w:p>
      <w:pPr>
        <w:pStyle w:val="29"/>
        <w:spacing w:line="360" w:lineRule="auto"/>
        <w:ind w:left="0" w:leftChars="0" w:firstLine="0" w:firstLineChars="0"/>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p>
    <w:p>
      <w:pPr>
        <w:pStyle w:val="29"/>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4、履约能力</w:t>
      </w:r>
      <w:r>
        <w:rPr>
          <w:rFonts w:hint="eastAsia" w:ascii="仿宋" w:hAnsi="仿宋" w:eastAsia="仿宋" w:cs="仿宋"/>
          <w:b/>
          <w:bCs w:val="0"/>
          <w:sz w:val="22"/>
          <w:szCs w:val="22"/>
          <w:highlight w:val="none"/>
          <w:lang w:val="en-US" w:eastAsia="zh-CN"/>
        </w:rPr>
        <w:t>（如有）</w:t>
      </w:r>
    </w:p>
    <w:p>
      <w:pPr>
        <w:pStyle w:val="31"/>
        <w:keepNext w:val="0"/>
        <w:keepLines w:val="0"/>
        <w:pageBreakBefore w:val="0"/>
        <w:widowControl/>
        <w:kinsoku/>
        <w:wordWrap/>
        <w:overflowPunct/>
        <w:topLinePunct w:val="0"/>
        <w:autoSpaceDE/>
        <w:autoSpaceDN/>
        <w:bidi w:val="0"/>
        <w:adjustRightInd/>
        <w:snapToGrid/>
        <w:spacing w:line="240" w:lineRule="auto"/>
        <w:ind w:firstLine="420"/>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方案包括但不限于:</w:t>
      </w:r>
    </w:p>
    <w:p>
      <w:pPr>
        <w:pStyle w:val="2"/>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（1）产品介绍；</w:t>
      </w:r>
    </w:p>
    <w:p>
      <w:pPr>
        <w:pStyle w:val="2"/>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（2）特色服务方案；</w:t>
      </w:r>
    </w:p>
    <w:p>
      <w:pPr>
        <w:pStyle w:val="2"/>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（3）安全管理方案；</w:t>
      </w:r>
    </w:p>
    <w:p>
      <w:pPr>
        <w:pStyle w:val="2"/>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（4）安装调试方案；</w:t>
      </w:r>
    </w:p>
    <w:p>
      <w:pPr>
        <w:pStyle w:val="2"/>
        <w:rPr>
          <w:rFonts w:hint="default" w:ascii="宋体" w:hAnsi="宋体" w:cs="宋体"/>
          <w:color w:val="auto"/>
          <w:sz w:val="24"/>
          <w:highlight w:val="none"/>
          <w:lang w:val="en-US" w:eastAsia="zh-CN"/>
        </w:rPr>
      </w:pPr>
      <w:r>
        <w:rPr>
          <w:rFonts w:hint="eastAsia" w:ascii="仿宋" w:hAnsi="仿宋" w:eastAsia="仿宋" w:cs="仿宋"/>
          <w:b w:val="0"/>
          <w:bCs/>
          <w:sz w:val="24"/>
          <w:szCs w:val="24"/>
          <w:highlight w:val="none"/>
          <w:lang w:val="en-US" w:eastAsia="zh-CN"/>
        </w:rPr>
        <w:t>（5）应急处理方案。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rPr>
        <w:t xml:space="preserve"> </w:t>
      </w:r>
      <w:r>
        <w:rPr>
          <w:rFonts w:hint="eastAsia" w:ascii="仿宋" w:hAnsi="仿宋" w:eastAsia="仿宋" w:cs="仿宋"/>
          <w:color w:val="auto"/>
          <w:sz w:val="22"/>
          <w:szCs w:val="22"/>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pStyle w:val="2"/>
        <w:rPr>
          <w:rFonts w:hint="default" w:ascii="宋体" w:hAnsi="宋体" w:cs="宋体"/>
          <w:color w:val="auto"/>
          <w:sz w:val="24"/>
          <w:highlight w:val="none"/>
          <w:lang w:val="en-US" w:eastAsia="zh-CN"/>
        </w:rPr>
      </w:pPr>
    </w:p>
    <w:sectPr>
      <w:headerReference r:id="rId4" w:type="default"/>
      <w:footerReference r:id="rId5" w:type="default"/>
      <w:pgSz w:w="11906" w:h="16838"/>
      <w:pgMar w:top="1440" w:right="946" w:bottom="1440"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EB22F2-00A4-435C-BCF4-3B30C69EA8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A6DAFD0-809F-4949-9691-22254EE6E803}"/>
  </w:font>
  <w:font w:name="微软雅黑">
    <w:panose1 w:val="020B0503020204020204"/>
    <w:charset w:val="86"/>
    <w:family w:val="auto"/>
    <w:pitch w:val="default"/>
    <w:sig w:usb0="80000287" w:usb1="2ACF3C50" w:usb2="00000016" w:usb3="00000000" w:csb0="0004001F" w:csb1="00000000"/>
    <w:embedRegular r:id="rId3" w:fontKey="{491ADBE6-6275-4B75-A1B4-5483DB5E87B7}"/>
  </w:font>
  <w:font w:name="方正仿宋简体">
    <w:panose1 w:val="02000000000000000000"/>
    <w:charset w:val="86"/>
    <w:family w:val="auto"/>
    <w:pitch w:val="default"/>
    <w:sig w:usb0="A00002BF" w:usb1="184F6CFA" w:usb2="00000012" w:usb3="00000000" w:csb0="00040001" w:csb1="00000000"/>
    <w:embedRegular r:id="rId4" w:fontKey="{86E4E3A1-16C2-4C0F-AFED-0BEE0333EA04}"/>
  </w:font>
  <w:font w:name="仿宋">
    <w:panose1 w:val="02010609060101010101"/>
    <w:charset w:val="86"/>
    <w:family w:val="auto"/>
    <w:pitch w:val="default"/>
    <w:sig w:usb0="800002BF" w:usb1="38CF7CFA" w:usb2="00000016" w:usb3="00000000" w:csb0="00040001" w:csb1="00000000"/>
    <w:embedRegular r:id="rId5" w:fontKey="{A3BDF4C4-0EED-4A50-8D74-694DF1A5976A}"/>
  </w:font>
  <w:font w:name="华文中宋">
    <w:panose1 w:val="02010600040101010101"/>
    <w:charset w:val="86"/>
    <w:family w:val="auto"/>
    <w:pitch w:val="default"/>
    <w:sig w:usb0="00000287" w:usb1="080F0000" w:usb2="00000000" w:usb3="00000000" w:csb0="0004009F" w:csb1="DFD70000"/>
    <w:embedRegular r:id="rId6" w:fontKey="{3CB6C231-F5F3-489C-AED0-C62BC83C9BAA}"/>
  </w:font>
  <w:font w:name="华文仿宋">
    <w:panose1 w:val="02010600040101010101"/>
    <w:charset w:val="86"/>
    <w:family w:val="auto"/>
    <w:pitch w:val="default"/>
    <w:sig w:usb0="00000287" w:usb1="080F0000" w:usb2="00000000" w:usb3="00000000" w:csb0="0004009F" w:csb1="DFD70000"/>
    <w:embedRegular r:id="rId7" w:fontKey="{7259B8C4-13B7-4BA8-A0F1-C9ACD194EEF4}"/>
  </w:font>
  <w:font w:name="Tahoma">
    <w:panose1 w:val="020B0604030504040204"/>
    <w:charset w:val="00"/>
    <w:family w:val="auto"/>
    <w:pitch w:val="default"/>
    <w:sig w:usb0="E1002EFF" w:usb1="C000605B" w:usb2="00000029" w:usb3="00000000" w:csb0="200101FF" w:csb1="20280000"/>
    <w:embedRegular r:id="rId8" w:fontKey="{9F0381E2-F007-48C6-87C4-DE1B0D8EF3A9}"/>
  </w:font>
  <w:font w:name="Calibri Light">
    <w:panose1 w:val="020F0302020204030204"/>
    <w:charset w:val="00"/>
    <w:family w:val="swiss"/>
    <w:pitch w:val="default"/>
    <w:sig w:usb0="E0002AFF" w:usb1="C000247B" w:usb2="00000009" w:usb3="00000000" w:csb0="200001FF" w:csb1="00000000"/>
    <w:embedRegular r:id="rId9" w:fontKey="{C96FF1BA-4075-459D-8149-4E5DA99AA9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sz w:val="18"/>
        <w:szCs w:val="24"/>
      </w:rPr>
    </w:pPr>
  </w:p>
  <w:p>
    <w:pPr>
      <w:pStyle w:val="17"/>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7"/>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3A473"/>
    <w:multiLevelType w:val="singleLevel"/>
    <w:tmpl w:val="84A3A473"/>
    <w:lvl w:ilvl="0" w:tentative="0">
      <w:start w:val="1"/>
      <w:numFmt w:val="decimal"/>
      <w:suff w:val="nothing"/>
      <w:lvlText w:val="%1．"/>
      <w:lvlJc w:val="left"/>
      <w:pPr>
        <w:ind w:left="0" w:firstLine="400"/>
      </w:pPr>
      <w:rPr>
        <w:rFonts w:hint="default"/>
      </w:rPr>
    </w:lvl>
  </w:abstractNum>
  <w:abstractNum w:abstractNumId="1">
    <w:nsid w:val="C149D80F"/>
    <w:multiLevelType w:val="singleLevel"/>
    <w:tmpl w:val="C149D80F"/>
    <w:lvl w:ilvl="0" w:tentative="0">
      <w:start w:val="1"/>
      <w:numFmt w:val="decimal"/>
      <w:suff w:val="nothing"/>
      <w:lvlText w:val="%1．"/>
      <w:lvlJc w:val="left"/>
      <w:pPr>
        <w:ind w:left="0" w:firstLine="400"/>
      </w:pPr>
      <w:rPr>
        <w:rFonts w:hint="default"/>
      </w:rPr>
    </w:lvl>
  </w:abstractNum>
  <w:abstractNum w:abstractNumId="2">
    <w:nsid w:val="00000000"/>
    <w:multiLevelType w:val="singleLevel"/>
    <w:tmpl w:val="0000000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2"/>
      <w:numFmt w:val="decimal"/>
      <w:lvlText w:val="%1."/>
      <w:lvlJc w:val="left"/>
      <w:pPr>
        <w:tabs>
          <w:tab w:val="left" w:pos="312"/>
        </w:tabs>
      </w:pPr>
    </w:lvl>
  </w:abstractNum>
  <w:abstractNum w:abstractNumId="4">
    <w:nsid w:val="00000003"/>
    <w:multiLevelType w:val="singleLevel"/>
    <w:tmpl w:val="00000003"/>
    <w:lvl w:ilvl="0" w:tentative="0">
      <w:start w:val="4"/>
      <w:numFmt w:val="decimal"/>
      <w:suff w:val="nothing"/>
      <w:lvlText w:val="（%1）"/>
      <w:lvlJc w:val="left"/>
    </w:lvl>
  </w:abstractNum>
  <w:abstractNum w:abstractNumId="5">
    <w:nsid w:val="00000004"/>
    <w:multiLevelType w:val="singleLevel"/>
    <w:tmpl w:val="00000004"/>
    <w:lvl w:ilvl="0" w:tentative="0">
      <w:start w:val="1"/>
      <w:numFmt w:val="decimal"/>
      <w:suff w:val="nothing"/>
      <w:lvlText w:val="%1、"/>
      <w:lvlJc w:val="left"/>
    </w:lvl>
  </w:abstractNum>
  <w:abstractNum w:abstractNumId="6">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7">
    <w:nsid w:val="00000006"/>
    <w:multiLevelType w:val="singleLevel"/>
    <w:tmpl w:val="00000006"/>
    <w:lvl w:ilvl="0" w:tentative="0">
      <w:start w:val="5"/>
      <w:numFmt w:val="chineseCounting"/>
      <w:suff w:val="nothing"/>
      <w:lvlText w:val="（%1）"/>
      <w:lvlJc w:val="left"/>
      <w:rPr>
        <w:rFonts w:hint="eastAsia"/>
      </w:rPr>
    </w:lvl>
  </w:abstractNum>
  <w:abstractNum w:abstractNumId="8">
    <w:nsid w:val="00000007"/>
    <w:multiLevelType w:val="singleLevel"/>
    <w:tmpl w:val="00000007"/>
    <w:lvl w:ilvl="0" w:tentative="0">
      <w:start w:val="1"/>
      <w:numFmt w:val="decimal"/>
      <w:lvlText w:val="(%1)"/>
      <w:lvlJc w:val="left"/>
      <w:pPr>
        <w:ind w:left="425" w:hanging="425"/>
      </w:pPr>
      <w:rPr>
        <w:rFonts w:hint="default"/>
      </w:rPr>
    </w:lvl>
  </w:abstractNum>
  <w:abstractNum w:abstractNumId="9">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00000009"/>
    <w:multiLevelType w:val="singleLevel"/>
    <w:tmpl w:val="00000009"/>
    <w:lvl w:ilvl="0" w:tentative="0">
      <w:start w:val="1"/>
      <w:numFmt w:val="chineseCounting"/>
      <w:suff w:val="nothing"/>
      <w:lvlText w:val="%1、"/>
      <w:lvlJc w:val="left"/>
      <w:rPr>
        <w:rFonts w:hint="eastAsia"/>
      </w:rPr>
    </w:lvl>
  </w:abstractNum>
  <w:abstractNum w:abstractNumId="11">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2">
    <w:nsid w:val="0000000F"/>
    <w:multiLevelType w:val="singleLevel"/>
    <w:tmpl w:val="0000000F"/>
    <w:lvl w:ilvl="0" w:tentative="0">
      <w:start w:val="1"/>
      <w:numFmt w:val="chineseCounting"/>
      <w:suff w:val="nothing"/>
      <w:lvlText w:val="%1、"/>
      <w:lvlJc w:val="left"/>
      <w:rPr>
        <w:rFonts w:hint="eastAsia"/>
      </w:rPr>
    </w:lvl>
  </w:abstractNum>
  <w:abstractNum w:abstractNumId="13">
    <w:nsid w:val="00000010"/>
    <w:multiLevelType w:val="singleLevel"/>
    <w:tmpl w:val="00000010"/>
    <w:lvl w:ilvl="0" w:tentative="0">
      <w:start w:val="1"/>
      <w:numFmt w:val="decimal"/>
      <w:suff w:val="nothing"/>
      <w:lvlText w:val="%1．"/>
      <w:lvlJc w:val="left"/>
      <w:pPr>
        <w:ind w:left="0" w:firstLine="400"/>
      </w:pPr>
      <w:rPr>
        <w:rFonts w:hint="default"/>
        <w:b w:val="0"/>
        <w:bCs w:val="0"/>
      </w:rPr>
    </w:lvl>
  </w:abstractNum>
  <w:abstractNum w:abstractNumId="14">
    <w:nsid w:val="0C62264C"/>
    <w:multiLevelType w:val="singleLevel"/>
    <w:tmpl w:val="0C62264C"/>
    <w:lvl w:ilvl="0" w:tentative="0">
      <w:start w:val="1"/>
      <w:numFmt w:val="decimal"/>
      <w:suff w:val="nothing"/>
      <w:lvlText w:val="%1．"/>
      <w:lvlJc w:val="left"/>
      <w:pPr>
        <w:ind w:left="0" w:firstLine="400"/>
      </w:pPr>
      <w:rPr>
        <w:rFonts w:hint="default"/>
      </w:rPr>
    </w:lvl>
  </w:abstractNum>
  <w:abstractNum w:abstractNumId="15">
    <w:nsid w:val="192648F4"/>
    <w:multiLevelType w:val="singleLevel"/>
    <w:tmpl w:val="192648F4"/>
    <w:lvl w:ilvl="0" w:tentative="0">
      <w:start w:val="1"/>
      <w:numFmt w:val="decimal"/>
      <w:suff w:val="nothing"/>
      <w:lvlText w:val="%1．"/>
      <w:lvlJc w:val="left"/>
      <w:pPr>
        <w:ind w:left="20" w:firstLine="400"/>
      </w:pPr>
      <w:rPr>
        <w:rFonts w:hint="default" w:ascii="仿宋" w:hAnsi="仿宋" w:eastAsia="仿宋" w:cs="仿宋"/>
        <w:sz w:val="24"/>
        <w:szCs w:val="24"/>
      </w:rPr>
    </w:lvl>
  </w:abstractNum>
  <w:abstractNum w:abstractNumId="16">
    <w:nsid w:val="397E11F5"/>
    <w:multiLevelType w:val="singleLevel"/>
    <w:tmpl w:val="397E11F5"/>
    <w:lvl w:ilvl="0" w:tentative="0">
      <w:start w:val="1"/>
      <w:numFmt w:val="decimal"/>
      <w:suff w:val="nothing"/>
      <w:lvlText w:val="（%1）"/>
      <w:lvlJc w:val="left"/>
    </w:lvl>
  </w:abstractNum>
  <w:abstractNum w:abstractNumId="17">
    <w:nsid w:val="4F616BD2"/>
    <w:multiLevelType w:val="singleLevel"/>
    <w:tmpl w:val="4F616BD2"/>
    <w:lvl w:ilvl="0" w:tentative="0">
      <w:start w:val="8"/>
      <w:numFmt w:val="chineseCounting"/>
      <w:suff w:val="nothing"/>
      <w:lvlText w:val="%1、"/>
      <w:lvlJc w:val="left"/>
      <w:rPr>
        <w:rFonts w:hint="eastAsia"/>
      </w:rPr>
    </w:lvl>
  </w:abstractNum>
  <w:abstractNum w:abstractNumId="18">
    <w:nsid w:val="6EA7AB56"/>
    <w:multiLevelType w:val="singleLevel"/>
    <w:tmpl w:val="6EA7AB56"/>
    <w:lvl w:ilvl="0" w:tentative="0">
      <w:start w:val="1"/>
      <w:numFmt w:val="decimal"/>
      <w:suff w:val="nothing"/>
      <w:lvlText w:val="（%1）"/>
      <w:lvlJc w:val="left"/>
    </w:lvl>
  </w:abstractNum>
  <w:num w:numId="1">
    <w:abstractNumId w:val="10"/>
  </w:num>
  <w:num w:numId="2">
    <w:abstractNumId w:val="11"/>
  </w:num>
  <w:num w:numId="3">
    <w:abstractNumId w:val="2"/>
  </w:num>
  <w:num w:numId="4">
    <w:abstractNumId w:val="13"/>
  </w:num>
  <w:num w:numId="5">
    <w:abstractNumId w:val="0"/>
  </w:num>
  <w:num w:numId="6">
    <w:abstractNumId w:val="1"/>
  </w:num>
  <w:num w:numId="7">
    <w:abstractNumId w:val="14"/>
  </w:num>
  <w:num w:numId="8">
    <w:abstractNumId w:val="15"/>
  </w:num>
  <w:num w:numId="9">
    <w:abstractNumId w:val="3"/>
  </w:num>
  <w:num w:numId="10">
    <w:abstractNumId w:val="6"/>
  </w:num>
  <w:num w:numId="11">
    <w:abstractNumId w:val="9"/>
  </w:num>
  <w:num w:numId="12">
    <w:abstractNumId w:val="7"/>
  </w:num>
  <w:num w:numId="13">
    <w:abstractNumId w:val="18"/>
  </w:num>
  <w:num w:numId="14">
    <w:abstractNumId w:val="4"/>
  </w:num>
  <w:num w:numId="15">
    <w:abstractNumId w:val="8"/>
  </w:num>
  <w:num w:numId="16">
    <w:abstractNumId w:val="12"/>
  </w:num>
  <w:num w:numId="17">
    <w:abstractNumId w:val="17"/>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EA43FF"/>
    <w:rsid w:val="049A4077"/>
    <w:rsid w:val="09C6146A"/>
    <w:rsid w:val="0AEC01AE"/>
    <w:rsid w:val="0CEE4F60"/>
    <w:rsid w:val="126F6B43"/>
    <w:rsid w:val="142462D1"/>
    <w:rsid w:val="14977C8B"/>
    <w:rsid w:val="1BB90E2F"/>
    <w:rsid w:val="21814378"/>
    <w:rsid w:val="28497097"/>
    <w:rsid w:val="2D6C114A"/>
    <w:rsid w:val="2D806496"/>
    <w:rsid w:val="3150593A"/>
    <w:rsid w:val="341E6BA4"/>
    <w:rsid w:val="3BBB5DFA"/>
    <w:rsid w:val="44D04970"/>
    <w:rsid w:val="46B650D0"/>
    <w:rsid w:val="4953791E"/>
    <w:rsid w:val="4C8107A0"/>
    <w:rsid w:val="4DAD3AA0"/>
    <w:rsid w:val="4F9754E8"/>
    <w:rsid w:val="4FC155E1"/>
    <w:rsid w:val="502E2F70"/>
    <w:rsid w:val="519F6438"/>
    <w:rsid w:val="573E6EC5"/>
    <w:rsid w:val="58160494"/>
    <w:rsid w:val="59D72CEF"/>
    <w:rsid w:val="5CCB7A9F"/>
    <w:rsid w:val="5E447075"/>
    <w:rsid w:val="670047E9"/>
    <w:rsid w:val="68E32614"/>
    <w:rsid w:val="74D06CEB"/>
    <w:rsid w:val="78F817C4"/>
    <w:rsid w:val="79E72BDC"/>
    <w:rsid w:val="7A1268B5"/>
    <w:rsid w:val="7A17211E"/>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6">
    <w:name w:val="Default Paragraph Font"/>
    <w:qFormat/>
    <w:uiPriority w:val="0"/>
  </w:style>
  <w:style w:type="table" w:default="1" w:styleId="2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snapToGrid w:val="0"/>
    </w:pPr>
    <w:rPr>
      <w:kern w:val="0"/>
      <w:sz w:val="20"/>
    </w:rPr>
  </w:style>
  <w:style w:type="paragraph" w:styleId="7">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8">
    <w:name w:val="Normal Indent"/>
    <w:basedOn w:val="1"/>
    <w:next w:val="9"/>
    <w:qFormat/>
    <w:uiPriority w:val="99"/>
    <w:pPr>
      <w:ind w:firstLine="420"/>
    </w:pPr>
    <w:rPr>
      <w:rFonts w:ascii="Calibri" w:hAnsi="Calibri"/>
      <w:sz w:val="20"/>
      <w:szCs w:val="20"/>
    </w:rPr>
  </w:style>
  <w:style w:type="paragraph" w:styleId="9">
    <w:name w:val="Body Text"/>
    <w:basedOn w:val="1"/>
    <w:next w:val="10"/>
    <w:qFormat/>
    <w:uiPriority w:val="0"/>
    <w:rPr>
      <w:sz w:val="24"/>
    </w:rPr>
  </w:style>
  <w:style w:type="paragraph" w:styleId="1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1">
    <w:name w:val="caption"/>
    <w:basedOn w:val="1"/>
    <w:next w:val="1"/>
    <w:qFormat/>
    <w:uiPriority w:val="99"/>
    <w:rPr>
      <w:rFonts w:ascii="Arial" w:hAnsi="Arial" w:eastAsia="黑体" w:cs="Arial"/>
      <w:sz w:val="20"/>
      <w:szCs w:val="20"/>
    </w:rPr>
  </w:style>
  <w:style w:type="paragraph" w:styleId="12">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3">
    <w:name w:val="Body Text 3"/>
    <w:basedOn w:val="1"/>
    <w:qFormat/>
    <w:uiPriority w:val="99"/>
    <w:pPr>
      <w:spacing w:after="120"/>
    </w:pPr>
    <w:rPr>
      <w:sz w:val="16"/>
      <w:szCs w:val="16"/>
    </w:rPr>
  </w:style>
  <w:style w:type="paragraph" w:styleId="14">
    <w:name w:val="Body Text Indent"/>
    <w:basedOn w:val="1"/>
    <w:qFormat/>
    <w:uiPriority w:val="0"/>
    <w:pPr>
      <w:ind w:firstLine="570"/>
    </w:pPr>
    <w:rPr>
      <w:rFonts w:ascii="宋体" w:hAnsi="宋体"/>
      <w:sz w:val="28"/>
      <w:szCs w:val="20"/>
    </w:rPr>
  </w:style>
  <w:style w:type="paragraph" w:styleId="15">
    <w:name w:val="Plain Text"/>
    <w:basedOn w:val="1"/>
    <w:qFormat/>
    <w:uiPriority w:val="0"/>
    <w:rPr>
      <w:rFonts w:ascii="宋体" w:hAnsi="Courier New"/>
      <w:szCs w:val="20"/>
    </w:rPr>
  </w:style>
  <w:style w:type="paragraph" w:styleId="16">
    <w:name w:val="Date"/>
    <w:basedOn w:val="1"/>
    <w:next w:val="1"/>
    <w:qFormat/>
    <w:uiPriority w:val="0"/>
    <w:pPr>
      <w:autoSpaceDE w:val="0"/>
      <w:autoSpaceDN w:val="0"/>
      <w:adjustRightInd w:val="0"/>
      <w:textAlignment w:val="baseline"/>
    </w:pPr>
    <w:rPr>
      <w:rFonts w:ascii="宋体"/>
      <w:kern w:val="0"/>
      <w:sz w:val="28"/>
      <w:szCs w:val="20"/>
    </w:rPr>
  </w:style>
  <w:style w:type="paragraph" w:styleId="17">
    <w:name w:val="footer"/>
    <w:basedOn w:val="1"/>
    <w:next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20">
    <w:name w:val="toc 2"/>
    <w:basedOn w:val="1"/>
    <w:next w:val="1"/>
    <w:qFormat/>
    <w:uiPriority w:val="39"/>
    <w:pPr>
      <w:tabs>
        <w:tab w:val="right" w:leader="dot" w:pos="8296"/>
      </w:tabs>
      <w:ind w:left="420" w:leftChars="200"/>
    </w:pPr>
  </w:style>
  <w:style w:type="paragraph" w:styleId="21">
    <w:name w:val="Body Text 2"/>
    <w:basedOn w:val="1"/>
    <w:qFormat/>
    <w:uiPriority w:val="0"/>
    <w:pPr>
      <w:spacing w:line="360" w:lineRule="auto"/>
    </w:pPr>
    <w:rPr>
      <w:rFonts w:ascii="宋体" w:hAnsi="宋体"/>
      <w:color w:val="000000"/>
      <w:sz w:val="24"/>
      <w:szCs w:val="20"/>
    </w:rPr>
  </w:style>
  <w:style w:type="paragraph" w:styleId="22">
    <w:name w:val="Normal (Web)"/>
    <w:basedOn w:val="1"/>
    <w:qFormat/>
    <w:uiPriority w:val="0"/>
    <w:pPr>
      <w:spacing w:before="0" w:beforeAutospacing="1" w:after="0" w:afterAutospacing="1"/>
      <w:ind w:left="0" w:right="0"/>
      <w:jc w:val="left"/>
    </w:pPr>
    <w:rPr>
      <w:kern w:val="0"/>
      <w:sz w:val="24"/>
      <w:lang w:val="en-US" w:eastAsia="zh-CN"/>
    </w:rPr>
  </w:style>
  <w:style w:type="paragraph" w:styleId="23">
    <w:name w:val="Body Text First Indent"/>
    <w:basedOn w:val="9"/>
    <w:qFormat/>
    <w:uiPriority w:val="99"/>
    <w:pPr>
      <w:spacing w:after="120"/>
      <w:ind w:firstLine="420" w:firstLineChars="100"/>
    </w:pPr>
    <w:rPr>
      <w:sz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qFormat/>
    <w:uiPriority w:val="99"/>
    <w:rPr>
      <w:color w:val="0000FF"/>
      <w:u w:val="single"/>
    </w:rPr>
  </w:style>
  <w:style w:type="paragraph" w:customStyle="1" w:styleId="29">
    <w:name w:val="_Style 3"/>
    <w:basedOn w:val="1"/>
    <w:qFormat/>
    <w:uiPriority w:val="0"/>
    <w:pPr>
      <w:ind w:firstLine="420" w:firstLineChars="200"/>
    </w:pPr>
    <w:rPr>
      <w:sz w:val="20"/>
    </w:rPr>
  </w:style>
  <w:style w:type="paragraph" w:customStyle="1" w:styleId="3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1">
    <w:name w:val="正文缩进1"/>
    <w:basedOn w:val="32"/>
    <w:next w:val="30"/>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6"/>
    <w:qFormat/>
    <w:uiPriority w:val="0"/>
    <w:rPr>
      <w:rFonts w:hint="eastAsia" w:ascii="宋体" w:hAnsi="宋体" w:eastAsia="宋体" w:cs="宋体"/>
      <w:color w:val="000000"/>
      <w:sz w:val="21"/>
      <w:szCs w:val="21"/>
      <w:u w:val="none"/>
    </w:rPr>
  </w:style>
  <w:style w:type="character" w:customStyle="1" w:styleId="39">
    <w:name w:val="font21"/>
    <w:basedOn w:val="26"/>
    <w:qFormat/>
    <w:uiPriority w:val="0"/>
    <w:rPr>
      <w:rFonts w:hint="eastAsia" w:ascii="宋体" w:hAnsi="宋体" w:eastAsia="宋体" w:cs="宋体"/>
      <w:b/>
      <w:bCs/>
      <w:color w:val="000000"/>
      <w:sz w:val="18"/>
      <w:szCs w:val="18"/>
      <w:u w:val="none"/>
    </w:rPr>
  </w:style>
  <w:style w:type="character" w:customStyle="1" w:styleId="40">
    <w:name w:val="font31"/>
    <w:basedOn w:val="26"/>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11"/>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6"/>
    <w:qFormat/>
    <w:uiPriority w:val="0"/>
    <w:rPr>
      <w:rFonts w:hint="eastAsia" w:ascii="宋体" w:hAnsi="宋体" w:eastAsia="宋体" w:cs="宋体"/>
      <w:color w:val="000000"/>
      <w:sz w:val="21"/>
      <w:szCs w:val="21"/>
      <w:u w:val="none"/>
    </w:rPr>
  </w:style>
  <w:style w:type="character" w:customStyle="1" w:styleId="47">
    <w:name w:val="font131"/>
    <w:basedOn w:val="26"/>
    <w:qFormat/>
    <w:uiPriority w:val="0"/>
    <w:rPr>
      <w:rFonts w:hint="eastAsia" w:ascii="宋体" w:hAnsi="宋体" w:eastAsia="宋体" w:cs="宋体"/>
      <w:b/>
      <w:bCs/>
      <w:i/>
      <w:iCs/>
      <w:color w:val="000000"/>
      <w:sz w:val="21"/>
      <w:szCs w:val="21"/>
      <w:u w:val="none"/>
    </w:rPr>
  </w:style>
  <w:style w:type="character" w:customStyle="1" w:styleId="48">
    <w:name w:val="font101"/>
    <w:basedOn w:val="26"/>
    <w:qFormat/>
    <w:uiPriority w:val="0"/>
    <w:rPr>
      <w:rFonts w:hint="default" w:ascii="Times New Roman" w:hAnsi="Times New Roman" w:cs="Times New Roman"/>
      <w:b/>
      <w:bCs/>
      <w:i/>
      <w:iCs/>
      <w:color w:val="000000"/>
      <w:sz w:val="21"/>
      <w:szCs w:val="21"/>
      <w:u w:val="none"/>
    </w:rPr>
  </w:style>
  <w:style w:type="character" w:customStyle="1" w:styleId="49">
    <w:name w:val="font71"/>
    <w:basedOn w:val="26"/>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27563</Words>
  <Characters>28210</Characters>
  <Paragraphs>2008</Paragraphs>
  <TotalTime>2</TotalTime>
  <ScaleCrop>false</ScaleCrop>
  <LinksUpToDate>false</LinksUpToDate>
  <CharactersWithSpaces>30372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2023-09-06T02:59:19Z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