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7"/>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3080</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非120急救医疗转运服务项目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7"/>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13日</w:t>
      </w: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第一章</w:t>
      </w:r>
      <w:r>
        <w:rPr>
          <w:rStyle w:val="26"/>
          <w:rFonts w:hint="eastAsia" w:ascii="仿宋" w:hAnsi="仿宋" w:eastAsia="仿宋" w:cs="仿宋"/>
          <w:b/>
          <w:color w:val="000000"/>
          <w:sz w:val="32"/>
          <w:szCs w:val="32"/>
          <w:highlight w:val="none"/>
          <w:lang w:val="en-US" w:eastAsia="zh-CN"/>
        </w:rPr>
        <w:t xml:space="preserve"> 比选邀请</w:t>
      </w:r>
      <w:r>
        <w:rPr>
          <w:rStyle w:val="26"/>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第二章</w:t>
      </w:r>
      <w:r>
        <w:rPr>
          <w:rStyle w:val="26"/>
          <w:rFonts w:hint="eastAsia" w:ascii="仿宋" w:hAnsi="仿宋" w:eastAsia="仿宋" w:cs="仿宋"/>
          <w:b/>
          <w:color w:val="000000"/>
          <w:sz w:val="32"/>
          <w:szCs w:val="32"/>
          <w:highlight w:val="none"/>
          <w:lang w:val="en-US" w:eastAsia="zh-CN"/>
        </w:rPr>
        <w:t xml:space="preserve"> </w:t>
      </w:r>
      <w:r>
        <w:rPr>
          <w:rStyle w:val="26"/>
          <w:rFonts w:hint="eastAsia" w:ascii="仿宋" w:hAnsi="仿宋" w:eastAsia="仿宋" w:cs="仿宋"/>
          <w:b/>
          <w:color w:val="000000"/>
          <w:sz w:val="32"/>
          <w:szCs w:val="32"/>
          <w:highlight w:val="none"/>
          <w:lang w:eastAsia="zh-CN"/>
        </w:rPr>
        <w:t>用户</w:t>
      </w:r>
      <w:r>
        <w:rPr>
          <w:rStyle w:val="26"/>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6"/>
          <w:rFonts w:hint="eastAsia" w:ascii="仿宋" w:hAnsi="仿宋" w:eastAsia="仿宋" w:cs="仿宋"/>
          <w:b/>
          <w:color w:val="000000"/>
          <w:sz w:val="32"/>
          <w:szCs w:val="32"/>
          <w:highlight w:val="none"/>
        </w:rPr>
        <w:t>第三章</w:t>
      </w:r>
      <w:r>
        <w:rPr>
          <w:rStyle w:val="26"/>
          <w:rFonts w:hint="eastAsia" w:ascii="仿宋" w:hAnsi="仿宋" w:eastAsia="仿宋" w:cs="仿宋"/>
          <w:b/>
          <w:color w:val="000000"/>
          <w:sz w:val="32"/>
          <w:szCs w:val="32"/>
          <w:highlight w:val="none"/>
          <w:lang w:val="en-US" w:eastAsia="zh-CN"/>
        </w:rPr>
        <w:t xml:space="preserve"> 响应</w:t>
      </w:r>
      <w:r>
        <w:rPr>
          <w:rStyle w:val="26"/>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7"/>
        <w:rPr>
          <w:rFonts w:hint="eastAsia"/>
          <w:highlight w:val="none"/>
        </w:rPr>
      </w:pPr>
    </w:p>
    <w:p>
      <w:pPr>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ind w:left="0" w:leftChars="0" w:firstLine="0" w:firstLineChars="0"/>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39527"/>
      <w:bookmarkStart w:id="1" w:name="_Toc50691018"/>
      <w:bookmarkStart w:id="2" w:name="_Toc76354913"/>
      <w:bookmarkStart w:id="3" w:name="_Toc50737317"/>
      <w:bookmarkStart w:id="4" w:name="_Toc50737285"/>
      <w:bookmarkStart w:id="5" w:name="_Toc385940868"/>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我院非120急救医疗转运服务项目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ZCB-2023080</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非120急救医疗转运服务项目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2"/>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1438"/>
        <w:gridCol w:w="1676"/>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88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73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08"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76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24个月</w:t>
            </w:r>
          </w:p>
        </w:tc>
        <w:tc>
          <w:tcPr>
            <w:tcW w:w="88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25800元/月</w:t>
            </w:r>
          </w:p>
        </w:tc>
        <w:tc>
          <w:tcPr>
            <w:tcW w:w="1739"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61.92</w:t>
            </w:r>
            <w:r>
              <w:rPr>
                <w:rFonts w:hint="eastAsia" w:ascii="仿宋" w:hAnsi="仿宋" w:eastAsia="仿宋" w:cs="仿宋"/>
                <w:sz w:val="24"/>
                <w:szCs w:val="24"/>
                <w:highlight w:val="none"/>
              </w:rPr>
              <w:t>万</w:t>
            </w:r>
            <w:r>
              <w:rPr>
                <w:rFonts w:hint="eastAsia" w:ascii="仿宋" w:hAnsi="仿宋" w:eastAsia="仿宋" w:cs="仿宋"/>
                <w:sz w:val="24"/>
                <w:szCs w:val="24"/>
              </w:rPr>
              <w:t>元（</w:t>
            </w:r>
            <w:r>
              <w:rPr>
                <w:rFonts w:hint="eastAsia" w:ascii="仿宋" w:hAnsi="仿宋" w:eastAsia="仿宋" w:cs="仿宋"/>
                <w:sz w:val="24"/>
                <w:szCs w:val="24"/>
                <w:lang w:val="en-US" w:eastAsia="zh-CN"/>
              </w:rPr>
              <w:t>24个月</w:t>
            </w:r>
            <w:r>
              <w:rPr>
                <w:rFonts w:hint="eastAsia" w:ascii="仿宋" w:hAnsi="仿宋" w:eastAsia="仿宋" w:cs="仿宋"/>
                <w:sz w:val="24"/>
                <w:szCs w:val="24"/>
              </w:rPr>
              <w:t>）</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2"/>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5"/>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5"/>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5"/>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非120急救医疗转运</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19</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5"/>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5"/>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w:t>
      </w:r>
      <w:r>
        <w:rPr>
          <w:rFonts w:hint="eastAsia" w:ascii="仿宋" w:hAnsi="仿宋" w:eastAsia="仿宋" w:cs="仿宋"/>
          <w:sz w:val="24"/>
          <w:szCs w:val="24"/>
          <w:highlight w:val="none"/>
          <w:lang w:val="en-US" w:eastAsia="zh-CN"/>
        </w:rPr>
        <w:t>拟投入本项目的救护车司机（不少于两人，轮班制，必须保证至少1人在岗值班）必须具有B照或以上驾驶证（提供证书复印件、自2023年6月以来任意一个月在供应商缴纳社保的证明材料复印件，证明资料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bookmarkStart w:id="22" w:name="_GoBack"/>
      <w:bookmarkEnd w:id="22"/>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2023年9月21日中午12:00，广州市越秀区长堤大马路171号一方长堤健康产业中心（原威力斯大楼）907室。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13日</w:t>
      </w:r>
    </w:p>
    <w:p>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9"/>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76354916"/>
      <w:bookmarkStart w:id="9" w:name="_Toc50737320"/>
      <w:bookmarkStart w:id="10" w:name="_Toc50736468"/>
      <w:bookmarkStart w:id="11" w:name="_Toc50691021"/>
      <w:bookmarkStart w:id="12" w:name="_Toc50737288"/>
      <w:bookmarkStart w:id="13" w:name="_Toc385939528"/>
      <w:bookmarkStart w:id="14" w:name="_Toc385940869"/>
      <w:bookmarkStart w:id="15" w:name="_Toc417914518"/>
    </w:p>
    <w:p>
      <w:pPr>
        <w:pStyle w:val="27"/>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9"/>
        <w:rPr>
          <w:rFonts w:hint="eastAsia"/>
          <w:color w:val="000000"/>
          <w:highlight w:val="none"/>
        </w:rPr>
      </w:pP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本项目为中山大学孙逸仙纪念医院非120急救医疗转运服务项目，包括但不限于病人、家属及医护人员医疗转运，标本/血液输送转运及院方要求的其他非医疗转运服务。</w:t>
      </w:r>
    </w:p>
    <w:tbl>
      <w:tblPr>
        <w:tblStyle w:val="22"/>
        <w:tblW w:w="45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2"/>
        <w:gridCol w:w="1439"/>
        <w:gridCol w:w="1675"/>
        <w:gridCol w:w="3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服务内容</w:t>
            </w:r>
          </w:p>
        </w:tc>
        <w:tc>
          <w:tcPr>
            <w:tcW w:w="76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rPr>
              <w:t>服务期限</w:t>
            </w:r>
          </w:p>
        </w:tc>
        <w:tc>
          <w:tcPr>
            <w:tcW w:w="89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tc>
        <w:tc>
          <w:tcPr>
            <w:tcW w:w="172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rPr>
            </w:pPr>
            <w:r>
              <w:rPr>
                <w:rFonts w:hint="eastAsia" w:ascii="仿宋" w:hAnsi="仿宋" w:eastAsia="仿宋" w:cs="仿宋"/>
                <w:sz w:val="24"/>
                <w:szCs w:val="24"/>
                <w:lang w:val="en-US" w:eastAsia="zh-CN"/>
              </w:rPr>
              <w:t>项目</w:t>
            </w:r>
            <w:r>
              <w:rPr>
                <w:rFonts w:hint="eastAsia" w:ascii="仿宋" w:hAnsi="仿宋" w:eastAsia="仿宋" w:cs="仿宋"/>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16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767"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24个月</w:t>
            </w:r>
          </w:p>
        </w:tc>
        <w:tc>
          <w:tcPr>
            <w:tcW w:w="89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25800元/月</w:t>
            </w:r>
          </w:p>
        </w:tc>
        <w:tc>
          <w:tcPr>
            <w:tcW w:w="172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highlight w:val="none"/>
                <w:lang w:val="en-US" w:eastAsia="zh-CN"/>
              </w:rPr>
              <w:t>61.92</w:t>
            </w:r>
            <w:r>
              <w:rPr>
                <w:rFonts w:hint="eastAsia" w:ascii="仿宋" w:hAnsi="仿宋" w:eastAsia="仿宋" w:cs="仿宋"/>
                <w:sz w:val="24"/>
                <w:szCs w:val="24"/>
                <w:highlight w:val="none"/>
              </w:rPr>
              <w:t>万</w:t>
            </w:r>
            <w:r>
              <w:rPr>
                <w:rFonts w:hint="eastAsia" w:ascii="仿宋" w:hAnsi="仿宋" w:eastAsia="仿宋" w:cs="仿宋"/>
                <w:sz w:val="24"/>
                <w:szCs w:val="24"/>
              </w:rPr>
              <w:t>元（</w:t>
            </w:r>
            <w:r>
              <w:rPr>
                <w:rFonts w:hint="eastAsia" w:ascii="仿宋" w:hAnsi="仿宋" w:eastAsia="仿宋" w:cs="仿宋"/>
                <w:sz w:val="24"/>
                <w:szCs w:val="24"/>
                <w:lang w:val="en-US" w:eastAsia="zh-CN"/>
              </w:rPr>
              <w:t>24个月</w:t>
            </w:r>
            <w:r>
              <w:rPr>
                <w:rFonts w:hint="eastAsia" w:ascii="仿宋" w:hAnsi="仿宋" w:eastAsia="仿宋" w:cs="仿宋"/>
                <w:sz w:val="24"/>
                <w:szCs w:val="24"/>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二、转运</w:t>
      </w:r>
      <w:r>
        <w:rPr>
          <w:rFonts w:hint="eastAsia" w:ascii="仿宋" w:hAnsi="仿宋" w:eastAsia="仿宋" w:cs="仿宋"/>
          <w:b/>
          <w:color w:val="000000"/>
          <w:sz w:val="24"/>
          <w:szCs w:val="24"/>
          <w:highlight w:val="none"/>
        </w:rPr>
        <w:t>要求</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服务时间：全天24小时响应，</w:t>
      </w:r>
      <w:r>
        <w:rPr>
          <w:rFonts w:hint="eastAsia" w:ascii="仿宋" w:hAnsi="仿宋" w:eastAsia="仿宋" w:cs="仿宋"/>
          <w:b w:val="0"/>
          <w:bCs/>
          <w:color w:val="000000"/>
          <w:sz w:val="24"/>
          <w:szCs w:val="24"/>
          <w:highlight w:val="none"/>
          <w:lang w:val="en-US" w:eastAsia="zh-CN"/>
        </w:rPr>
        <w:t>含</w:t>
      </w:r>
      <w:r>
        <w:rPr>
          <w:rFonts w:hint="eastAsia" w:ascii="仿宋" w:hAnsi="仿宋" w:eastAsia="仿宋" w:cs="仿宋"/>
          <w:b w:val="0"/>
          <w:bCs/>
          <w:color w:val="000000"/>
          <w:sz w:val="24"/>
          <w:szCs w:val="24"/>
          <w:highlight w:val="none"/>
          <w:lang w:eastAsia="zh-CN"/>
        </w:rPr>
        <w:t>工作日、</w:t>
      </w:r>
      <w:r>
        <w:rPr>
          <w:rFonts w:hint="eastAsia" w:ascii="仿宋" w:hAnsi="仿宋" w:eastAsia="仿宋" w:cs="仿宋"/>
          <w:b w:val="0"/>
          <w:bCs/>
          <w:color w:val="000000"/>
          <w:sz w:val="24"/>
          <w:szCs w:val="24"/>
          <w:highlight w:val="none"/>
          <w:lang w:val="en-US" w:eastAsia="zh-CN"/>
        </w:rPr>
        <w:t>法定节假日。</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★服务内容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负责为南院区</w:t>
      </w:r>
      <w:r>
        <w:rPr>
          <w:rFonts w:hint="eastAsia" w:ascii="仿宋" w:hAnsi="仿宋" w:eastAsia="仿宋" w:cs="仿宋"/>
          <w:b w:val="0"/>
          <w:bCs/>
          <w:color w:val="000000"/>
          <w:sz w:val="24"/>
          <w:szCs w:val="24"/>
          <w:highlight w:val="none"/>
          <w:lang w:val="en-US" w:eastAsia="zh-CN"/>
        </w:rPr>
        <w:t>提供</w:t>
      </w:r>
      <w:r>
        <w:rPr>
          <w:rFonts w:hint="eastAsia" w:ascii="仿宋" w:hAnsi="仿宋" w:eastAsia="仿宋" w:cs="仿宋"/>
          <w:b w:val="0"/>
          <w:bCs/>
          <w:color w:val="000000"/>
          <w:sz w:val="24"/>
          <w:szCs w:val="24"/>
          <w:highlight w:val="none"/>
          <w:lang w:eastAsia="zh-CN"/>
        </w:rPr>
        <w:t>常规非120急救的医疗转运服务，及院方要求的其他非医疗转运服务，相关服务按卫生行政部门要求的非120急救转运流程、标准提供。</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供应商需提供一辆专用救护车停在院方院内指定位置，确保</w:t>
      </w:r>
      <w:r>
        <w:rPr>
          <w:rFonts w:hint="eastAsia" w:ascii="仿宋" w:hAnsi="仿宋" w:eastAsia="仿宋" w:cs="仿宋"/>
          <w:b w:val="0"/>
          <w:bCs/>
          <w:color w:val="000000"/>
          <w:sz w:val="24"/>
          <w:szCs w:val="24"/>
          <w:highlight w:val="none"/>
          <w:lang w:val="en-US" w:eastAsia="zh-CN"/>
        </w:rPr>
        <w:t>服务期内24小时</w:t>
      </w:r>
      <w:r>
        <w:rPr>
          <w:rFonts w:hint="eastAsia" w:ascii="仿宋" w:hAnsi="仿宋" w:eastAsia="仿宋" w:cs="仿宋"/>
          <w:b w:val="0"/>
          <w:bCs/>
          <w:color w:val="000000"/>
          <w:sz w:val="24"/>
          <w:szCs w:val="24"/>
          <w:highlight w:val="none"/>
          <w:lang w:eastAsia="zh-CN"/>
        </w:rPr>
        <w:t>随时可用。救护车参考品牌为奔驰、福特全顺、丰田、金龙或优于上述品牌档次。</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供应商拟投入本项目车辆必须权属清晰，承诺无重大维修记录及重大事故记录，上牌注册时间要求在2018年及以后，车辆年审合格，符合环保要求，定时购买交强险、商业保险</w:t>
      </w:r>
      <w:r>
        <w:rPr>
          <w:rFonts w:hint="eastAsia" w:ascii="仿宋" w:hAnsi="仿宋" w:eastAsia="仿宋" w:cs="仿宋"/>
          <w:b w:val="0"/>
          <w:bCs/>
          <w:color w:val="000000"/>
          <w:sz w:val="24"/>
          <w:szCs w:val="24"/>
          <w:highlight w:val="none"/>
          <w:lang w:val="en-US" w:eastAsia="zh-CN"/>
        </w:rPr>
        <w:t>等车辆保险</w:t>
      </w:r>
      <w:r>
        <w:rPr>
          <w:rFonts w:hint="eastAsia" w:ascii="仿宋" w:hAnsi="仿宋" w:eastAsia="仿宋" w:cs="仿宋"/>
          <w:b w:val="0"/>
          <w:bCs/>
          <w:color w:val="000000"/>
          <w:sz w:val="24"/>
          <w:szCs w:val="24"/>
          <w:highlight w:val="none"/>
          <w:lang w:eastAsia="zh-CN"/>
        </w:rPr>
        <w:t>。</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供应商需</w:t>
      </w:r>
      <w:r>
        <w:rPr>
          <w:rFonts w:hint="eastAsia" w:ascii="仿宋" w:hAnsi="仿宋" w:eastAsia="仿宋" w:cs="仿宋"/>
          <w:b w:val="0"/>
          <w:bCs/>
          <w:color w:val="000000"/>
          <w:sz w:val="24"/>
          <w:szCs w:val="24"/>
          <w:highlight w:val="none"/>
          <w:lang w:eastAsia="zh-CN"/>
        </w:rPr>
        <w:t>为本项目投入备用车辆，确保完成24小时运送任务。</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救护车上必须配备基础的医疗设备（详见车载设备需求配置表），并确保所配备设备符合相关医疗管理规定。车载医疗设备投入使用前需向院方备案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b w:val="0"/>
          <w:bCs/>
          <w:color w:val="000000"/>
          <w:sz w:val="24"/>
          <w:szCs w:val="24"/>
          <w:highlight w:val="none"/>
          <w:lang w:eastAsia="zh-CN"/>
        </w:rPr>
        <w:t>相关医疗器械注册证件资料，并确保</w:t>
      </w:r>
      <w:r>
        <w:rPr>
          <w:rFonts w:hint="eastAsia" w:ascii="仿宋" w:hAnsi="仿宋" w:eastAsia="仿宋" w:cs="仿宋"/>
          <w:b w:val="0"/>
          <w:bCs/>
          <w:color w:val="000000"/>
          <w:sz w:val="24"/>
          <w:szCs w:val="24"/>
          <w:highlight w:val="none"/>
          <w:lang w:val="en-US" w:eastAsia="zh-CN"/>
        </w:rPr>
        <w:t>服务</w:t>
      </w:r>
      <w:r>
        <w:rPr>
          <w:rFonts w:hint="eastAsia" w:ascii="仿宋" w:hAnsi="仿宋" w:eastAsia="仿宋" w:cs="仿宋"/>
          <w:b w:val="0"/>
          <w:bCs/>
          <w:color w:val="000000"/>
          <w:sz w:val="24"/>
          <w:szCs w:val="24"/>
          <w:highlight w:val="none"/>
          <w:lang w:eastAsia="zh-CN"/>
        </w:rPr>
        <w:t>期内设备技术参数与注册证件资料要求相一致。</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2"/>
        <w:tblW w:w="6658" w:type="dxa"/>
        <w:jc w:val="center"/>
        <w:tblLayout w:type="fixed"/>
        <w:tblCellMar>
          <w:top w:w="0" w:type="dxa"/>
          <w:left w:w="108" w:type="dxa"/>
          <w:bottom w:w="0" w:type="dxa"/>
          <w:right w:w="108" w:type="dxa"/>
        </w:tblCellMar>
      </w:tblPr>
      <w:tblGrid>
        <w:gridCol w:w="5002"/>
        <w:gridCol w:w="854"/>
        <w:gridCol w:w="802"/>
      </w:tblGrid>
      <w:tr>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（6）</w:t>
      </w:r>
      <w:r>
        <w:rPr>
          <w:rFonts w:hint="eastAsia" w:ascii="仿宋" w:hAnsi="仿宋" w:eastAsia="仿宋" w:cs="仿宋"/>
          <w:b w:val="0"/>
          <w:bCs/>
          <w:color w:val="000000"/>
          <w:sz w:val="24"/>
          <w:szCs w:val="24"/>
          <w:highlight w:val="none"/>
          <w:lang w:val="en-US" w:eastAsia="zh-CN"/>
        </w:rPr>
        <w:t>供应商须购买医疗责任保险和人员意外险，来往运输安全责任全权由供应商负责。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（7）</w:t>
      </w:r>
      <w:r>
        <w:rPr>
          <w:rFonts w:hint="eastAsia" w:ascii="仿宋" w:hAnsi="仿宋" w:eastAsia="仿宋" w:cs="仿宋"/>
          <w:b w:val="0"/>
          <w:bCs/>
          <w:color w:val="000000"/>
          <w:sz w:val="24"/>
          <w:szCs w:val="24"/>
          <w:highlight w:val="none"/>
          <w:lang w:val="en-US" w:eastAsia="zh-CN"/>
        </w:rPr>
        <w:t>医疗转运过程中的医疗安全责任由供应商负责。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2"/>
          <w:sz w:val="24"/>
          <w:szCs w:val="24"/>
          <w:lang w:val="en-US" w:eastAsia="zh-CN" w:bidi="ar-SA"/>
        </w:rPr>
        <w:t>（8）</w:t>
      </w:r>
      <w:r>
        <w:rPr>
          <w:rFonts w:hint="eastAsia" w:ascii="仿宋" w:hAnsi="仿宋" w:eastAsia="仿宋" w:cs="仿宋"/>
          <w:b w:val="0"/>
          <w:bCs/>
          <w:color w:val="000000"/>
          <w:sz w:val="24"/>
          <w:szCs w:val="24"/>
          <w:highlight w:val="none"/>
          <w:lang w:val="en-US" w:eastAsia="zh-CN"/>
        </w:rPr>
        <w:t>供应商在转运过程中不得收取任何额外费用，救护车辆燃油费、维修费、保险费、路桥费等运营费用均由供应商负责。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720" w:firstLineChars="3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3.驻点司机要求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1</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为本项目配备的</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w:t>
      </w:r>
      <w:r>
        <w:rPr>
          <w:rFonts w:hint="eastAsia" w:ascii="仿宋" w:hAnsi="仿宋" w:eastAsia="仿宋" w:cs="仿宋"/>
          <w:b w:val="0"/>
          <w:bCs/>
          <w:color w:val="000000"/>
          <w:sz w:val="24"/>
          <w:szCs w:val="24"/>
          <w:highlight w:val="none"/>
          <w:lang w:val="en-US" w:eastAsia="zh-CN"/>
        </w:rPr>
        <w:t>不少于2人，轮班制，必须保证至少1人在岗值班</w:t>
      </w:r>
      <w:r>
        <w:rPr>
          <w:rFonts w:hint="eastAsia" w:ascii="仿宋" w:hAnsi="仿宋" w:eastAsia="仿宋" w:cs="仿宋"/>
          <w:b w:val="0"/>
          <w:bCs/>
          <w:color w:val="000000"/>
          <w:sz w:val="24"/>
          <w:szCs w:val="24"/>
          <w:highlight w:val="none"/>
          <w:lang w:eastAsia="zh-CN"/>
        </w:rPr>
        <w:t>），需遵照医院相关规章制度，遵从院方管理人员指挥，按时按质完成院方分派的医疗转运任务。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自接到院方通知，驻点司机</w:t>
      </w:r>
      <w:r>
        <w:rPr>
          <w:rFonts w:hint="eastAsia" w:ascii="仿宋" w:hAnsi="仿宋" w:eastAsia="仿宋" w:cs="仿宋"/>
          <w:b w:val="0"/>
          <w:bCs/>
          <w:color w:val="000000"/>
          <w:sz w:val="24"/>
          <w:szCs w:val="24"/>
          <w:highlight w:val="none"/>
          <w:lang w:eastAsia="zh-CN"/>
        </w:rPr>
        <w:t>需在1</w:t>
      </w:r>
      <w:r>
        <w:rPr>
          <w:rFonts w:hint="eastAsia" w:ascii="仿宋" w:hAnsi="仿宋" w:eastAsia="仿宋" w:cs="仿宋"/>
          <w:b w:val="0"/>
          <w:bCs/>
          <w:color w:val="000000"/>
          <w:sz w:val="24"/>
          <w:szCs w:val="24"/>
          <w:highlight w:val="none"/>
          <w:lang w:val="en-US" w:eastAsia="zh-CN"/>
        </w:rPr>
        <w:t>5</w:t>
      </w:r>
      <w:r>
        <w:rPr>
          <w:rFonts w:hint="eastAsia" w:ascii="仿宋" w:hAnsi="仿宋" w:eastAsia="仿宋" w:cs="仿宋"/>
          <w:b w:val="0"/>
          <w:bCs/>
          <w:color w:val="000000"/>
          <w:sz w:val="24"/>
          <w:szCs w:val="24"/>
          <w:highlight w:val="none"/>
          <w:lang w:eastAsia="zh-CN"/>
        </w:rPr>
        <w:t>分钟内响应并出车。</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（3）供应商须保证所派驻司机的稳定性，不得随意更换。如</w:t>
      </w:r>
      <w:r>
        <w:rPr>
          <w:rFonts w:hint="eastAsia" w:ascii="仿宋" w:hAnsi="仿宋" w:eastAsia="仿宋" w:cs="仿宋"/>
          <w:b w:val="0"/>
          <w:bCs/>
          <w:color w:val="000000"/>
          <w:sz w:val="24"/>
          <w:szCs w:val="24"/>
          <w:highlight w:val="none"/>
          <w:lang w:eastAsia="zh-CN"/>
        </w:rPr>
        <w:t>院方</w:t>
      </w:r>
      <w:r>
        <w:rPr>
          <w:rFonts w:hint="eastAsia" w:ascii="仿宋" w:hAnsi="仿宋" w:eastAsia="仿宋" w:cs="仿宋"/>
          <w:b w:val="0"/>
          <w:bCs/>
          <w:color w:val="000000"/>
          <w:sz w:val="24"/>
          <w:szCs w:val="24"/>
          <w:highlight w:val="none"/>
          <w:lang w:val="en-US" w:eastAsia="zh-CN"/>
        </w:rPr>
        <w:t>对供应商驻点司机的工作表现不满意，院方</w:t>
      </w:r>
      <w:r>
        <w:rPr>
          <w:rFonts w:hint="eastAsia" w:ascii="仿宋" w:hAnsi="仿宋" w:eastAsia="仿宋" w:cs="仿宋"/>
          <w:b w:val="0"/>
          <w:bCs/>
          <w:color w:val="000000"/>
          <w:sz w:val="24"/>
          <w:szCs w:val="24"/>
          <w:highlight w:val="none"/>
          <w:lang w:eastAsia="zh-CN"/>
        </w:rPr>
        <w:t>有权提出更换</w:t>
      </w:r>
      <w:r>
        <w:rPr>
          <w:rFonts w:hint="eastAsia" w:ascii="仿宋" w:hAnsi="仿宋" w:eastAsia="仿宋" w:cs="仿宋"/>
          <w:b w:val="0"/>
          <w:bCs/>
          <w:color w:val="000000"/>
          <w:sz w:val="24"/>
          <w:szCs w:val="24"/>
          <w:highlight w:val="none"/>
          <w:lang w:val="en-US" w:eastAsia="zh-CN"/>
        </w:rPr>
        <w:t>人员</w:t>
      </w:r>
      <w:r>
        <w:rPr>
          <w:rFonts w:hint="eastAsia" w:ascii="仿宋" w:hAnsi="仿宋" w:eastAsia="仿宋" w:cs="仿宋"/>
          <w:b w:val="0"/>
          <w:bCs/>
          <w:color w:val="000000"/>
          <w:sz w:val="24"/>
          <w:szCs w:val="24"/>
          <w:highlight w:val="none"/>
          <w:lang w:eastAsia="zh-CN"/>
        </w:rPr>
        <w:t>或整改要求，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应予配合。</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如需更换</w:t>
      </w:r>
      <w:r>
        <w:rPr>
          <w:rFonts w:hint="eastAsia" w:ascii="仿宋" w:hAnsi="仿宋" w:eastAsia="仿宋" w:cs="仿宋"/>
          <w:b w:val="0"/>
          <w:bCs/>
          <w:color w:val="000000"/>
          <w:sz w:val="24"/>
          <w:szCs w:val="24"/>
          <w:highlight w:val="none"/>
          <w:lang w:val="en-US" w:eastAsia="zh-CN"/>
        </w:rPr>
        <w:t>驻点</w:t>
      </w:r>
      <w:r>
        <w:rPr>
          <w:rFonts w:hint="eastAsia" w:ascii="仿宋" w:hAnsi="仿宋" w:eastAsia="仿宋" w:cs="仿宋"/>
          <w:b w:val="0"/>
          <w:bCs/>
          <w:color w:val="000000"/>
          <w:sz w:val="24"/>
          <w:szCs w:val="24"/>
          <w:highlight w:val="none"/>
          <w:lang w:eastAsia="zh-CN"/>
        </w:rPr>
        <w:t>司机，需提前征得院方</w:t>
      </w:r>
      <w:r>
        <w:rPr>
          <w:rFonts w:hint="eastAsia" w:ascii="仿宋" w:hAnsi="仿宋" w:eastAsia="仿宋" w:cs="仿宋"/>
          <w:b w:val="0"/>
          <w:bCs/>
          <w:color w:val="000000"/>
          <w:sz w:val="24"/>
          <w:szCs w:val="24"/>
          <w:highlight w:val="none"/>
          <w:lang w:val="en-US" w:eastAsia="zh-CN"/>
        </w:rPr>
        <w:t>书面</w:t>
      </w:r>
      <w:r>
        <w:rPr>
          <w:rFonts w:hint="eastAsia" w:ascii="仿宋" w:hAnsi="仿宋" w:eastAsia="仿宋" w:cs="仿宋"/>
          <w:b w:val="0"/>
          <w:bCs/>
          <w:color w:val="000000"/>
          <w:sz w:val="24"/>
          <w:szCs w:val="24"/>
          <w:highlight w:val="none"/>
          <w:lang w:eastAsia="zh-CN"/>
        </w:rPr>
        <w:t>同意</w:t>
      </w:r>
      <w:r>
        <w:rPr>
          <w:rFonts w:hint="eastAsia" w:ascii="仿宋" w:hAnsi="仿宋" w:eastAsia="仿宋" w:cs="仿宋"/>
          <w:b w:val="0"/>
          <w:bCs/>
          <w:color w:val="000000"/>
          <w:sz w:val="24"/>
          <w:szCs w:val="24"/>
          <w:highlight w:val="none"/>
          <w:lang w:val="en-US" w:eastAsia="zh-CN"/>
        </w:rPr>
        <w:t>后</w:t>
      </w:r>
      <w:r>
        <w:rPr>
          <w:rFonts w:hint="eastAsia" w:ascii="仿宋" w:hAnsi="仿宋" w:eastAsia="仿宋" w:cs="仿宋"/>
          <w:b w:val="0"/>
          <w:bCs/>
          <w:color w:val="000000"/>
          <w:sz w:val="24"/>
          <w:szCs w:val="24"/>
          <w:highlight w:val="none"/>
          <w:lang w:eastAsia="zh-CN"/>
        </w:rPr>
        <w:t>方可更换。</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eastAsia="zh-CN"/>
        </w:rPr>
      </w:pPr>
      <w:r>
        <w:rPr>
          <w:rFonts w:hint="eastAsia" w:ascii="仿宋" w:hAnsi="仿宋" w:eastAsia="仿宋" w:cs="仿宋"/>
          <w:b/>
          <w:bCs w:val="0"/>
          <w:color w:val="000000"/>
          <w:sz w:val="24"/>
          <w:szCs w:val="24"/>
          <w:highlight w:val="none"/>
          <w:lang w:val="en-US" w:eastAsia="zh-CN"/>
        </w:rPr>
        <w:t>三、服务质量考核要求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每月考核服务质量，分为优秀、良好、合格、不合格四档。如连续两个月服务质量考核为不合格或累计四个月服务质量考核为不合格的，院方有权单方面终止合同。如本项目合同期内，</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lang w:eastAsia="zh-CN"/>
        </w:rPr>
        <w:t>发生重大安全生产事故，院方有权立即单方面终止合同并追究相应损失。</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2"/>
        <w:tblW w:w="7686" w:type="dxa"/>
        <w:jc w:val="center"/>
        <w:tblLayout w:type="fixed"/>
        <w:tblCellMar>
          <w:top w:w="0" w:type="dxa"/>
          <w:left w:w="108" w:type="dxa"/>
          <w:bottom w:w="0" w:type="dxa"/>
          <w:right w:w="108" w:type="dxa"/>
        </w:tblCellMar>
      </w:tblPr>
      <w:tblGrid>
        <w:gridCol w:w="709"/>
        <w:gridCol w:w="5405"/>
        <w:gridCol w:w="743"/>
        <w:gridCol w:w="829"/>
      </w:tblGrid>
      <w:tr>
        <w:trPr>
          <w:jc w:val="center"/>
        </w:trPr>
        <w:tc>
          <w:tcPr>
            <w:tcW w:w="70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4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405"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6114" w:type="dxa"/>
            <w:gridSpan w:val="2"/>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7686" w:type="dxa"/>
            <w:gridSpan w:val="4"/>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四、医院提供条件</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院方仅提供救护车停车位，无法提供驻点司机值班休息床位，请供应商知悉。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kern w:val="2"/>
          <w:sz w:val="24"/>
          <w:szCs w:val="24"/>
          <w:lang w:val="en-US" w:eastAsia="zh-CN" w:bidi="ar-SA"/>
        </w:rPr>
        <w:t>五、</w:t>
      </w:r>
      <w:r>
        <w:rPr>
          <w:rFonts w:hint="eastAsia" w:ascii="仿宋" w:hAnsi="仿宋" w:eastAsia="仿宋" w:cs="仿宋"/>
          <w:b/>
          <w:bCs w:val="0"/>
          <w:color w:val="000000"/>
          <w:sz w:val="24"/>
          <w:szCs w:val="24"/>
          <w:highlight w:val="none"/>
          <w:lang w:val="en-US" w:eastAsia="zh-CN"/>
        </w:rPr>
        <w:t>履约保证金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收到成交通知书起5个工作日内向院方缴纳合同总价5%的履约保证金。履约保证金用于补偿院方因供应商不履行合同义务/不妥善履行合同义务而蒙受的损失，如无供应商不履行或不妥善履行本合同义务情形，院方于合同期满后一个月内将履约保证金无息退还给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供应商有违约情形的，院方有权从履约保证金中扣除相应违约金/损失赔偿款项，履约保证金如不足以支付违约赔偿的，由供应商另行承担赔偿责任。如因供应商的违约行为导致提前终止本合同的，院方除有权依据本合同约定追究供应商的违约责任外，不予退回履约保证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六、报价要求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1.供应商按每月服务费报价，报价应是比选文件所确定的采购范围内全部内容的价格表现。即包括但不限于完成本项目所需的人工、车辆、设备、保险、税费等费用。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2.供应商应在充分考虑可能发生的突发状况的基础上合理报价，在合同执行期间保持不变，供应商不得再以其它任何形式向院方索要增加任何的费用。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七、结算方式</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按月支付。供应商于次月月初向采购人提交上月服务质量考核凭证等结算资料，经采购人审核确认后，供应商根据核定金额开具发票。如服务质量考核结果为优秀或良好的，费用将按月服务费的100%支付；如服务质量考核结果为合格的，费用将按月服务费的80%支付；如服务质量考核结果为不合格的，费用将按月服务费的50%支付。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在收到供应商的正规发票后20个工作日内支付合同款项。</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八、违约责任</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未经院方书面允许，供应商不得私自将本项目进行转包或分包，一旦出现该情况则视为供应商严重违约，院方有权立即终止合同，且供应商应为院方的所有损失负责并退还所有院方已支付给供应商的款项；</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如因供应商管理不善、违反转运规程、安全生产制度而造成不良后果，由供应商承担全部法律及经济责任，且院方有权立即终止合同；</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因不可抗力所造成的损失，双方互不追究违约责任，如任何一方因不可抗力无法继续履行合同的，应及时通知对方，本合同自动终止；</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供应商为院方提供服务期间，因供应商或供应商员工原因造成院方或任何第三方人身、财产遭受损失的，全部责任与费用均由供应商承担；</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pPr>
        <w:pStyle w:val="27"/>
        <w:rPr>
          <w:rFonts w:hint="eastAsia"/>
          <w:highlight w:val="none"/>
        </w:rPr>
      </w:pPr>
    </w:p>
    <w:p>
      <w:pPr>
        <w:pStyle w:val="27"/>
        <w:rPr>
          <w:rFonts w:hint="eastAsia"/>
          <w:highlight w:val="none"/>
        </w:rPr>
      </w:pPr>
    </w:p>
    <w:p>
      <w:pPr>
        <w:pStyle w:val="27"/>
        <w:rPr>
          <w:rFonts w:hint="eastAsia" w:eastAsia="宋体"/>
          <w:highlight w:val="none"/>
          <w:lang w:val="en-US" w:eastAsia="zh-CN"/>
        </w:rPr>
      </w:pPr>
    </w:p>
    <w:p>
      <w:pPr>
        <w:pStyle w:val="2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2"/>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2"/>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供应商拟投入本项目的救护车司机（不少于</w:t>
            </w:r>
            <w:r>
              <w:rPr>
                <w:rFonts w:hint="eastAsia" w:ascii="仿宋" w:hAnsi="仿宋" w:eastAsia="仿宋" w:cs="仿宋"/>
                <w:color w:val="000000"/>
                <w:sz w:val="20"/>
                <w:szCs w:val="20"/>
                <w:highlight w:val="none"/>
                <w:lang w:val="en-US" w:eastAsia="zh-CN"/>
              </w:rPr>
              <w:t>2人，轮班制，必须保证至少1人在岗值班</w:t>
            </w:r>
            <w:r>
              <w:rPr>
                <w:rFonts w:hint="eastAsia" w:ascii="仿宋" w:hAnsi="仿宋" w:eastAsia="仿宋" w:cs="仿宋"/>
                <w:color w:val="000000"/>
                <w:sz w:val="20"/>
                <w:szCs w:val="20"/>
                <w:highlight w:val="none"/>
                <w:lang w:val="zh-CN"/>
              </w:rPr>
              <w:t>）必须具有B照或以上驾驶证（提供证书复印件、自2023年6月以来任意一个月在供应商缴纳社保的证明材料复印件，证明资料加盖公章）。</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19"/>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评分（25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评分（45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25分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商务评审表（25分）</w:t>
      </w:r>
    </w:p>
    <w:tbl>
      <w:tblPr>
        <w:tblStyle w:val="22"/>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提供与本项目同类的非120急救转运相关业绩经验</w:t>
            </w:r>
            <w:r>
              <w:rPr>
                <w:rFonts w:hint="eastAsia" w:ascii="仿宋" w:hAnsi="仿宋" w:eastAsia="仿宋" w:cs="仿宋"/>
                <w:sz w:val="21"/>
                <w:szCs w:val="21"/>
                <w:highlight w:val="none"/>
              </w:rPr>
              <w:t>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合同签订时间</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rPr>
              <w:t>拟派</w:t>
            </w:r>
            <w:r>
              <w:rPr>
                <w:rFonts w:hint="eastAsia" w:ascii="仿宋" w:hAnsi="仿宋" w:eastAsia="仿宋" w:cs="仿宋"/>
                <w:color w:val="000000"/>
                <w:kern w:val="0"/>
                <w:sz w:val="21"/>
                <w:szCs w:val="21"/>
                <w:highlight w:val="none"/>
                <w:lang w:val="en-US" w:eastAsia="zh-CN"/>
              </w:rPr>
              <w:t>驻点司机</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救护员资质（或医学相关专业学历/职称），每人得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分，最高</w:t>
            </w:r>
            <w:r>
              <w:rPr>
                <w:rFonts w:hint="eastAsia" w:ascii="仿宋" w:hAnsi="仿宋" w:eastAsia="仿宋" w:cs="仿宋"/>
                <w:color w:val="000000"/>
                <w:kern w:val="0"/>
                <w:sz w:val="21"/>
                <w:szCs w:val="21"/>
                <w:highlight w:val="none"/>
                <w:lang w:val="en-US" w:eastAsia="zh-CN"/>
              </w:rPr>
              <w:t>得6</w:t>
            </w:r>
            <w:r>
              <w:rPr>
                <w:rFonts w:hint="eastAsia" w:ascii="仿宋" w:hAnsi="仿宋" w:eastAsia="仿宋" w:cs="仿宋"/>
                <w:color w:val="000000"/>
                <w:kern w:val="0"/>
                <w:sz w:val="21"/>
                <w:szCs w:val="21"/>
                <w:highlight w:val="none"/>
              </w:rPr>
              <w:t>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拟派项目</w:t>
            </w:r>
            <w:r>
              <w:rPr>
                <w:rFonts w:hint="eastAsia" w:ascii="仿宋" w:hAnsi="仿宋" w:eastAsia="仿宋" w:cs="仿宋"/>
                <w:color w:val="000000"/>
                <w:kern w:val="0"/>
                <w:sz w:val="21"/>
                <w:szCs w:val="21"/>
                <w:highlight w:val="none"/>
                <w:lang w:val="en-US" w:eastAsia="zh-CN"/>
              </w:rPr>
              <w:t>驻点司机具备</w:t>
            </w:r>
            <w:r>
              <w:rPr>
                <w:rFonts w:hint="eastAsia" w:ascii="仿宋" w:hAnsi="仿宋" w:eastAsia="仿宋" w:cs="仿宋"/>
                <w:color w:val="000000"/>
                <w:kern w:val="0"/>
                <w:sz w:val="21"/>
                <w:szCs w:val="21"/>
                <w:highlight w:val="none"/>
              </w:rPr>
              <w:t>10年</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rPr>
              <w:t>以上驾驶经验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最高得4分</w:t>
            </w:r>
            <w:r>
              <w:rPr>
                <w:rFonts w:hint="eastAsia" w:ascii="仿宋" w:hAnsi="仿宋" w:eastAsia="仿宋" w:cs="仿宋"/>
                <w:color w:val="000000"/>
                <w:kern w:val="0"/>
                <w:sz w:val="21"/>
                <w:szCs w:val="21"/>
                <w:highlight w:val="none"/>
              </w:rPr>
              <w:t>；5年</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含</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至10年（不含）驾驶经验</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B照或以上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的，</w:t>
            </w:r>
            <w:r>
              <w:rPr>
                <w:rFonts w:hint="eastAsia" w:ascii="仿宋" w:hAnsi="仿宋" w:eastAsia="仿宋" w:cs="仿宋"/>
                <w:color w:val="000000"/>
                <w:kern w:val="0"/>
                <w:sz w:val="21"/>
                <w:szCs w:val="21"/>
                <w:highlight w:val="none"/>
                <w:lang w:val="en-US" w:eastAsia="zh-CN"/>
              </w:rPr>
              <w:t>每人</w:t>
            </w:r>
            <w:r>
              <w:rPr>
                <w:rFonts w:hint="eastAsia" w:ascii="仿宋" w:hAnsi="仿宋" w:eastAsia="仿宋" w:cs="仿宋"/>
                <w:color w:val="000000"/>
                <w:kern w:val="0"/>
                <w:sz w:val="21"/>
                <w:szCs w:val="21"/>
                <w:highlight w:val="none"/>
              </w:rPr>
              <w:t>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最高得2分</w:t>
            </w:r>
            <w:r>
              <w:rPr>
                <w:rFonts w:hint="eastAsia" w:ascii="仿宋" w:hAnsi="仿宋" w:eastAsia="仿宋" w:cs="仿宋"/>
                <w:color w:val="000000"/>
                <w:kern w:val="0"/>
                <w:sz w:val="21"/>
                <w:szCs w:val="21"/>
                <w:highlight w:val="none"/>
              </w:rPr>
              <w:t>；其他</w:t>
            </w:r>
            <w:r>
              <w:rPr>
                <w:rFonts w:hint="eastAsia" w:ascii="仿宋" w:hAnsi="仿宋" w:eastAsia="仿宋" w:cs="仿宋"/>
                <w:color w:val="000000"/>
                <w:kern w:val="0"/>
                <w:sz w:val="21"/>
                <w:szCs w:val="21"/>
                <w:highlight w:val="none"/>
                <w:lang w:val="en-US" w:eastAsia="zh-CN"/>
              </w:rPr>
              <w:t>情况</w:t>
            </w:r>
            <w:r>
              <w:rPr>
                <w:rFonts w:hint="eastAsia" w:ascii="仿宋" w:hAnsi="仿宋" w:eastAsia="仿宋" w:cs="仿宋"/>
                <w:color w:val="000000"/>
                <w:kern w:val="0"/>
                <w:sz w:val="21"/>
                <w:szCs w:val="21"/>
                <w:highlight w:val="none"/>
              </w:rPr>
              <w:t>不得分。（提供B照或以上驾驶证复印件</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C照不予认可</w:t>
            </w:r>
            <w:r>
              <w:rPr>
                <w:rFonts w:hint="eastAsia" w:ascii="仿宋" w:hAnsi="仿宋" w:eastAsia="仿宋" w:cs="仿宋"/>
                <w:color w:val="000000"/>
                <w:kern w:val="0"/>
                <w:sz w:val="21"/>
                <w:szCs w:val="21"/>
                <w:highlight w:val="none"/>
              </w:rPr>
              <w:t>）</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val="en-US" w:eastAsia="zh-CN"/>
              </w:rPr>
              <w:t>第（2）项评分合计最高得4分。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w:t>
            </w:r>
            <w:r>
              <w:rPr>
                <w:rFonts w:hint="eastAsia" w:ascii="仿宋" w:hAnsi="仿宋" w:eastAsia="仿宋" w:cs="仿宋"/>
                <w:color w:val="000000"/>
                <w:kern w:val="0"/>
                <w:sz w:val="21"/>
                <w:szCs w:val="21"/>
                <w:highlight w:val="none"/>
                <w:lang w:val="en-US" w:eastAsia="zh-CN"/>
              </w:rPr>
              <w:t>相关</w:t>
            </w:r>
            <w:r>
              <w:rPr>
                <w:rFonts w:hint="eastAsia" w:ascii="仿宋" w:hAnsi="仿宋" w:eastAsia="仿宋" w:cs="仿宋"/>
                <w:color w:val="000000"/>
                <w:kern w:val="0"/>
                <w:sz w:val="21"/>
                <w:szCs w:val="21"/>
                <w:highlight w:val="none"/>
              </w:rPr>
              <w:t>证书复印件及自2023年6月以来任意一个月供应商（或其分支机构）为其缴纳的社保证明，加盖公章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未提供或提供不齐全不得分。须与资格评审中响应人所提供的驻点司机名单及资料一致。</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服务评审表（45分）</w:t>
      </w:r>
    </w:p>
    <w:tbl>
      <w:tblPr>
        <w:tblStyle w:val="22"/>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themeColor="text1"/>
                <w:sz w:val="21"/>
                <w:szCs w:val="21"/>
                <w:highlight w:val="none"/>
                <w14:textFill>
                  <w14:solidFill>
                    <w14:schemeClr w14:val="tx1"/>
                  </w14:solidFill>
                </w14:textFill>
              </w:rPr>
              <w:t>拟投入本项目车辆的车龄车况</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76" w:lineRule="auto"/>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themeColor="text1"/>
                <w:sz w:val="21"/>
                <w:szCs w:val="21"/>
                <w:highlight w:val="none"/>
                <w14:textFill>
                  <w14:solidFill>
                    <w14:schemeClr w14:val="tx1"/>
                  </w14:solidFill>
                </w14:textFill>
              </w:rPr>
              <w:t>1</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对</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拟投入本项目</w:t>
            </w:r>
            <w:r>
              <w:rPr>
                <w:rFonts w:hint="eastAsia" w:ascii="仿宋" w:hAnsi="仿宋" w:eastAsia="仿宋" w:cs="仿宋"/>
                <w:sz w:val="21"/>
                <w:szCs w:val="21"/>
                <w:highlight w:val="none"/>
                <w:lang w:val="en-US" w:eastAsia="zh-CN"/>
              </w:rPr>
              <w:t>服务</w:t>
            </w:r>
            <w:r>
              <w:rPr>
                <w:rFonts w:hint="eastAsia" w:ascii="仿宋" w:hAnsi="仿宋" w:eastAsia="仿宋" w:cs="仿宋"/>
                <w:color w:val="000000" w:themeColor="text1"/>
                <w:sz w:val="21"/>
                <w:szCs w:val="21"/>
                <w:highlight w:val="none"/>
                <w14:textFill>
                  <w14:solidFill>
                    <w14:schemeClr w14:val="tx1"/>
                  </w14:solidFill>
                </w14:textFill>
              </w:rPr>
              <w:t>车辆的车龄、车况（行驶里程）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车辆配备</w:t>
            </w:r>
            <w:r>
              <w:rPr>
                <w:rFonts w:hint="eastAsia" w:ascii="仿宋" w:hAnsi="仿宋" w:eastAsia="仿宋" w:cs="仿宋"/>
                <w:sz w:val="21"/>
                <w:szCs w:val="21"/>
                <w:highlight w:val="none"/>
              </w:rPr>
              <w:t>、安全性能等情况进行</w:t>
            </w:r>
            <w:r>
              <w:rPr>
                <w:rFonts w:hint="eastAsia" w:ascii="仿宋" w:hAnsi="仿宋" w:eastAsia="仿宋" w:cs="仿宋"/>
                <w:sz w:val="21"/>
                <w:szCs w:val="21"/>
                <w:highlight w:val="none"/>
                <w:lang w:val="en-US" w:eastAsia="zh-CN"/>
              </w:rPr>
              <w:t>综合评价</w:t>
            </w:r>
            <w:r>
              <w:rPr>
                <w:rFonts w:hint="eastAsia" w:ascii="仿宋" w:hAnsi="仿宋" w:eastAsia="仿宋" w:cs="仿宋"/>
                <w:sz w:val="21"/>
                <w:szCs w:val="21"/>
                <w:highlight w:val="none"/>
              </w:rPr>
              <w:t>：</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购置时间短、行驶里程短、安全性能高</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车况</w:t>
            </w:r>
            <w:r>
              <w:rPr>
                <w:rFonts w:hint="eastAsia" w:ascii="仿宋" w:hAnsi="仿宋" w:eastAsia="仿宋" w:cs="仿宋"/>
                <w:sz w:val="21"/>
                <w:szCs w:val="21"/>
                <w:highlight w:val="none"/>
                <w:lang w:val="en-US" w:eastAsia="zh-CN"/>
              </w:rPr>
              <w:t>良好、车辆配备方案完善</w:t>
            </w:r>
            <w:r>
              <w:rPr>
                <w:rFonts w:hint="eastAsia" w:ascii="仿宋" w:hAnsi="仿宋" w:eastAsia="仿宋" w:cs="仿宋"/>
                <w:sz w:val="21"/>
                <w:szCs w:val="21"/>
                <w:highlight w:val="none"/>
                <w:lang w:eastAsia="zh-CN"/>
              </w:rPr>
              <w:t>，</w:t>
            </w:r>
            <w:r>
              <w:rPr>
                <w:rFonts w:hint="eastAsia" w:ascii="仿宋" w:hAnsi="仿宋" w:eastAsia="仿宋" w:cs="仿宋"/>
                <w:color w:val="000000" w:themeColor="text1"/>
                <w:sz w:val="21"/>
                <w:szCs w:val="21"/>
                <w:highlight w:val="none"/>
                <w14:textFill>
                  <w14:solidFill>
                    <w14:schemeClr w14:val="tx1"/>
                  </w14:solidFill>
                </w14:textFill>
              </w:rPr>
              <w:t>完全满足且优于项目需求要求的</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15</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购置时间较短、行驶里程较短、安全性能较高</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车况</w:t>
            </w:r>
            <w:r>
              <w:rPr>
                <w:rFonts w:hint="eastAsia" w:ascii="仿宋" w:hAnsi="仿宋" w:eastAsia="仿宋" w:cs="仿宋"/>
                <w:sz w:val="21"/>
                <w:szCs w:val="21"/>
                <w:highlight w:val="none"/>
                <w:lang w:val="en-US" w:eastAsia="zh-CN"/>
              </w:rPr>
              <w:t>一般、</w:t>
            </w:r>
            <w:r>
              <w:rPr>
                <w:rFonts w:hint="eastAsia" w:ascii="仿宋" w:hAnsi="仿宋" w:eastAsia="仿宋" w:cs="仿宋"/>
                <w:color w:val="auto"/>
                <w:szCs w:val="21"/>
                <w:highlight w:val="none"/>
              </w:rPr>
              <w:t>车辆配备方案较完善</w:t>
            </w:r>
            <w:r>
              <w:rPr>
                <w:rFonts w:hint="eastAsia" w:ascii="仿宋" w:hAnsi="仿宋" w:eastAsia="仿宋" w:cs="仿宋"/>
                <w:color w:val="000000" w:themeColor="text1"/>
                <w:sz w:val="21"/>
                <w:szCs w:val="21"/>
                <w:highlight w:val="none"/>
                <w14:textFill>
                  <w14:solidFill>
                    <w14:schemeClr w14:val="tx1"/>
                  </w14:solidFill>
                </w14:textFill>
              </w:rPr>
              <w:t>，满足项目需求要求的</w:t>
            </w:r>
            <w:r>
              <w:rPr>
                <w:rFonts w:hint="eastAsia" w:ascii="仿宋" w:hAnsi="仿宋" w:eastAsia="仿宋" w:cs="仿宋"/>
                <w:sz w:val="21"/>
                <w:szCs w:val="21"/>
                <w:highlight w:val="none"/>
              </w:rPr>
              <w:t>，得1</w:t>
            </w:r>
            <w:r>
              <w:rPr>
                <w:rFonts w:hint="eastAsia" w:ascii="仿宋" w:hAnsi="仿宋" w:eastAsia="仿宋" w:cs="仿宋"/>
                <w:sz w:val="21"/>
                <w:szCs w:val="21"/>
                <w:highlight w:val="none"/>
                <w:lang w:val="en-US" w:eastAsia="zh-CN"/>
              </w:rPr>
              <w:t>0</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color w:val="FF0000"/>
                <w:sz w:val="21"/>
                <w:szCs w:val="21"/>
                <w:highlight w:val="none"/>
                <w:u w:val="single"/>
              </w:rPr>
            </w:pP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rPr>
              <w:t>购置时间长、行驶里程较长、安全性能</w:t>
            </w:r>
            <w:r>
              <w:rPr>
                <w:rFonts w:hint="eastAsia" w:ascii="仿宋" w:hAnsi="仿宋" w:eastAsia="仿宋" w:cs="仿宋"/>
                <w:sz w:val="21"/>
                <w:szCs w:val="21"/>
                <w:highlight w:val="none"/>
                <w:lang w:val="en-US" w:eastAsia="zh-CN"/>
              </w:rPr>
              <w:t>一般</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车况</w:t>
            </w:r>
            <w:r>
              <w:rPr>
                <w:rFonts w:hint="eastAsia" w:ascii="仿宋" w:hAnsi="仿宋" w:eastAsia="仿宋" w:cs="仿宋"/>
                <w:sz w:val="21"/>
                <w:szCs w:val="21"/>
                <w:highlight w:val="none"/>
                <w:lang w:val="en-US" w:eastAsia="zh-CN"/>
              </w:rPr>
              <w:t>一般、</w:t>
            </w:r>
            <w:r>
              <w:rPr>
                <w:rFonts w:hint="eastAsia" w:ascii="仿宋" w:hAnsi="仿宋" w:eastAsia="仿宋" w:cs="仿宋"/>
                <w:color w:val="auto"/>
                <w:szCs w:val="21"/>
                <w:highlight w:val="none"/>
              </w:rPr>
              <w:t>车辆配备方案</w:t>
            </w:r>
            <w:r>
              <w:rPr>
                <w:rFonts w:hint="eastAsia" w:ascii="仿宋" w:hAnsi="仿宋" w:eastAsia="仿宋" w:cs="仿宋"/>
                <w:color w:val="auto"/>
                <w:szCs w:val="21"/>
                <w:highlight w:val="none"/>
                <w:lang w:val="en-US" w:eastAsia="zh-CN"/>
              </w:rPr>
              <w:t>较差</w:t>
            </w:r>
            <w:r>
              <w:rPr>
                <w:rFonts w:hint="eastAsia" w:ascii="仿宋" w:hAnsi="仿宋" w:eastAsia="仿宋" w:cs="仿宋"/>
                <w:color w:val="000000" w:themeColor="text1"/>
                <w:sz w:val="21"/>
                <w:szCs w:val="21"/>
                <w:highlight w:val="none"/>
                <w14:textFill>
                  <w14:solidFill>
                    <w14:schemeClr w14:val="tx1"/>
                  </w14:solidFill>
                </w14:textFill>
              </w:rPr>
              <w:t>，不完全满足项目需求要求的</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p>
            <w:pPr>
              <w:keepNext w:val="0"/>
              <w:keepLines w:val="0"/>
              <w:suppressLineNumbers w:val="0"/>
              <w:spacing w:before="0" w:beforeAutospacing="0" w:after="0" w:afterAutospacing="0" w:line="240" w:lineRule="auto"/>
              <w:ind w:left="0" w:right="0"/>
              <w:jc w:val="left"/>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4.其余情况或</w:t>
            </w:r>
            <w:r>
              <w:rPr>
                <w:rFonts w:hint="eastAsia" w:ascii="仿宋" w:hAnsi="仿宋" w:eastAsia="仿宋" w:cs="仿宋"/>
                <w:color w:val="000000" w:themeColor="text1"/>
                <w:sz w:val="21"/>
                <w:szCs w:val="21"/>
                <w:highlight w:val="none"/>
                <w14:textFill>
                  <w14:solidFill>
                    <w14:schemeClr w14:val="tx1"/>
                  </w14:solidFill>
                </w14:textFill>
              </w:rPr>
              <w:t>未提供</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不得分。</w:t>
            </w:r>
          </w:p>
          <w:p>
            <w:pPr>
              <w:keepNext w:val="0"/>
              <w:keepLines w:val="0"/>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color w:val="000000" w:themeColor="text1"/>
                <w:sz w:val="21"/>
                <w:szCs w:val="21"/>
                <w:highlight w:val="none"/>
                <w14:textFill>
                  <w14:solidFill>
                    <w14:schemeClr w14:val="tx1"/>
                  </w14:solidFill>
                </w14:textFill>
              </w:rPr>
              <w:t>提供权属证明材料、车辆行驶证、年审证明、车辆外部及车厢内部照片等证明资料。</w:t>
            </w:r>
          </w:p>
        </w:tc>
      </w:tr>
      <w:tr>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sz w:val="21"/>
                <w:szCs w:val="21"/>
              </w:rPr>
              <w:t>服务质量保障方案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根据</w:t>
            </w:r>
            <w:r>
              <w:rPr>
                <w:rFonts w:hint="eastAsia" w:ascii="仿宋" w:hAnsi="仿宋" w:eastAsia="仿宋" w:cs="仿宋"/>
                <w:sz w:val="21"/>
                <w:szCs w:val="21"/>
              </w:rPr>
              <w:t>供应商</w:t>
            </w:r>
            <w:r>
              <w:rPr>
                <w:rFonts w:hint="eastAsia" w:ascii="仿宋" w:hAnsi="仿宋" w:eastAsia="仿宋" w:cs="仿宋"/>
                <w:sz w:val="21"/>
                <w:szCs w:val="21"/>
                <w:lang w:val="en-US" w:eastAsia="zh-CN"/>
              </w:rPr>
              <w:t>提供的</w:t>
            </w:r>
            <w:r>
              <w:rPr>
                <w:rFonts w:hint="eastAsia" w:ascii="仿宋" w:hAnsi="仿宋" w:eastAsia="仿宋" w:cs="仿宋"/>
                <w:sz w:val="21"/>
                <w:szCs w:val="21"/>
              </w:rPr>
              <w:t>服务质量保障方案</w:t>
            </w:r>
            <w:r>
              <w:rPr>
                <w:rFonts w:hint="eastAsia" w:ascii="仿宋" w:hAnsi="仿宋" w:eastAsia="仿宋" w:cs="仿宋"/>
                <w:sz w:val="21"/>
                <w:szCs w:val="21"/>
                <w:lang w:val="en-US" w:eastAsia="zh-CN"/>
              </w:rPr>
              <w:t>作为评审依据，包括但不限于以下内容：</w:t>
            </w:r>
          </w:p>
          <w:p>
            <w:pPr>
              <w:pStyle w:val="7"/>
              <w:keepNext w:val="0"/>
              <w:keepLines w:val="0"/>
              <w:numPr>
                <w:ilvl w:val="0"/>
                <w:numId w:val="12"/>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非120急救转运的流程、标准；</w:t>
            </w:r>
          </w:p>
          <w:p>
            <w:pPr>
              <w:pStyle w:val="7"/>
              <w:keepNext w:val="0"/>
              <w:keepLines w:val="0"/>
              <w:numPr>
                <w:ilvl w:val="0"/>
                <w:numId w:val="12"/>
              </w:numPr>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24小时用车及响应出车保障；</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配套</w:t>
            </w:r>
            <w:r>
              <w:rPr>
                <w:rFonts w:hint="eastAsia" w:ascii="仿宋" w:hAnsi="仿宋" w:eastAsia="仿宋" w:cs="仿宋"/>
                <w:sz w:val="21"/>
                <w:szCs w:val="21"/>
                <w:lang w:val="en-US" w:eastAsia="zh-CN"/>
              </w:rPr>
              <w:t>设备</w:t>
            </w:r>
            <w:r>
              <w:rPr>
                <w:rFonts w:hint="eastAsia" w:ascii="仿宋" w:hAnsi="仿宋" w:eastAsia="仿宋" w:cs="仿宋"/>
                <w:sz w:val="21"/>
                <w:szCs w:val="21"/>
              </w:rPr>
              <w:t>用品；</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制度管理；</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司机培训</w:t>
            </w:r>
            <w:r>
              <w:rPr>
                <w:rFonts w:hint="eastAsia" w:ascii="仿宋" w:hAnsi="仿宋" w:eastAsia="仿宋" w:cs="仿宋"/>
                <w:sz w:val="21"/>
                <w:szCs w:val="21"/>
                <w:lang w:val="en-US" w:eastAsia="zh-CN"/>
              </w:rPr>
              <w:t>方案</w:t>
            </w:r>
            <w:r>
              <w:rPr>
                <w:rFonts w:hint="eastAsia" w:ascii="仿宋" w:hAnsi="仿宋" w:eastAsia="仿宋" w:cs="仿宋"/>
                <w:sz w:val="21"/>
                <w:szCs w:val="21"/>
                <w:lang w:eastAsia="zh-CN"/>
              </w:rPr>
              <w:t>；</w:t>
            </w:r>
          </w:p>
          <w:p>
            <w:pPr>
              <w:pStyle w:val="7"/>
              <w:keepNext w:val="0"/>
              <w:keepLines w:val="0"/>
              <w:numPr>
                <w:ilvl w:val="0"/>
                <w:numId w:val="12"/>
              </w:numPr>
              <w:suppressLineNumbers w:val="0"/>
              <w:spacing w:before="0" w:beforeAutospacing="0" w:after="0" w:afterAutospacing="0"/>
              <w:ind w:left="0" w:leftChars="0" w:right="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服务质量考核管理。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6</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①每一小项</w:t>
            </w:r>
            <w:r>
              <w:rPr>
                <w:rFonts w:hint="eastAsia" w:ascii="仿宋" w:hAnsi="仿宋" w:eastAsia="仿宋" w:cs="仿宋"/>
                <w:sz w:val="21"/>
                <w:szCs w:val="21"/>
              </w:rPr>
              <w:t>方案内容响应全面具体</w:t>
            </w:r>
            <w:r>
              <w:rPr>
                <w:rFonts w:hint="eastAsia" w:ascii="仿宋" w:hAnsi="仿宋" w:eastAsia="仿宋" w:cs="仿宋"/>
                <w:sz w:val="21"/>
                <w:szCs w:val="21"/>
                <w:lang w:eastAsia="zh-CN"/>
              </w:rPr>
              <w:t>，</w:t>
            </w:r>
            <w:r>
              <w:rPr>
                <w:rFonts w:hint="eastAsia" w:ascii="仿宋" w:hAnsi="仿宋" w:eastAsia="仿宋" w:cs="仿宋"/>
                <w:sz w:val="21"/>
                <w:szCs w:val="21"/>
              </w:rPr>
              <w:t>科学合理、可操作性强</w:t>
            </w:r>
            <w:r>
              <w:rPr>
                <w:rFonts w:hint="eastAsia" w:ascii="仿宋" w:hAnsi="仿宋" w:eastAsia="仿宋" w:cs="仿宋"/>
                <w:sz w:val="21"/>
                <w:szCs w:val="21"/>
                <w:lang w:eastAsia="zh-CN"/>
              </w:rPr>
              <w:t>，</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评价为优，得3分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②每一小项</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较完整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较</w:t>
            </w:r>
            <w:r>
              <w:rPr>
                <w:rFonts w:hint="eastAsia" w:ascii="仿宋" w:hAnsi="仿宋" w:eastAsia="仿宋" w:cs="仿宋"/>
                <w:sz w:val="21"/>
                <w:szCs w:val="21"/>
              </w:rPr>
              <w:t>科学合理</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比较</w:t>
            </w:r>
            <w:r>
              <w:rPr>
                <w:rFonts w:hint="eastAsia" w:ascii="仿宋" w:hAnsi="仿宋" w:eastAsia="仿宋" w:cs="仿宋"/>
                <w:sz w:val="21"/>
                <w:szCs w:val="21"/>
              </w:rPr>
              <w:t>符合项目实际情况</w:t>
            </w:r>
            <w:r>
              <w:rPr>
                <w:rFonts w:hint="eastAsia" w:ascii="仿宋" w:hAnsi="仿宋" w:eastAsia="仿宋" w:cs="仿宋"/>
                <w:sz w:val="21"/>
                <w:szCs w:val="21"/>
                <w:lang w:eastAsia="zh-CN"/>
              </w:rPr>
              <w:t>的，</w:t>
            </w:r>
            <w:r>
              <w:rPr>
                <w:rFonts w:hint="eastAsia" w:ascii="仿宋" w:hAnsi="仿宋" w:eastAsia="仿宋" w:cs="仿宋"/>
                <w:sz w:val="21"/>
                <w:szCs w:val="21"/>
                <w:lang w:val="en-US" w:eastAsia="zh-CN"/>
              </w:rPr>
              <w:t>评价为良，得2分</w:t>
            </w:r>
            <w:r>
              <w:rPr>
                <w:rFonts w:hint="eastAsia" w:ascii="仿宋" w:hAnsi="仿宋" w:eastAsia="仿宋" w:cs="仿宋"/>
                <w:sz w:val="21"/>
                <w:szCs w:val="21"/>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③每一小项</w:t>
            </w:r>
            <w:r>
              <w:rPr>
                <w:rFonts w:hint="eastAsia" w:ascii="仿宋" w:hAnsi="仿宋" w:eastAsia="仿宋" w:cs="仿宋"/>
                <w:sz w:val="21"/>
                <w:szCs w:val="21"/>
              </w:rPr>
              <w:t>方案内容响应</w:t>
            </w:r>
            <w:r>
              <w:rPr>
                <w:rFonts w:hint="eastAsia" w:ascii="仿宋" w:hAnsi="仿宋" w:eastAsia="仿宋" w:cs="仿宋"/>
                <w:sz w:val="21"/>
                <w:szCs w:val="21"/>
                <w:lang w:val="en-US" w:eastAsia="zh-CN"/>
              </w:rPr>
              <w:t>内容不够完整、</w:t>
            </w:r>
            <w:r>
              <w:rPr>
                <w:rFonts w:hint="eastAsia" w:ascii="仿宋" w:hAnsi="仿宋" w:eastAsia="仿宋" w:cs="仿宋"/>
                <w:sz w:val="21"/>
                <w:szCs w:val="21"/>
              </w:rPr>
              <w:t>科学</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考虑片面的</w:t>
            </w:r>
            <w:r>
              <w:rPr>
                <w:rFonts w:hint="eastAsia" w:ascii="仿宋" w:hAnsi="仿宋" w:eastAsia="仿宋" w:cs="仿宋"/>
                <w:sz w:val="21"/>
                <w:szCs w:val="21"/>
                <w:lang w:eastAsia="zh-CN"/>
              </w:rPr>
              <w:t>，</w:t>
            </w:r>
            <w:r>
              <w:rPr>
                <w:rFonts w:hint="eastAsia" w:ascii="仿宋" w:hAnsi="仿宋" w:eastAsia="仿宋" w:cs="仿宋"/>
                <w:sz w:val="21"/>
                <w:szCs w:val="21"/>
              </w:rPr>
              <w:t>评价为中，得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④</w:t>
            </w:r>
            <w:r>
              <w:rPr>
                <w:rFonts w:hint="eastAsia" w:ascii="仿宋" w:hAnsi="仿宋" w:eastAsia="仿宋" w:cs="仿宋"/>
                <w:sz w:val="21"/>
                <w:szCs w:val="21"/>
              </w:rPr>
              <w:t>其它情况的评价为差，不得分。</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r>
              <w:rPr>
                <w:rFonts w:hint="eastAsia" w:ascii="仿宋" w:hAnsi="仿宋" w:eastAsia="仿宋" w:cs="仿宋"/>
                <w:sz w:val="21"/>
                <w:szCs w:val="21"/>
                <w:highlight w:val="none"/>
              </w:rPr>
              <w:t>应急处理方案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sz w:val="21"/>
                <w:szCs w:val="21"/>
                <w:highlight w:val="none"/>
                <w:lang w:val="en-US" w:eastAsia="zh-CN"/>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根据供应商</w:t>
            </w:r>
            <w:r>
              <w:rPr>
                <w:rFonts w:hint="eastAsia" w:ascii="仿宋" w:hAnsi="仿宋" w:eastAsia="仿宋" w:cs="仿宋"/>
                <w:sz w:val="21"/>
                <w:szCs w:val="21"/>
                <w:highlight w:val="none"/>
              </w:rPr>
              <w:t>提供的应急预案(包括但不限于①车辆在</w:t>
            </w:r>
            <w:r>
              <w:rPr>
                <w:rFonts w:hint="eastAsia" w:ascii="仿宋" w:hAnsi="仿宋" w:eastAsia="仿宋" w:cs="仿宋"/>
                <w:sz w:val="21"/>
                <w:szCs w:val="21"/>
                <w:highlight w:val="none"/>
                <w:lang w:val="en-US" w:eastAsia="zh-CN"/>
              </w:rPr>
              <w:t>执行转运任务</w:t>
            </w:r>
            <w:r>
              <w:rPr>
                <w:rFonts w:hint="eastAsia" w:ascii="仿宋" w:hAnsi="仿宋" w:eastAsia="仿宋" w:cs="仿宋"/>
                <w:sz w:val="21"/>
                <w:szCs w:val="21"/>
                <w:highlight w:val="none"/>
              </w:rPr>
              <w:t>的途中发生交通事故或车辆机械故障时的处理方案；②遇到采购人有应急订单需求时的响应时间及方案；③用车期间可能发生的突发状况及处理方案；④国家政策调控下的安全防护措施等)进行评审：</w:t>
            </w:r>
          </w:p>
          <w:p>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应急预案内容完整，科学合理，考虑周全，得</w:t>
            </w:r>
            <w:r>
              <w:rPr>
                <w:rFonts w:hint="eastAsia" w:ascii="仿宋" w:hAnsi="仿宋" w:eastAsia="仿宋" w:cs="仿宋"/>
                <w:sz w:val="21"/>
                <w:szCs w:val="21"/>
                <w:highlight w:val="none"/>
                <w:lang w:val="en-US" w:eastAsia="zh-CN"/>
              </w:rPr>
              <w:t>6</w:t>
            </w:r>
            <w:r>
              <w:rPr>
                <w:rFonts w:hint="eastAsia" w:ascii="仿宋" w:hAnsi="仿宋" w:eastAsia="仿宋" w:cs="仿宋"/>
                <w:sz w:val="21"/>
                <w:szCs w:val="21"/>
                <w:highlight w:val="none"/>
              </w:rPr>
              <w:t>分；</w:t>
            </w:r>
          </w:p>
          <w:p>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2.应急预案内容较完整，</w:t>
            </w:r>
            <w:r>
              <w:rPr>
                <w:rFonts w:hint="eastAsia" w:ascii="仿宋" w:hAnsi="仿宋" w:eastAsia="仿宋" w:cs="仿宋"/>
                <w:sz w:val="21"/>
                <w:szCs w:val="21"/>
                <w:highlight w:val="none"/>
                <w:lang w:eastAsia="zh-CN"/>
              </w:rPr>
              <w:t>较科学合理</w:t>
            </w:r>
            <w:r>
              <w:rPr>
                <w:rFonts w:hint="eastAsia" w:ascii="仿宋" w:hAnsi="仿宋" w:eastAsia="仿宋" w:cs="仿宋"/>
                <w:sz w:val="21"/>
                <w:szCs w:val="21"/>
                <w:highlight w:val="none"/>
              </w:rPr>
              <w:t>，考虑较周全</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但上述</w:t>
            </w:r>
            <w:r>
              <w:rPr>
                <w:rFonts w:hint="eastAsia" w:ascii="仿宋" w:hAnsi="仿宋" w:eastAsia="仿宋" w:cs="仿宋"/>
                <w:sz w:val="21"/>
                <w:szCs w:val="21"/>
                <w:highlight w:val="none"/>
              </w:rPr>
              <w:t>应急预案</w:t>
            </w:r>
            <w:r>
              <w:rPr>
                <w:rFonts w:hint="eastAsia" w:ascii="仿宋" w:hAnsi="仿宋" w:eastAsia="仿宋" w:cs="仿宋"/>
                <w:sz w:val="21"/>
                <w:szCs w:val="21"/>
                <w:highlight w:val="none"/>
                <w:lang w:val="en-US" w:eastAsia="zh-CN"/>
              </w:rPr>
              <w:t>存在缺漏或差距的，</w:t>
            </w:r>
            <w:r>
              <w:rPr>
                <w:rFonts w:hint="eastAsia" w:ascii="仿宋" w:hAnsi="仿宋" w:eastAsia="仿宋" w:cs="仿宋"/>
                <w:sz w:val="21"/>
                <w:szCs w:val="21"/>
                <w:highlight w:val="none"/>
              </w:rPr>
              <w:t>得</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分；</w:t>
            </w:r>
          </w:p>
          <w:p>
            <w:pPr>
              <w:keepNext w:val="0"/>
              <w:keepLines w:val="0"/>
              <w:numPr>
                <w:ilvl w:val="0"/>
                <w:numId w:val="0"/>
              </w:numPr>
              <w:suppressLineNumbers w:val="0"/>
              <w:spacing w:before="0" w:beforeAutospacing="0" w:after="0" w:afterAutospacing="0"/>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3.应急预案内容不完整，考虑片面，得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w:t>
            </w:r>
            <w:r>
              <w:rPr>
                <w:rFonts w:hint="eastAsia" w:ascii="仿宋" w:hAnsi="仿宋" w:eastAsia="仿宋" w:cs="仿宋"/>
                <w:sz w:val="21"/>
                <w:szCs w:val="21"/>
                <w:highlight w:val="none"/>
                <w:lang w:eastAsia="zh-CN"/>
              </w:rPr>
              <w:t>。</w:t>
            </w:r>
          </w:p>
          <w:p>
            <w:pPr>
              <w:keepNext w:val="0"/>
              <w:keepLines w:val="0"/>
              <w:numPr>
                <w:ilvl w:val="0"/>
                <w:numId w:val="0"/>
              </w:numPr>
              <w:suppressLineNumbers w:val="0"/>
              <w:spacing w:before="0" w:beforeAutospacing="0" w:after="0" w:afterAutospacing="0"/>
              <w:ind w:left="0" w:leftChars="0" w:right="0" w:firstLine="0" w:firstLineChars="0"/>
              <w:jc w:val="left"/>
              <w:rPr>
                <w:rFonts w:hint="eastAsia" w:ascii="仿宋" w:hAnsi="仿宋" w:eastAsia="仿宋" w:cs="仿宋"/>
                <w:sz w:val="21"/>
                <w:szCs w:val="21"/>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不提供方案不得分。</w:t>
            </w:r>
          </w:p>
        </w:tc>
      </w:tr>
    </w:tbl>
    <w:p>
      <w:pPr>
        <w:pStyle w:val="29"/>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27"/>
        <w:rPr>
          <w:rFonts w:hint="eastAsia" w:ascii="微软雅黑" w:hAnsi="微软雅黑" w:eastAsia="微软雅黑" w:cs="微软雅黑"/>
          <w:color w:val="000000"/>
          <w:highlight w:val="none"/>
        </w:rPr>
      </w:pPr>
    </w:p>
    <w:p>
      <w:pPr>
        <w:pStyle w:val="7"/>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pStyle w:val="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7"/>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2"/>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7"/>
        <w:rPr>
          <w:rFonts w:hint="eastAsia"/>
          <w:highlight w:val="none"/>
        </w:rPr>
      </w:pPr>
    </w:p>
    <w:p>
      <w:pPr>
        <w:pStyle w:val="29"/>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1"/>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甲方同意将中山大学孙逸仙纪念医院非120急救医疗转运服务委托给乙方，为明确甲乙双方责任和义务，本着平等、自愿、公平、诚信、守法的原则，经双方友好协商，一致同意签订下列条款并共同遵守。具体条款如下: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一、基本原则</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 以满足甲方需求为目标，建立安全快捷的转运服务；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2. 甲方为乙方开展</w:t>
      </w:r>
      <w:r>
        <w:rPr>
          <w:rFonts w:hint="eastAsia" w:ascii="仿宋" w:hAnsi="仿宋" w:eastAsia="仿宋" w:cs="仿宋"/>
          <w:color w:val="000000"/>
          <w:sz w:val="24"/>
          <w:szCs w:val="24"/>
          <w:highlight w:val="none"/>
          <w:lang w:val="en-US" w:eastAsia="zh-CN"/>
        </w:rPr>
        <w:t>医疗</w:t>
      </w:r>
      <w:r>
        <w:rPr>
          <w:rFonts w:hint="eastAsia" w:ascii="仿宋" w:hAnsi="仿宋" w:eastAsia="仿宋" w:cs="仿宋"/>
          <w:color w:val="000000"/>
          <w:sz w:val="24"/>
          <w:szCs w:val="24"/>
          <w:highlight w:val="none"/>
        </w:rPr>
        <w:t>转运服务提供便利，乙方为甲方提供及时、规范、专业、安全的医疗转运服务</w:t>
      </w:r>
      <w:r>
        <w:rPr>
          <w:rFonts w:hint="eastAsia" w:ascii="仿宋" w:hAnsi="仿宋" w:eastAsia="仿宋" w:cs="仿宋"/>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合同总价及合同有效期</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lang w:val="en-US" w:eastAsia="zh-CN"/>
        </w:rPr>
      </w:pPr>
      <w:r>
        <w:rPr>
          <w:rFonts w:hint="eastAsia" w:ascii="仿宋" w:hAnsi="仿宋" w:eastAsia="仿宋" w:cs="仿宋"/>
          <w:color w:val="000000"/>
          <w:sz w:val="24"/>
          <w:szCs w:val="24"/>
          <w:highlight w:val="none"/>
          <w:lang w:val="en-US" w:eastAsia="zh-CN"/>
        </w:rPr>
        <w:t>1.本合同总价为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元（大写：</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）,每月服务费为</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元。该合同总价包含完成合同约定所需的所有人工、车辆、耗品、设备、保险、税费等所有费用，本合同的总价在执行期间保持不变，乙方不得再以其它任何形式向甲方索要增加任何的费用。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2.合同有效期：自合同生效之日起两年，由</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月</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日起至</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年</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月</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日止。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三、服务内容及要求</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服务时间：全天24小时响应，含工作日、法定节假日。</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负责为</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南院区提供常规非120急救的医疗转运服务，包括但不限于病人、家属及医护人员医疗转运，标本/血液输送转运及</w:t>
      </w: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要求的其他非医疗转运服务，相关服务按卫生行政部门要求的非120急救转运流程、标准提供。</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乙方提供一辆专用救护车停在甲方院内指定位置，确保服务期内24小时随时可用。</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乙方为本项目投入的车辆品牌为</w:t>
      </w:r>
      <w:r>
        <w:rPr>
          <w:rFonts w:hint="eastAsia" w:ascii="仿宋" w:hAnsi="仿宋" w:eastAsia="仿宋" w:cs="仿宋"/>
          <w:i w:val="0"/>
          <w:iCs w:val="0"/>
          <w:color w:val="000000"/>
          <w:sz w:val="24"/>
          <w:szCs w:val="24"/>
          <w:highlight w:val="none"/>
          <w:u w:val="single"/>
          <w:lang w:val="en-US" w:eastAsia="zh-CN"/>
        </w:rPr>
        <w:t xml:space="preserve">              </w:t>
      </w:r>
      <w:r>
        <w:rPr>
          <w:rFonts w:hint="eastAsia" w:ascii="仿宋" w:hAnsi="仿宋" w:eastAsia="仿宋" w:cs="仿宋"/>
          <w:i w:val="0"/>
          <w:iCs w:val="0"/>
          <w:color w:val="000000"/>
          <w:sz w:val="24"/>
          <w:szCs w:val="24"/>
          <w:highlight w:val="none"/>
          <w:u w:val="none"/>
          <w:lang w:val="en-US" w:eastAsia="zh-CN"/>
        </w:rPr>
        <w:t>，该车辆</w:t>
      </w:r>
      <w:r>
        <w:rPr>
          <w:rFonts w:hint="eastAsia" w:ascii="仿宋" w:hAnsi="仿宋" w:eastAsia="仿宋" w:cs="仿宋"/>
          <w:color w:val="000000"/>
          <w:sz w:val="24"/>
          <w:szCs w:val="24"/>
          <w:highlight w:val="none"/>
          <w:lang w:val="en-US" w:eastAsia="zh-CN"/>
        </w:rPr>
        <w:t>权属清晰，无重大维修记录及重大事故记录，上牌注册时间在2018年及以后，车辆年审合格，符合环保要求，定时购买交强险、商业保险等车辆保险。</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乙方救护车上配备基础的医疗设备（详见附件1:车载设备需求配置表），并确保所配备设备符合相关医疗管理规定。车载医疗设备投入使用前需向甲方备案</w:t>
      </w:r>
      <w:r>
        <w:rPr>
          <w:rFonts w:hint="eastAsia" w:ascii="仿宋" w:hAnsi="仿宋" w:eastAsia="仿宋" w:cs="仿宋"/>
          <w:b w:val="0"/>
          <w:bCs/>
          <w:color w:val="000000"/>
          <w:sz w:val="24"/>
          <w:szCs w:val="24"/>
          <w:highlight w:val="none"/>
          <w:lang w:val="en-US" w:eastAsia="zh-CN"/>
        </w:rPr>
        <w:t>有效的</w:t>
      </w:r>
      <w:r>
        <w:rPr>
          <w:rFonts w:hint="eastAsia" w:ascii="仿宋" w:hAnsi="仿宋" w:eastAsia="仿宋" w:cs="仿宋"/>
          <w:color w:val="000000"/>
          <w:sz w:val="24"/>
          <w:szCs w:val="24"/>
          <w:highlight w:val="none"/>
          <w:lang w:val="en-US" w:eastAsia="zh-CN"/>
        </w:rPr>
        <w:t>相关医疗器械注册证件资料，并确保服务期内设备技术参数与注册证件资料要求相一致。</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乙方为本项目购买医疗责任保险和人员意外险，来往运输安全责任全权由乙方负责。</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医疗转运过程中的医疗安全责任由乙方负责。</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乙方在转运过程中不得收取任何额外费用，救护车辆燃油费、维修费、保险费、路桥费等运营费用均由乙方负责。</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乙方为本项目配备驻点司机不少于2人（轮班制，必须保证至少1人在岗值班），驻场司机需遵照医院相关规章制度，遵从甲方管理人员指挥，按时按质完成甲方分派的医疗转运任务。</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自接到甲方通知，驻点司机在15分钟内响应并出车。</w:t>
      </w:r>
    </w:p>
    <w:p>
      <w:pPr>
        <w:pStyle w:val="6"/>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乙方须保证所派驻司机的稳定性，不得随意更换。如甲方对乙方驻点司机的工作表现不满意，甲方有权提出更换人员或整改要求，乙方应予配合。乙方如需更换驻点司机，需提前征得甲方书面同意后方可更换。</w:t>
      </w:r>
    </w:p>
    <w:p>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、双方责任和义务</w:t>
      </w:r>
    </w:p>
    <w:p>
      <w:pPr>
        <w:pStyle w:val="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（一）甲方权利与义务</w:t>
      </w:r>
    </w:p>
    <w:p>
      <w:pPr>
        <w:pStyle w:val="6"/>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甲方</w:t>
      </w:r>
      <w:r>
        <w:rPr>
          <w:rFonts w:hint="eastAsia" w:ascii="仿宋" w:hAnsi="仿宋" w:eastAsia="仿宋" w:cs="仿宋"/>
          <w:color w:val="000000"/>
          <w:sz w:val="24"/>
          <w:szCs w:val="24"/>
          <w:highlight w:val="none"/>
        </w:rPr>
        <w:t>仅</w:t>
      </w:r>
      <w:r>
        <w:rPr>
          <w:rFonts w:hint="eastAsia" w:ascii="仿宋" w:hAnsi="仿宋" w:eastAsia="仿宋" w:cs="仿宋"/>
          <w:color w:val="000000"/>
          <w:sz w:val="24"/>
          <w:szCs w:val="24"/>
          <w:highlight w:val="none"/>
          <w:lang w:val="en-US" w:eastAsia="zh-CN"/>
        </w:rPr>
        <w:t>向乙方</w:t>
      </w:r>
      <w:r>
        <w:rPr>
          <w:rFonts w:hint="eastAsia" w:ascii="仿宋" w:hAnsi="仿宋" w:eastAsia="仿宋" w:cs="仿宋"/>
          <w:color w:val="000000"/>
          <w:sz w:val="24"/>
          <w:szCs w:val="24"/>
          <w:highlight w:val="none"/>
        </w:rPr>
        <w:t>提供救护车停车位，无法提供</w:t>
      </w:r>
      <w:r>
        <w:rPr>
          <w:rFonts w:hint="eastAsia" w:ascii="仿宋" w:hAnsi="仿宋" w:eastAsia="仿宋" w:cs="仿宋"/>
          <w:color w:val="000000"/>
          <w:sz w:val="24"/>
          <w:szCs w:val="24"/>
          <w:highlight w:val="none"/>
          <w:lang w:val="en-US" w:eastAsia="zh-CN"/>
        </w:rPr>
        <w:t>乙方</w:t>
      </w:r>
      <w:r>
        <w:rPr>
          <w:rFonts w:hint="eastAsia" w:ascii="仿宋" w:hAnsi="仿宋" w:eastAsia="仿宋" w:cs="仿宋"/>
          <w:color w:val="000000"/>
          <w:sz w:val="24"/>
          <w:szCs w:val="24"/>
          <w:highlight w:val="none"/>
        </w:rPr>
        <w:t>驻点司机值班休息床位；</w:t>
      </w:r>
    </w:p>
    <w:p>
      <w:pPr>
        <w:pStyle w:val="6"/>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在无乙方不履行或不适当履行合同义务的情况下，甲方应按合同约定向乙方支付相应服务费用；</w:t>
      </w:r>
    </w:p>
    <w:p>
      <w:pPr>
        <w:pStyle w:val="6"/>
        <w:keepNext w:val="0"/>
        <w:keepLines w:val="0"/>
        <w:pageBreakBefore w:val="0"/>
        <w:widowControl w:val="0"/>
        <w:numPr>
          <w:ilvl w:val="0"/>
          <w:numId w:val="16"/>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rPr>
        <w:t>甲方有权对乙方不听从管理、安排的员工及不达甲方要求的车辆、车载设备提出更换要求；</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（二）乙方权利与义务</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乙方须建立完善的安全生产管理机制，聘用具备相关资格要求的员工，并独立承担员工管理、车辆及车载设备的安全生产责任等全部责任；</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遵守国家相关法律、法规及甲方各项相关规章制度，服从甲方监管，按时提交季度工作小结、年度工作报告，及时反馈工作中存在的问题、整改情况及建议性意见；</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乙方按合同约定的内容和范围为甲方提供优质、安全、高效的转运服务，服从甲方调度，定期检查车辆、设备性能，配备备用车辆，确保完成24小时运送任务；</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乙方须购买医疗责任保险和人员意外险，承担来往运输安全责任；</w:t>
      </w:r>
    </w:p>
    <w:p>
      <w:pPr>
        <w:pStyle w:val="21"/>
        <w:keepNext w:val="0"/>
        <w:keepLines w:val="0"/>
        <w:pageBreakBefore w:val="0"/>
        <w:widowControl w:val="0"/>
        <w:numPr>
          <w:ilvl w:val="0"/>
          <w:numId w:val="17"/>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乙方在合同执行中不能额外收取任何费用。</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（三）双方权利与义务</w:t>
      </w:r>
    </w:p>
    <w:p>
      <w:pPr>
        <w:pStyle w:val="21"/>
        <w:keepNext w:val="0"/>
        <w:keepLines w:val="0"/>
        <w:pageBreakBefore w:val="0"/>
        <w:widowControl w:val="0"/>
        <w:numPr>
          <w:ilvl w:val="0"/>
          <w:numId w:val="18"/>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双方必须对医疗信息资料保密，尊重隐私；</w:t>
      </w:r>
    </w:p>
    <w:p>
      <w:pPr>
        <w:pStyle w:val="21"/>
        <w:keepNext w:val="0"/>
        <w:keepLines w:val="0"/>
        <w:pageBreakBefore w:val="0"/>
        <w:widowControl w:val="0"/>
        <w:numPr>
          <w:ilvl w:val="0"/>
          <w:numId w:val="18"/>
        </w:numPr>
        <w:kinsoku/>
        <w:wordWrap/>
        <w:overflowPunct/>
        <w:topLinePunct w:val="0"/>
        <w:autoSpaceDE/>
        <w:autoSpaceDN/>
        <w:bidi w:val="0"/>
        <w:adjustRightInd w:val="0"/>
        <w:snapToGrid w:val="0"/>
        <w:spacing w:after="0" w:line="360" w:lineRule="exact"/>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双方尊重对方权益，不得私下评论甲方的医疗行为和其他服务，避免造成误解和不利影响。</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五、服务质量考核</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每月考核服务质量，分为优秀、良好、合格、不合格四档。如</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连续两个月服务质量考核为不合格或累计四个月服务质量考核为不合格的，</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有权单方面终止合同。如本项目合同期内，</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b w:val="0"/>
          <w:bCs/>
          <w:color w:val="000000"/>
          <w:sz w:val="24"/>
          <w:szCs w:val="24"/>
          <w:highlight w:val="none"/>
          <w:lang w:eastAsia="zh-CN"/>
        </w:rPr>
        <w:t>发生重大安全生产事故，</w:t>
      </w:r>
      <w:r>
        <w:rPr>
          <w:rFonts w:hint="eastAsia" w:ascii="仿宋" w:hAnsi="仿宋" w:eastAsia="仿宋" w:cs="仿宋"/>
          <w:b w:val="0"/>
          <w:bCs/>
          <w:color w:val="000000"/>
          <w:sz w:val="24"/>
          <w:szCs w:val="24"/>
          <w:highlight w:val="none"/>
          <w:lang w:val="en-US" w:eastAsia="zh-CN"/>
        </w:rPr>
        <w:t>甲方</w:t>
      </w:r>
      <w:r>
        <w:rPr>
          <w:rFonts w:hint="eastAsia" w:ascii="仿宋" w:hAnsi="仿宋" w:eastAsia="仿宋" w:cs="仿宋"/>
          <w:b w:val="0"/>
          <w:bCs/>
          <w:color w:val="000000"/>
          <w:sz w:val="24"/>
          <w:szCs w:val="24"/>
          <w:highlight w:val="none"/>
          <w:lang w:eastAsia="zh-CN"/>
        </w:rPr>
        <w:t>有权立即单方面终止合同并追究相应损失。</w:t>
      </w:r>
      <w:r>
        <w:rPr>
          <w:rFonts w:hint="eastAsia" w:ascii="仿宋" w:hAnsi="仿宋" w:eastAsia="仿宋" w:cs="仿宋"/>
          <w:b w:val="0"/>
          <w:bCs/>
          <w:color w:val="000000"/>
          <w:sz w:val="24"/>
          <w:szCs w:val="24"/>
          <w:highlight w:val="none"/>
          <w:lang w:val="en-US" w:eastAsia="zh-CN"/>
        </w:rPr>
        <w:t>服务质量考核表详见附件2。</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履约保证金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乙方在收到成交通知书5个工作日内向甲方缴纳合同总价5%的履约保证金。履约保证金用于补偿甲方因乙方不履行合同义务/不妥善履行合同义务而蒙受的损失，如无乙方不履行或不妥善履行本合同义务情形，甲方于合同期满后一个月内将履约保证金无息退还给乙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乙方有违约情形的，甲方有权从履约保证金中扣除相应违约金/损失赔偿款项，履约保证金如不足以支付违约赔偿的，由乙方另行承担赔偿责任。如因乙方的违约行为导致提前终止本合同的，甲方除有权依据本合同约定追究乙方的违约责任外，不予退回履约保证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、结算方式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default" w:ascii="仿宋" w:hAnsi="仿宋" w:eastAsia="仿宋" w:cs="仿宋"/>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按月支付。乙方于次月月初向甲方提交上月服务质量考核凭证等结算资料，经甲方审核确认后，乙方根据核定金额开具发票。如服务质量考核结果为优秀或良好的，费用将按月服务费的100%支付；如服务质量考核结果为合格的，费用将按月服务费的80%支付；如服务质量考核结果为不合格的，费用将按月服务费的50%支付。甲方在收到乙方的正规发票后20个工作日内支付合同款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八、违约责任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 未经甲方书面允许，乙方不得私自将本合同中委托的项目进行转包或分包，一旦出现该情况则视为乙方严重违约，甲方有权立即终止合同，且乙方应为甲方的所有损失负责并退还所有甲方已支付给乙方的款项；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 如因乙方管理不善、违反转运规程、安全生产制度而造成不良后果，由乙方承担全部法律及经济责任，且甲方有权立即终止合同；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 因不可抗力所造成的损失，双方互不追究违约责任，如任何一方因不可抗力无法继续履行合同的，应及时通知对方，本合同自动终止；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 乙方为甲方提供服务期间，因乙方或乙方员工原因造成甲方或任何第三方人身、财产遭受损失的，全部责任与费用均由乙方承担；</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十、争议的解决方式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如双方在本合同履行过程中发生任何争议或分歧，双方应首先通过友好协商解决；若不能通过协商解决，任何一方均有权向甲方所在地有管辖权的人民法院提起诉讼。受理期间，争议事项的解决，不影响合同其余部分的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3.本合同实施过程中，如国家政策发生重大改变或出现本合同未尽之事宜，经双方友好协商，另行签定补充合同。经双方法定代表人或其授权代表签字并加盖公章的补充合同与本合同具同等法律效力。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本项目的比选文件、成交响应文件、成交通知书、附件等均为合同的组成部分。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附件1：车载设备需求配置表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附件2：非120急救医疗转运服务质量考核表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1"/>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附件1：</w:t>
      </w:r>
    </w:p>
    <w:p>
      <w:pPr>
        <w:pStyle w:val="21"/>
        <w:rPr>
          <w:rFonts w:hint="eastAsia" w:ascii="仿宋" w:hAnsi="仿宋" w:eastAsia="仿宋" w:cs="仿宋"/>
          <w:b w:val="0"/>
          <w:bCs/>
          <w:color w:val="000000"/>
          <w:kern w:val="2"/>
          <w:sz w:val="24"/>
          <w:szCs w:val="24"/>
          <w:highlight w:val="none"/>
          <w:lang w:val="en-US" w:eastAsia="zh-CN" w:bidi="ar-SA"/>
        </w:rPr>
      </w:pP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车载设备需求配置表</w:t>
      </w:r>
    </w:p>
    <w:tbl>
      <w:tblPr>
        <w:tblStyle w:val="22"/>
        <w:tblW w:w="6658" w:type="dxa"/>
        <w:jc w:val="center"/>
        <w:tblLayout w:type="fixed"/>
        <w:tblCellMar>
          <w:top w:w="0" w:type="dxa"/>
          <w:left w:w="108" w:type="dxa"/>
          <w:bottom w:w="0" w:type="dxa"/>
          <w:right w:w="108" w:type="dxa"/>
        </w:tblCellMar>
      </w:tblPr>
      <w:tblGrid>
        <w:gridCol w:w="5002"/>
        <w:gridCol w:w="854"/>
        <w:gridCol w:w="802"/>
      </w:tblGrid>
      <w:tr>
        <w:tblPrEx>
          <w:tblCellMar>
            <w:top w:w="0" w:type="dxa"/>
            <w:left w:w="108" w:type="dxa"/>
            <w:bottom w:w="0" w:type="dxa"/>
            <w:right w:w="108" w:type="dxa"/>
          </w:tblCellMar>
        </w:tblPrEx>
        <w:trPr>
          <w:jc w:val="center"/>
        </w:trPr>
        <w:tc>
          <w:tcPr>
            <w:tcW w:w="50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物品器械名称</w:t>
            </w:r>
          </w:p>
        </w:tc>
        <w:tc>
          <w:tcPr>
            <w:tcW w:w="85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单位</w:t>
            </w:r>
          </w:p>
        </w:tc>
        <w:tc>
          <w:tcPr>
            <w:tcW w:w="802"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数量</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转运担架床</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铲式担架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楼梯担架</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副</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5002"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lang w:val="zh-CN"/>
              </w:rPr>
            </w:pPr>
            <w:r>
              <w:rPr>
                <w:rFonts w:hint="eastAsia" w:ascii="仿宋" w:hAnsi="仿宋" w:eastAsia="仿宋" w:cs="仿宋"/>
                <w:b w:val="0"/>
                <w:bCs w:val="0"/>
                <w:kern w:val="0"/>
                <w:sz w:val="22"/>
                <w:szCs w:val="22"/>
              </w:rPr>
              <w:t>2升氧气瓶（带流量计）（配合转运呼吸机使用）</w:t>
            </w:r>
          </w:p>
        </w:tc>
        <w:tc>
          <w:tcPr>
            <w:tcW w:w="854"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瓶</w:t>
            </w:r>
          </w:p>
        </w:tc>
        <w:tc>
          <w:tcPr>
            <w:tcW w:w="802"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 w:val="22"/>
                <w:szCs w:val="22"/>
              </w:rPr>
            </w:pPr>
            <w:r>
              <w:rPr>
                <w:rFonts w:hint="eastAsia" w:ascii="仿宋" w:hAnsi="仿宋" w:eastAsia="仿宋" w:cs="仿宋"/>
                <w:b w:val="0"/>
                <w:bCs w:val="0"/>
                <w:kern w:val="0"/>
                <w:sz w:val="22"/>
                <w:szCs w:val="22"/>
              </w:rPr>
              <w:t>1</w:t>
            </w:r>
          </w:p>
        </w:tc>
      </w:tr>
      <w:tr>
        <w:tblPrEx>
          <w:tblCellMar>
            <w:top w:w="0" w:type="dxa"/>
            <w:left w:w="108" w:type="dxa"/>
            <w:bottom w:w="0" w:type="dxa"/>
            <w:right w:w="108" w:type="dxa"/>
          </w:tblCellMar>
        </w:tblPrEx>
        <w:trPr>
          <w:jc w:val="center"/>
        </w:trPr>
        <w:tc>
          <w:tcPr>
            <w:tcW w:w="6658" w:type="dxa"/>
            <w:gridSpan w:val="3"/>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color w:val="000000"/>
                <w:kern w:val="0"/>
                <w:sz w:val="22"/>
                <w:szCs w:val="22"/>
              </w:rPr>
            </w:pPr>
            <w:r>
              <w:rPr>
                <w:rFonts w:hint="eastAsia" w:ascii="仿宋" w:hAnsi="仿宋" w:eastAsia="仿宋" w:cs="仿宋"/>
                <w:b w:val="0"/>
                <w:bCs w:val="0"/>
                <w:color w:val="000000"/>
                <w:kern w:val="0"/>
                <w:sz w:val="22"/>
                <w:szCs w:val="22"/>
              </w:rPr>
              <w:t>备注:用后及时补充，保持规定的基数。</w:t>
            </w:r>
          </w:p>
        </w:tc>
      </w:tr>
    </w:tbl>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附件2：</w:t>
      </w:r>
    </w:p>
    <w:p>
      <w:pPr>
        <w:adjustRightInd w:val="0"/>
        <w:snapToGrid w:val="0"/>
        <w:jc w:val="center"/>
        <w:rPr>
          <w:rFonts w:hint="eastAsia" w:ascii="仿宋" w:hAnsi="仿宋" w:eastAsia="仿宋" w:cs="仿宋"/>
          <w:b/>
          <w:sz w:val="28"/>
          <w:szCs w:val="28"/>
        </w:rPr>
      </w:pPr>
      <w:r>
        <w:rPr>
          <w:rFonts w:hint="eastAsia" w:ascii="仿宋" w:hAnsi="仿宋" w:eastAsia="仿宋" w:cs="仿宋"/>
          <w:b/>
          <w:sz w:val="28"/>
          <w:szCs w:val="28"/>
        </w:rPr>
        <w:t>非120急救医疗转运服务质量考核表</w:t>
      </w:r>
    </w:p>
    <w:tbl>
      <w:tblPr>
        <w:tblStyle w:val="22"/>
        <w:tblW w:w="8250" w:type="dxa"/>
        <w:jc w:val="center"/>
        <w:tblLayout w:type="fixed"/>
        <w:tblCellMar>
          <w:top w:w="0" w:type="dxa"/>
          <w:left w:w="108" w:type="dxa"/>
          <w:bottom w:w="0" w:type="dxa"/>
          <w:right w:w="108" w:type="dxa"/>
        </w:tblCellMar>
      </w:tblPr>
      <w:tblGrid>
        <w:gridCol w:w="709"/>
        <w:gridCol w:w="5969"/>
        <w:gridCol w:w="743"/>
        <w:gridCol w:w="829"/>
      </w:tblGrid>
      <w:tr>
        <w:tblPrEx>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序号</w:t>
            </w:r>
          </w:p>
        </w:tc>
        <w:tc>
          <w:tcPr>
            <w:tcW w:w="5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服务评价项目</w:t>
            </w:r>
          </w:p>
        </w:tc>
        <w:tc>
          <w:tcPr>
            <w:tcW w:w="7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分值</w:t>
            </w:r>
          </w:p>
        </w:tc>
        <w:tc>
          <w:tcPr>
            <w:tcW w:w="82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得分</w:t>
            </w: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救护车是否停放在院内</w:t>
            </w:r>
            <w:r>
              <w:rPr>
                <w:rFonts w:hint="eastAsia" w:ascii="仿宋" w:hAnsi="仿宋" w:eastAsia="仿宋" w:cs="仿宋"/>
                <w:b w:val="0"/>
                <w:bCs w:val="0"/>
                <w:kern w:val="0"/>
                <w:szCs w:val="21"/>
                <w:lang w:eastAsia="zh-CN"/>
              </w:rPr>
              <w:t>的</w:t>
            </w:r>
            <w:r>
              <w:rPr>
                <w:rFonts w:hint="eastAsia" w:ascii="仿宋" w:hAnsi="仿宋" w:eastAsia="仿宋" w:cs="仿宋"/>
                <w:b w:val="0"/>
                <w:bCs w:val="0"/>
                <w:kern w:val="0"/>
                <w:szCs w:val="21"/>
              </w:rPr>
              <w:t>指定区域。</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评价明细：①救护车不按时停放在院内，每发现一次扣1分；②救护车不按院方指定区域停放，每发现一次扣1分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救护车是否保持完好备用状态。</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评价明细：①救护车上设备不齐全，每发现一次扣1分；②救护车上设备处于故障/不可用状态，每发现一次扣1分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15</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救护车是否影响院方工作。</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评价明细：①工作时间内，因救护车故障导致无法出车，每发生一次扣5分；②工作时间内，因司机或救护车原因导致轻微或小型交通事故，每发生一次扣5分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4</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驻点司机是否形象态度端正。</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lang w:eastAsia="zh-CN"/>
              </w:rPr>
            </w:pPr>
            <w:r>
              <w:rPr>
                <w:rFonts w:hint="eastAsia" w:ascii="仿宋" w:hAnsi="仿宋" w:eastAsia="仿宋" w:cs="仿宋"/>
                <w:b w:val="0"/>
                <w:bCs w:val="0"/>
                <w:kern w:val="0"/>
                <w:szCs w:val="21"/>
              </w:rPr>
              <w:t>评价明细：①工作时间内，驻点司机无正规着装/形象不雅，每发现一次扣1分；②工作时间内，驻点司机与院方工作人员发生激烈争吵，每发现一次扣3分；③工作时间内，驻点司机与院方工作人员发生肢体以上冲突，每发现一次扣10分</w:t>
            </w:r>
            <w:r>
              <w:rPr>
                <w:rFonts w:hint="eastAsia" w:ascii="仿宋" w:hAnsi="仿宋" w:eastAsia="仿宋" w:cs="仿宋"/>
                <w:b w:val="0"/>
                <w:bCs w:val="0"/>
                <w:kern w:val="0"/>
                <w:szCs w:val="21"/>
                <w:lang w:eastAsia="zh-CN"/>
              </w:rPr>
              <w:t>。</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20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jc w:val="center"/>
        </w:trPr>
        <w:tc>
          <w:tcPr>
            <w:tcW w:w="709" w:type="dxa"/>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5</w:t>
            </w:r>
          </w:p>
        </w:tc>
        <w:tc>
          <w:tcPr>
            <w:tcW w:w="5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rPr>
              <w:t>驻点司机是否服从院方工作安排。</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明细：①工作时间内，驻点司机无故拒绝出车任务，每发现一次扣10分；②工作时间内，驻点司机态度懒散，延误出车影响工作，造成不良影响，每发现一次扣10分；③驻点司机各种场合散播院方各类工作信息（出车任务、出车数量等），造成不良影响，每发现一次扣10分</w:t>
            </w:r>
            <w:r>
              <w:rPr>
                <w:rFonts w:hint="eastAsia" w:ascii="仿宋" w:hAnsi="仿宋" w:eastAsia="仿宋" w:cs="仿宋"/>
                <w:b w:val="0"/>
                <w:bCs w:val="0"/>
                <w:kern w:val="0"/>
                <w:szCs w:val="21"/>
                <w:lang w:eastAsia="zh-CN"/>
              </w:rPr>
              <w:t>。</w:t>
            </w:r>
            <w:r>
              <w:rPr>
                <w:rFonts w:hint="eastAsia" w:ascii="仿宋" w:hAnsi="仿宋" w:eastAsia="仿宋" w:cs="仿宋"/>
                <w:b w:val="0"/>
                <w:bCs w:val="0"/>
                <w:kern w:val="0"/>
                <w:szCs w:val="21"/>
              </w:rPr>
              <w:t xml:space="preserve"> </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30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6678" w:type="dxa"/>
            <w:gridSpan w:val="2"/>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备注：90-100属于优秀，80-89属于良好，60-79属于合格，0-59属于不合格</w:t>
            </w:r>
          </w:p>
        </w:tc>
        <w:tc>
          <w:tcPr>
            <w:tcW w:w="743"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r>
              <w:rPr>
                <w:rFonts w:hint="eastAsia" w:ascii="仿宋" w:hAnsi="仿宋" w:eastAsia="仿宋" w:cs="仿宋"/>
                <w:b w:val="0"/>
                <w:bCs w:val="0"/>
                <w:kern w:val="0"/>
                <w:szCs w:val="21"/>
              </w:rPr>
              <w:t>100</w:t>
            </w:r>
          </w:p>
        </w:tc>
        <w:tc>
          <w:tcPr>
            <w:tcW w:w="82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b w:val="0"/>
                <w:bCs w:val="0"/>
                <w:kern w:val="0"/>
                <w:szCs w:val="21"/>
              </w:rPr>
            </w:pPr>
          </w:p>
        </w:tc>
      </w:tr>
      <w:tr>
        <w:tblPrEx>
          <w:tblCellMar>
            <w:top w:w="0" w:type="dxa"/>
            <w:left w:w="108" w:type="dxa"/>
            <w:bottom w:w="0" w:type="dxa"/>
            <w:right w:w="108" w:type="dxa"/>
          </w:tblCellMar>
        </w:tblPrEx>
        <w:trPr>
          <w:trHeight w:val="534" w:hRule="atLeast"/>
          <w:jc w:val="center"/>
        </w:trPr>
        <w:tc>
          <w:tcPr>
            <w:tcW w:w="8250" w:type="dxa"/>
            <w:gridSpan w:val="4"/>
            <w:tcBorders>
              <w:top w:val="nil"/>
              <w:left w:val="single" w:color="auto" w:sz="4" w:space="0"/>
              <w:bottom w:val="single" w:color="auto" w:sz="4" w:space="0"/>
              <w:right w:val="single" w:color="auto" w:sz="4" w:space="0"/>
            </w:tcBorders>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经审核确认，</w:t>
            </w:r>
            <w:r>
              <w:rPr>
                <w:rFonts w:hint="eastAsia" w:ascii="仿宋" w:hAnsi="仿宋" w:eastAsia="仿宋" w:cs="仿宋"/>
                <w:b w:val="0"/>
                <w:bCs w:val="0"/>
                <w:kern w:val="0"/>
                <w:szCs w:val="21"/>
                <w:lang w:val="en-US" w:eastAsia="zh-CN"/>
              </w:rPr>
              <w:t>供应商</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年</w:t>
            </w:r>
            <w:r>
              <w:rPr>
                <w:rFonts w:hint="eastAsia" w:ascii="仿宋" w:hAnsi="仿宋" w:eastAsia="仿宋" w:cs="仿宋"/>
                <w:b w:val="0"/>
                <w:bCs w:val="0"/>
                <w:kern w:val="0"/>
                <w:szCs w:val="21"/>
                <w:u w:val="single"/>
                <w:lang w:val="en-US" w:eastAsia="zh-CN"/>
              </w:rPr>
              <w:t xml:space="preserve">   </w:t>
            </w:r>
            <w:r>
              <w:rPr>
                <w:rFonts w:hint="eastAsia" w:ascii="仿宋" w:hAnsi="仿宋" w:eastAsia="仿宋" w:cs="仿宋"/>
                <w:b w:val="0"/>
                <w:bCs w:val="0"/>
                <w:kern w:val="0"/>
                <w:szCs w:val="21"/>
                <w:lang w:val="en-US" w:eastAsia="zh-CN"/>
              </w:rPr>
              <w:t>月</w:t>
            </w:r>
            <w:r>
              <w:rPr>
                <w:rFonts w:hint="eastAsia" w:ascii="仿宋" w:hAnsi="仿宋" w:eastAsia="仿宋" w:cs="仿宋"/>
                <w:b w:val="0"/>
                <w:bCs w:val="0"/>
                <w:kern w:val="0"/>
                <w:szCs w:val="21"/>
              </w:rPr>
              <w:t>服务质量考核评价为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，同意支付月度服务费用</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元。</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Cs w:val="21"/>
              </w:rPr>
            </w:pPr>
            <w:r>
              <w:rPr>
                <w:rFonts w:hint="eastAsia" w:ascii="仿宋" w:hAnsi="仿宋" w:eastAsia="仿宋" w:cs="仿宋"/>
                <w:b w:val="0"/>
                <w:bCs w:val="0"/>
                <w:kern w:val="0"/>
                <w:szCs w:val="21"/>
              </w:rPr>
              <w:t>评价人：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证明人：</w:t>
            </w:r>
            <w:r>
              <w:rPr>
                <w:rFonts w:hint="eastAsia" w:ascii="仿宋" w:hAnsi="仿宋" w:eastAsia="仿宋" w:cs="仿宋"/>
                <w:b w:val="0"/>
                <w:bCs w:val="0"/>
                <w:kern w:val="0"/>
                <w:szCs w:val="21"/>
                <w:u w:val="single"/>
              </w:rPr>
              <w:t xml:space="preserve">          </w:t>
            </w:r>
            <w:r>
              <w:rPr>
                <w:rFonts w:hint="eastAsia" w:ascii="仿宋" w:hAnsi="仿宋" w:eastAsia="仿宋" w:cs="仿宋"/>
                <w:b w:val="0"/>
                <w:bCs w:val="0"/>
                <w:kern w:val="0"/>
                <w:szCs w:val="21"/>
              </w:rPr>
              <w:t xml:space="preserve">     科室负责人:</w:t>
            </w:r>
            <w:r>
              <w:rPr>
                <w:rFonts w:hint="eastAsia" w:ascii="仿宋" w:hAnsi="仿宋" w:eastAsia="仿宋" w:cs="仿宋"/>
                <w:b w:val="0"/>
                <w:bCs w:val="0"/>
                <w:kern w:val="0"/>
                <w:szCs w:val="21"/>
                <w:u w:val="single"/>
              </w:rPr>
              <w:t xml:space="preserve">            </w:t>
            </w:r>
          </w:p>
        </w:tc>
      </w:tr>
    </w:tbl>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9"/>
        <w:rPr>
          <w:rFonts w:hint="eastAsia"/>
          <w:color w:val="FF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9"/>
        <w:numPr>
          <w:ilvl w:val="0"/>
          <w:numId w:val="19"/>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9"/>
        <w:numPr>
          <w:ilvl w:val="0"/>
          <w:numId w:val="19"/>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2"/>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2"/>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29"/>
        <w:rPr>
          <w:rFonts w:hint="eastAsia" w:ascii="仿宋" w:hAnsi="仿宋" w:eastAsia="仿宋" w:cs="仿宋"/>
          <w:color w:val="000000"/>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firstLine="40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7"/>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2"/>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中山大学孙逸仙纪念医院非120急救医疗转运服务项目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7"/>
        <w:rPr>
          <w:highlight w:val="none"/>
        </w:rPr>
      </w:pPr>
    </w:p>
    <w:p>
      <w:pPr>
        <w:pStyle w:val="29"/>
        <w:rPr>
          <w:rFonts w:hint="eastAsia" w:ascii="仿宋" w:hAnsi="仿宋" w:eastAsia="仿宋" w:cs="仿宋"/>
          <w:color w:val="000000"/>
          <w:sz w:val="21"/>
          <w:szCs w:val="21"/>
          <w:highlight w:val="none"/>
        </w:rPr>
      </w:pPr>
    </w:p>
    <w:tbl>
      <w:tblPr>
        <w:tblStyle w:val="22"/>
        <w:tblW w:w="4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1887"/>
        <w:gridCol w:w="2124"/>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29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c>
          <w:tcPr>
            <w:tcW w:w="114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rPr>
            </w:pPr>
            <w:r>
              <w:rPr>
                <w:rFonts w:hint="eastAsia" w:ascii="仿宋" w:hAnsi="仿宋" w:eastAsia="仿宋" w:cs="仿宋"/>
                <w:b/>
                <w:bCs/>
                <w:sz w:val="24"/>
                <w:szCs w:val="24"/>
              </w:rPr>
              <w:t>服务期限</w:t>
            </w:r>
          </w:p>
        </w:tc>
        <w:tc>
          <w:tcPr>
            <w:tcW w:w="128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每月服务费</w:t>
            </w:r>
          </w:p>
        </w:tc>
        <w:tc>
          <w:tcPr>
            <w:tcW w:w="128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投入本项目使用的救护车品牌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2" w:hRule="atLeast"/>
          <w:jc w:val="center"/>
        </w:trPr>
        <w:tc>
          <w:tcPr>
            <w:tcW w:w="1291"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r>
              <w:rPr>
                <w:rFonts w:hint="eastAsia" w:ascii="仿宋" w:hAnsi="仿宋" w:eastAsia="仿宋" w:cs="仿宋"/>
                <w:sz w:val="24"/>
                <w:szCs w:val="24"/>
                <w:lang w:val="zh-CN"/>
              </w:rPr>
              <w:t>非120急救医疗转运服务</w:t>
            </w:r>
          </w:p>
        </w:tc>
        <w:tc>
          <w:tcPr>
            <w:tcW w:w="1141"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24个月</w:t>
            </w:r>
          </w:p>
        </w:tc>
        <w:tc>
          <w:tcPr>
            <w:tcW w:w="1284"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元</w:t>
            </w:r>
          </w:p>
        </w:tc>
        <w:tc>
          <w:tcPr>
            <w:tcW w:w="1283" w:type="pct"/>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291" w:type="pct"/>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3708"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1291" w:type="pct"/>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lang w:val="zh-CN"/>
              </w:rPr>
            </w:pPr>
          </w:p>
        </w:tc>
        <w:tc>
          <w:tcPr>
            <w:tcW w:w="3708" w:type="pct"/>
            <w:gridSpan w:val="3"/>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2"/>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供应商拟投入本项目的救护车司机（不少于</w:t>
            </w:r>
            <w:r>
              <w:rPr>
                <w:rFonts w:hint="eastAsia" w:ascii="仿宋" w:hAnsi="仿宋" w:eastAsia="仿宋" w:cs="仿宋"/>
                <w:color w:val="000000"/>
                <w:sz w:val="21"/>
                <w:szCs w:val="21"/>
                <w:highlight w:val="none"/>
                <w:lang w:val="en-US" w:eastAsia="zh-CN"/>
              </w:rPr>
              <w:t>2人，轮班制，必须保证至少1人在岗值班</w:t>
            </w:r>
            <w:r>
              <w:rPr>
                <w:rFonts w:hint="eastAsia" w:ascii="仿宋" w:hAnsi="仿宋" w:eastAsia="仿宋" w:cs="仿宋"/>
                <w:color w:val="000000"/>
                <w:sz w:val="21"/>
                <w:szCs w:val="21"/>
                <w:highlight w:val="none"/>
                <w:lang w:val="zh-CN"/>
              </w:rPr>
              <w:t>）必须具有B照或以上驾驶证（提供证书复印件、自2023年6月以来任意一个月在供应商缴纳社保的证明材料复印件，证明资料加盖公章）。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9"/>
        <w:ind w:left="0" w:leftChars="0" w:firstLine="0" w:firstLineChars="0"/>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27"/>
        <w:rPr>
          <w:color w:val="000000"/>
          <w:highlight w:val="none"/>
        </w:rPr>
      </w:pPr>
    </w:p>
    <w:p>
      <w:pPr>
        <w:pStyle w:val="53"/>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4、《医疗机构执业许可证》</w:t>
      </w:r>
    </w:p>
    <w:p>
      <w:pPr>
        <w:pStyle w:val="53"/>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和卫生行政部门批准开展非120急救医疗转运服务的文件或证明</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Cs/>
          <w:color w:val="auto"/>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5、拟投入本项目的救护车司机（不少于2人，轮班制，必须保证至少1人在岗值班）B照或以上驾驶证</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Cs/>
          <w:color w:val="auto"/>
          <w:sz w:val="24"/>
          <w:szCs w:val="24"/>
          <w:highlight w:val="none"/>
        </w:rPr>
        <w:t>（提供证书复印件、自2023年6月以来任意一个月在供应商缴纳社保的证明材料复印件，证明资料加盖公章）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ascii="黑体" w:hAnsi="黑体" w:eastAsia="黑体" w:cs="黑体"/>
          <w:b/>
          <w:bCs/>
          <w:sz w:val="36"/>
          <w:szCs w:val="36"/>
          <w:highlight w:val="none"/>
          <w:lang w:val="en-US" w:eastAsia="zh-CN"/>
        </w:rPr>
      </w:pPr>
    </w:p>
    <w:p>
      <w:pPr>
        <w:pStyle w:val="7"/>
        <w:rPr>
          <w:rFonts w:hint="eastAsia" w:ascii="黑体" w:hAnsi="黑体" w:eastAsia="黑体" w:cs="黑体"/>
          <w:b/>
          <w:bCs/>
          <w:sz w:val="36"/>
          <w:szCs w:val="36"/>
          <w:highlight w:val="none"/>
          <w:lang w:val="en-US" w:eastAsia="zh-CN"/>
        </w:rPr>
      </w:pP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2"/>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0"/>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Style w:val="10"/>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9"/>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9"/>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（1）第二章用户需求书中第二大点的“★2.服务内容”。</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pStyle w:val="7"/>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pStyle w:val="27"/>
        <w:rPr>
          <w:rFonts w:hint="eastAsia" w:ascii="黑体" w:hAnsi="黑体" w:eastAsia="黑体" w:cs="黑体"/>
          <w:b/>
          <w:bCs/>
          <w:sz w:val="40"/>
          <w:szCs w:val="40"/>
          <w:highlight w:val="none"/>
          <w:lang w:val="en-US" w:eastAsia="zh-CN"/>
        </w:rPr>
      </w:pPr>
    </w:p>
    <w:p>
      <w:pPr>
        <w:pStyle w:val="27"/>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2"/>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根据供应商自2020年1月1日（以合同签订时间为准）以来，提供与本项目同类的非120急救转运相关业绩经验进行评分，每提供一个得2分，最高得10分。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5"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（1）拟派项目驻点司机具备救护员资质（或医学相关专业学历/职称），每人得3分，最高得6分。</w:t>
            </w:r>
          </w:p>
        </w:tc>
        <w:tc>
          <w:tcPr>
            <w:tcW w:w="24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第（2）项评分合计最高得4分。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注：提供相关证书复印件及自2023年6月以来任意一个月供应商（或其分支机构）为其缴纳的社保证明，加盖公章。未提供或提供不齐全不得分。须与资格评审中响应人所提供的驻点司机名单及资料一致。</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5"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拟派项目驻点司机具备10年（含）以上驾驶经验（B照或以上）的，每人得2分，最高得4分；5年（含）至10年（不含）驾驶经验（B照或以上）的，每人得1分，最高得2分；其他情况不得分。（提供B照或以上驾驶证复印件，C照不予认可）</w:t>
            </w:r>
          </w:p>
        </w:tc>
        <w:tc>
          <w:tcPr>
            <w:tcW w:w="240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2"/>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7"/>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2"/>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9"/>
        <w:rPr>
          <w:rFonts w:hint="eastAsia" w:ascii="仿宋" w:hAnsi="仿宋" w:eastAsia="仿宋" w:cs="仿宋"/>
          <w:highlight w:val="none"/>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22"/>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0" w:leftChars="0" w:right="0" w:rightChars="0" w:firstLine="420" w:firstLineChars="200"/>
        <w:jc w:val="left"/>
        <w:textAlignment w:val="auto"/>
        <w:rPr>
          <w:rFonts w:hint="eastAsia" w:ascii="仿宋" w:hAnsi="仿宋" w:eastAsia="仿宋" w:cs="仿宋"/>
          <w:sz w:val="21"/>
          <w:szCs w:val="21"/>
          <w:highlight w:val="none"/>
          <w:lang w:eastAsia="zh-CN"/>
        </w:rPr>
      </w:pPr>
      <w:r>
        <w:rPr>
          <w:rFonts w:hint="eastAsia" w:ascii="仿宋" w:hAnsi="仿宋" w:eastAsia="仿宋" w:cs="仿宋"/>
          <w:kern w:val="0"/>
          <w:sz w:val="21"/>
          <w:szCs w:val="21"/>
          <w:lang w:val="en-US" w:eastAsia="zh-CN" w:bidi="ar-SA"/>
        </w:rPr>
        <w:t>2</w:t>
      </w:r>
      <w:r>
        <w:rPr>
          <w:rFonts w:hint="default" w:ascii="仿宋" w:hAnsi="仿宋" w:eastAsia="仿宋" w:cs="仿宋"/>
          <w:kern w:val="0"/>
          <w:sz w:val="21"/>
          <w:szCs w:val="21"/>
          <w:lang w:val="en-US" w:eastAsia="zh-CN" w:bidi="ar-SA"/>
        </w:rPr>
        <w:t>．</w:t>
      </w:r>
      <w:r>
        <w:rPr>
          <w:rFonts w:hint="eastAsia" w:ascii="仿宋" w:hAnsi="仿宋" w:eastAsia="仿宋" w:cs="仿宋"/>
          <w:sz w:val="21"/>
          <w:szCs w:val="21"/>
          <w:highlight w:val="none"/>
        </w:rPr>
        <w:t>如果响应人没有同类经验业绩的，请在上表正文内容第一行填写“无”</w:t>
      </w:r>
      <w:r>
        <w:rPr>
          <w:rFonts w:hint="eastAsia" w:ascii="仿宋" w:hAnsi="仿宋" w:eastAsia="仿宋" w:cs="仿宋"/>
          <w:sz w:val="21"/>
          <w:szCs w:val="21"/>
          <w:highlight w:val="none"/>
          <w:lang w:eastAsia="zh-CN"/>
        </w:rPr>
        <w:t>；</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7"/>
        <w:rPr>
          <w:rFonts w:hint="eastAsia" w:ascii="仿宋" w:hAnsi="仿宋" w:eastAsia="仿宋" w:cs="仿宋"/>
          <w:b/>
          <w:bCs/>
          <w:sz w:val="40"/>
          <w:szCs w:val="40"/>
          <w:highlight w:val="none"/>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lang w:val="en-US" w:eastAsia="zh-CN"/>
        </w:rPr>
        <w:t>5、</w:t>
      </w:r>
      <w:r>
        <w:rPr>
          <w:rFonts w:hint="eastAsia" w:ascii="仿宋" w:hAnsi="仿宋" w:eastAsia="仿宋" w:cs="仿宋"/>
          <w:b/>
          <w:bCs w:val="0"/>
          <w:sz w:val="32"/>
          <w:szCs w:val="32"/>
          <w:highlight w:val="none"/>
          <w:lang w:val="en-US" w:eastAsia="zh-CN"/>
        </w:rPr>
        <w:t>本项目拟派驻点司机配置</w:t>
      </w:r>
      <w:r>
        <w:rPr>
          <w:rFonts w:hint="eastAsia" w:ascii="仿宋" w:hAnsi="仿宋" w:eastAsia="仿宋" w:cs="仿宋"/>
          <w:b/>
          <w:bCs w:val="0"/>
          <w:sz w:val="22"/>
          <w:szCs w:val="22"/>
          <w:highlight w:val="none"/>
          <w:lang w:val="en-US" w:eastAsia="zh-CN"/>
        </w:rPr>
        <w:t>（如有）</w:t>
      </w:r>
    </w:p>
    <w:p>
      <w:pPr>
        <w:pStyle w:val="7"/>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采购项目名称：中山大学孙逸仙纪念医院非120急救医疗转运服务项目</w:t>
      </w:r>
    </w:p>
    <w:tbl>
      <w:tblPr>
        <w:tblStyle w:val="22"/>
        <w:tblW w:w="84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1347"/>
        <w:gridCol w:w="1652"/>
        <w:gridCol w:w="260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rPr>
            </w:pPr>
            <w:r>
              <w:rPr>
                <w:rFonts w:hint="eastAsia" w:ascii="仿宋" w:hAnsi="仿宋" w:eastAsia="仿宋" w:cs="仿宋"/>
              </w:rPr>
              <w:t>年龄</w:t>
            </w: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lang w:val="en-US" w:eastAsia="zh-CN"/>
              </w:rPr>
            </w:pPr>
            <w:r>
              <w:rPr>
                <w:rFonts w:hint="eastAsia" w:ascii="仿宋" w:hAnsi="仿宋" w:eastAsia="仿宋" w:cs="仿宋"/>
                <w:color w:val="000000"/>
                <w:kern w:val="0"/>
                <w:sz w:val="21"/>
                <w:szCs w:val="21"/>
              </w:rPr>
              <w:t>专业学历/职称</w:t>
            </w:r>
          </w:p>
        </w:tc>
        <w:tc>
          <w:tcPr>
            <w:tcW w:w="1652"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2608" w:type="dxa"/>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rPr>
            </w:pPr>
            <w:r>
              <w:rPr>
                <w:rFonts w:hint="eastAsia" w:ascii="仿宋" w:hAnsi="仿宋" w:eastAsia="仿宋" w:cs="仿宋"/>
              </w:rPr>
              <w:t>驾驶经验</w:t>
            </w:r>
          </w:p>
          <w:p>
            <w:pPr>
              <w:keepNext w:val="0"/>
              <w:keepLines w:val="0"/>
              <w:suppressLineNumbers w:val="0"/>
              <w:spacing w:before="0" w:beforeAutospacing="0" w:after="0" w:afterAutospacing="0" w:line="240" w:lineRule="auto"/>
              <w:ind w:left="0" w:leftChars="0"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rPr>
              <w:t>（</w:t>
            </w:r>
            <w:r>
              <w:rPr>
                <w:rFonts w:hint="eastAsia" w:ascii="仿宋" w:hAnsi="仿宋" w:eastAsia="仿宋" w:cs="仿宋"/>
                <w:lang w:val="en-US" w:eastAsia="zh-CN"/>
              </w:rPr>
              <w:t>持有</w:t>
            </w:r>
            <w:r>
              <w:rPr>
                <w:rFonts w:hint="eastAsia" w:ascii="仿宋" w:hAnsi="仿宋" w:eastAsia="仿宋" w:cs="仿宋"/>
              </w:rPr>
              <w:t>B照或以上</w:t>
            </w:r>
            <w:r>
              <w:rPr>
                <w:rFonts w:hint="eastAsia" w:ascii="仿宋" w:hAnsi="仿宋" w:eastAsia="仿宋" w:cs="仿宋"/>
                <w:lang w:eastAsia="zh-CN"/>
              </w:rPr>
              <w:t>的</w:t>
            </w:r>
            <w:r>
              <w:rPr>
                <w:rFonts w:hint="eastAsia" w:ascii="仿宋" w:hAnsi="仿宋" w:eastAsia="仿宋" w:cs="仿宋"/>
                <w:lang w:val="en-US" w:eastAsia="zh-CN"/>
              </w:rPr>
              <w:t>年限</w:t>
            </w:r>
            <w:r>
              <w:rPr>
                <w:rFonts w:hint="eastAsia" w:ascii="仿宋" w:hAnsi="仿宋" w:eastAsia="仿宋" w:cs="仿宋"/>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652"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仿宋" w:hAnsi="仿宋" w:eastAsia="仿宋" w:cs="仿宋"/>
              </w:rPr>
            </w:pPr>
            <w:r>
              <w:rPr>
                <w:rFonts w:hint="eastAsia" w:ascii="仿宋" w:hAnsi="仿宋" w:eastAsia="仿宋" w:cs="仿宋"/>
                <w:lang w:eastAsia="zh-CN"/>
              </w:rPr>
              <w:t>……</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652"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652"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3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652"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60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r>
    </w:tbl>
    <w:p>
      <w:pPr>
        <w:jc w:val="both"/>
        <w:rPr>
          <w:rFonts w:hint="eastAsia" w:ascii="仿宋" w:hAnsi="仿宋" w:eastAsia="仿宋" w:cs="仿宋"/>
          <w:sz w:val="20"/>
          <w:szCs w:val="20"/>
        </w:rPr>
      </w:pPr>
    </w:p>
    <w:p>
      <w:pPr>
        <w:pStyle w:val="29"/>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注：1.响应人应如实填写拟</w:t>
      </w:r>
      <w:r>
        <w:rPr>
          <w:rFonts w:hint="eastAsia" w:ascii="仿宋" w:hAnsi="仿宋" w:eastAsia="仿宋" w:cs="仿宋"/>
          <w:color w:val="auto"/>
          <w:szCs w:val="21"/>
          <w:lang w:val="en-US" w:eastAsia="zh-CN"/>
        </w:rPr>
        <w:t>派驻点司机资质</w:t>
      </w:r>
      <w:r>
        <w:rPr>
          <w:rFonts w:hint="eastAsia" w:ascii="仿宋" w:hAnsi="仿宋" w:eastAsia="仿宋" w:cs="仿宋"/>
          <w:color w:val="auto"/>
          <w:szCs w:val="21"/>
          <w:lang w:val="en-GB"/>
        </w:rPr>
        <w:t>情况，不得弄虚作假；</w:t>
      </w:r>
    </w:p>
    <w:p>
      <w:pPr>
        <w:numPr>
          <w:ilvl w:val="0"/>
          <w:numId w:val="0"/>
        </w:numPr>
        <w:ind w:firstLine="420" w:firstLineChars="200"/>
        <w:jc w:val="both"/>
        <w:rPr>
          <w:rFonts w:hint="default" w:ascii="仿宋" w:hAnsi="仿宋" w:eastAsia="仿宋" w:cs="仿宋"/>
          <w:color w:val="auto"/>
          <w:sz w:val="20"/>
          <w:szCs w:val="21"/>
          <w:lang w:val="en-US"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val="en-GB"/>
        </w:rPr>
        <w:t>请在表格下方附上所列人员的相关证明资料</w:t>
      </w:r>
      <w:r>
        <w:rPr>
          <w:rFonts w:hint="eastAsia" w:ascii="仿宋" w:hAnsi="仿宋" w:eastAsia="仿宋" w:cs="仿宋"/>
          <w:color w:val="auto"/>
          <w:szCs w:val="21"/>
          <w:lang w:val="en-GB" w:eastAsia="zh-CN"/>
        </w:rPr>
        <w:t>：须同时提供证书复印件及自2023年6月以来任意一个月供应商（或其分支机构）为其缴纳的社保证明，加盖公章。须与资格评审中响应人所提供的驻点司机名单及资料一致。</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22"/>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1"/>
                <w:szCs w:val="21"/>
                <w:highlight w:val="none"/>
              </w:rPr>
              <w:t>拟投入本项目车辆的车龄车况</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对供应商拟投入本项目服务车辆的车龄、车况（行驶里程）、车辆配备、安全性能等情况进行综合评价：</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1.购置时间短、行驶里程短、安全性能高、车况良好、车辆配备方案完善，完全满足且优于项目需求要求的，得15分；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2.购置时间较短、行驶里程较短、安全性能较高、车况一般、车辆配备方案较完善，满足项目需求要求的，得10分；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3.购置时间长、行驶里程较长、安全性能一般、车况一般、车辆配备方案较差，不完全满足项目需求要求的，得5分。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4.其余情况或未提供，不得分。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注：提供权属证明材料、车辆行驶证、年审证明、车辆外部及车厢内部照片等证明资料。</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服务质量保障方案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根据供应商提供的服务质量保障方案作为评审依据，包括但不限于以下内容：</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（1）非120急救转运的流程、标准；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（2）24小时用车及响应出车保障；</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（3）配套设备用品；</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（4）制度管理；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（5）司机培训方案；</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（6）服务质量考核管理。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评审标准：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（1）以上每提供一项内容得1分，最高得6分，不提供不得分。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（2）在此基础上，根据各供应商的具体响应情况按照以下内容进一步评审：</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①每一小项方案内容响应全面具体，科学合理、可操作性强，符合项目实际情况的，评价为优，得3分；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②每一小项方案内容响应较完整，较科学合理，比较符合项目实际情况的，评价为良，得2分；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③每一小项方案内容响应内容不够完整、科学、考虑片面的，评价为中，得1分；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color w:val="000000"/>
                <w:sz w:val="21"/>
                <w:szCs w:val="21"/>
                <w:highlight w:val="none"/>
              </w:rPr>
              <w:t>④其它情况的评价为差，不得分。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rPr>
              <w:t>应急处理方案</w:t>
            </w:r>
          </w:p>
        </w:tc>
        <w:tc>
          <w:tcPr>
            <w:tcW w:w="5054" w:type="dxa"/>
            <w:vAlign w:val="center"/>
          </w:tcPr>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根据供应商提供的应急预案(包括但不限于①车辆在执行转运任务的途中发生交通事故或车辆机械故障时的处理方案；②遇到采购人有应急订单需求时的响应时间及方案；③用车期间可能发生的突发状况及处理方案；④国家政策调控下的安全防护措施等)进行评审：</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1.应急预案内容完整，科学合理，考虑周全，得6分；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2.应急预案内容较完整，</w:t>
            </w:r>
            <w:r>
              <w:rPr>
                <w:rFonts w:hint="eastAsia" w:ascii="仿宋" w:hAnsi="仿宋" w:eastAsia="仿宋" w:cs="仿宋"/>
                <w:b w:val="0"/>
                <w:bCs w:val="0"/>
                <w:color w:val="000000"/>
                <w:kern w:val="0"/>
                <w:sz w:val="21"/>
                <w:szCs w:val="21"/>
                <w:lang w:eastAsia="zh-CN"/>
              </w:rPr>
              <w:t>较科学合理</w:t>
            </w:r>
            <w:r>
              <w:rPr>
                <w:rFonts w:hint="eastAsia" w:ascii="仿宋" w:hAnsi="仿宋" w:eastAsia="仿宋" w:cs="仿宋"/>
                <w:b w:val="0"/>
                <w:bCs w:val="0"/>
                <w:color w:val="000000"/>
                <w:kern w:val="0"/>
                <w:sz w:val="21"/>
                <w:szCs w:val="21"/>
              </w:rPr>
              <w:t>，考虑较周全，但上述应急预案存在缺漏或差距的，得4分；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3.应急预案内容不完整，考虑片面，得2分。</w:t>
            </w:r>
          </w:p>
          <w:p>
            <w:pPr>
              <w:pStyle w:val="2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b w:val="0"/>
                <w:bCs w:val="0"/>
                <w:color w:val="000000"/>
                <w:kern w:val="0"/>
                <w:sz w:val="21"/>
                <w:szCs w:val="21"/>
              </w:rPr>
              <w:t>4.不提供方案不得分。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9"/>
        <w:ind w:left="0" w:leftChars="0" w:firstLine="0" w:firstLineChars="0"/>
        <w:rPr>
          <w:rFonts w:hint="eastAsia" w:ascii="仿宋" w:hAnsi="仿宋" w:eastAsia="仿宋" w:cs="仿宋"/>
          <w:highlight w:val="none"/>
        </w:rPr>
      </w:pPr>
    </w:p>
    <w:p>
      <w:pPr>
        <w:pStyle w:val="29"/>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1、拟投入本项目车辆的车龄车况</w:t>
      </w:r>
      <w:r>
        <w:rPr>
          <w:rFonts w:hint="eastAsia" w:ascii="仿宋" w:hAnsi="仿宋" w:eastAsia="仿宋" w:cs="仿宋"/>
          <w:b/>
          <w:bCs w:val="0"/>
          <w:sz w:val="22"/>
          <w:szCs w:val="22"/>
          <w:highlight w:val="none"/>
          <w:lang w:val="en-US" w:eastAsia="zh-CN"/>
        </w:rPr>
        <w:t>（如有）</w:t>
      </w:r>
    </w:p>
    <w:p>
      <w:pPr>
        <w:pStyle w:val="27"/>
        <w:rPr>
          <w:rFonts w:hint="eastAsia" w:ascii="仿宋" w:hAnsi="仿宋" w:eastAsia="仿宋" w:cs="仿宋"/>
          <w:sz w:val="21"/>
          <w:szCs w:val="21"/>
          <w:highlight w:val="none"/>
        </w:rPr>
      </w:pPr>
    </w:p>
    <w:p>
      <w:pPr>
        <w:pStyle w:val="27"/>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注：提供权属证明材料、车辆行驶证、年审证明、车辆外部及车厢内部照片等证明资料。</w:t>
      </w:r>
    </w:p>
    <w:p>
      <w:pPr>
        <w:pStyle w:val="27"/>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2、服务质量保障方案</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（1）非120急救转运的流程、标准；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（2）24小时用车及响应出车保障；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（3）配套设备用品；</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（4）制度管理；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（5）司机培训方案；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175"/>
        <w:jc w:val="both"/>
        <w:textAlignment w:val="auto"/>
        <w:rPr>
          <w:rFonts w:hint="eastAsia" w:ascii="仿宋" w:hAnsi="仿宋" w:eastAsia="仿宋" w:cs="仿宋"/>
          <w:color w:val="auto"/>
          <w:sz w:val="24"/>
          <w:szCs w:val="24"/>
        </w:rPr>
      </w:pPr>
      <w:r>
        <w:rPr>
          <w:rFonts w:hint="eastAsia" w:ascii="仿宋" w:hAnsi="仿宋" w:eastAsia="仿宋" w:cs="仿宋"/>
          <w:b w:val="0"/>
          <w:bCs/>
          <w:sz w:val="24"/>
          <w:szCs w:val="24"/>
          <w:highlight w:val="none"/>
          <w:lang w:val="en-US" w:eastAsia="zh-CN"/>
        </w:rPr>
        <w:t>（6）服务质量考核管理。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7"/>
        <w:rPr>
          <w:rFonts w:hint="default" w:ascii="宋体" w:hAnsi="宋体" w:cs="宋体"/>
          <w:color w:val="auto"/>
          <w:sz w:val="24"/>
          <w:highlight w:val="none"/>
          <w:lang w:val="en-US" w:eastAsia="zh-CN"/>
        </w:rPr>
      </w:pPr>
    </w:p>
    <w:p>
      <w:pPr>
        <w:pStyle w:val="27"/>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3、应急处理方案</w:t>
      </w:r>
      <w:r>
        <w:rPr>
          <w:rFonts w:hint="eastAsia" w:ascii="仿宋" w:hAnsi="仿宋" w:eastAsia="仿宋" w:cs="仿宋"/>
          <w:b/>
          <w:bCs w:val="0"/>
          <w:sz w:val="22"/>
          <w:szCs w:val="22"/>
          <w:highlight w:val="none"/>
          <w:lang w:val="en-US" w:eastAsia="zh-CN"/>
        </w:rPr>
        <w:t>（如有）</w:t>
      </w:r>
    </w:p>
    <w:p>
      <w:pPr>
        <w:pStyle w:val="29"/>
        <w:rPr>
          <w:rFonts w:hint="eastAsia" w:ascii="仿宋" w:hAnsi="仿宋" w:eastAsia="仿宋" w:cs="仿宋"/>
          <w:sz w:val="21"/>
          <w:szCs w:val="28"/>
          <w:lang w:val="en-US" w:eastAsia="zh-CN"/>
        </w:rPr>
      </w:pPr>
      <w:r>
        <w:rPr>
          <w:rFonts w:hint="eastAsia" w:ascii="仿宋" w:hAnsi="仿宋" w:eastAsia="仿宋" w:cs="仿宋"/>
          <w:sz w:val="21"/>
          <w:szCs w:val="28"/>
        </w:rPr>
        <w:t>应急预案主要根据采购需求的要求自行拟写。包括但不限于：①车辆在执行转运任务的途中发生交通事故或车辆机械故障时的处理方案；②遇到采购人有应急订单需求时的响应时间及方案；③用车期间可能发生的突发状况及处理方案；④国家政策调控下的安全防护措施等</w:t>
      </w:r>
      <w:r>
        <w:rPr>
          <w:rFonts w:hint="eastAsia" w:ascii="仿宋" w:hAnsi="仿宋" w:eastAsia="仿宋" w:cs="仿宋"/>
          <w:sz w:val="21"/>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pStyle w:val="29"/>
        <w:jc w:val="center"/>
        <w:rPr>
          <w:rFonts w:hint="default" w:ascii="仿宋" w:hAnsi="仿宋" w:eastAsia="仿宋" w:cs="仿宋"/>
          <w:b/>
          <w:bCs w:val="0"/>
          <w:sz w:val="32"/>
          <w:szCs w:val="32"/>
          <w:highlight w:val="none"/>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738511-8D5A-4B31-B15D-1D49A4A6FA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A6FDC311-A49F-4975-97DF-0F4B97125295}"/>
  </w:font>
  <w:font w:name="微软雅黑">
    <w:panose1 w:val="020B0503020204020204"/>
    <w:charset w:val="86"/>
    <w:family w:val="auto"/>
    <w:pitch w:val="default"/>
    <w:sig w:usb0="80000287" w:usb1="2ACF3C50" w:usb2="00000016" w:usb3="00000000" w:csb0="0004001F" w:csb1="00000000"/>
    <w:embedRegular r:id="rId3" w:fontKey="{30094689-70BE-4D8B-B350-5F903D5C9DF5}"/>
  </w:font>
  <w:font w:name="方正仿宋简体">
    <w:panose1 w:val="02000000000000000000"/>
    <w:charset w:val="86"/>
    <w:family w:val="auto"/>
    <w:pitch w:val="default"/>
    <w:sig w:usb0="A00002BF" w:usb1="184F6CFA" w:usb2="00000012" w:usb3="00000000" w:csb0="00040001" w:csb1="00000000"/>
    <w:embedRegular r:id="rId4" w:fontKey="{46BD1F58-72E4-4C61-9A1A-267F1ACC8E81}"/>
  </w:font>
  <w:font w:name="仿宋">
    <w:panose1 w:val="02010609060101010101"/>
    <w:charset w:val="86"/>
    <w:family w:val="auto"/>
    <w:pitch w:val="default"/>
    <w:sig w:usb0="800002BF" w:usb1="38CF7CFA" w:usb2="00000016" w:usb3="00000000" w:csb0="00040001" w:csb1="00000000"/>
    <w:embedRegular r:id="rId5" w:fontKey="{EB7F0324-A110-47F4-B5B3-24BF6A4508F9}"/>
  </w:font>
  <w:font w:name="华文中宋">
    <w:panose1 w:val="02010600040101010101"/>
    <w:charset w:val="86"/>
    <w:family w:val="auto"/>
    <w:pitch w:val="default"/>
    <w:sig w:usb0="00000287" w:usb1="080F0000" w:usb2="00000000" w:usb3="00000000" w:csb0="0004009F" w:csb1="DFD70000"/>
    <w:embedRegular r:id="rId6" w:fontKey="{5C1BA041-1911-4279-B767-15AEC3F0A5D1}"/>
  </w:font>
  <w:font w:name="华文仿宋">
    <w:panose1 w:val="02010600040101010101"/>
    <w:charset w:val="86"/>
    <w:family w:val="auto"/>
    <w:pitch w:val="default"/>
    <w:sig w:usb0="00000287" w:usb1="080F0000" w:usb2="00000000" w:usb3="00000000" w:csb0="0004009F" w:csb1="DFD70000"/>
    <w:embedRegular r:id="rId7" w:fontKey="{6D9AF61B-F946-463D-814A-7FDA9BCFAD81}"/>
  </w:font>
  <w:font w:name="Tahoma">
    <w:panose1 w:val="020B0604030504040204"/>
    <w:charset w:val="00"/>
    <w:family w:val="auto"/>
    <w:pitch w:val="default"/>
    <w:sig w:usb0="E1002EFF" w:usb1="C000605B" w:usb2="00000029" w:usb3="00000000" w:csb0="200101FF" w:csb1="20280000"/>
    <w:embedRegular r:id="rId8" w:fontKey="{52767F16-4B6D-4FA5-97AE-421E76955E82}"/>
  </w:font>
  <w:font w:name="Calibri Light">
    <w:panose1 w:val="020F0302020204030204"/>
    <w:charset w:val="00"/>
    <w:family w:val="swiss"/>
    <w:pitch w:val="default"/>
    <w:sig w:usb0="E0002AFF" w:usb1="C000247B" w:usb2="00000009" w:usb3="00000000" w:csb0="200001FF" w:csb1="00000000"/>
    <w:embedRegular r:id="rId9" w:fontKey="{1BD326C0-B5B4-45CD-9DB7-09E4392DD8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sz w:val="18"/>
        <w:szCs w:val="24"/>
      </w:rPr>
    </w:pPr>
  </w:p>
  <w:p>
    <w:pPr>
      <w:pStyle w:val="14"/>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pPr>
                      <w:pStyle w:val="14"/>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EC2040"/>
    <w:multiLevelType w:val="singleLevel"/>
    <w:tmpl w:val="8EEC2040"/>
    <w:lvl w:ilvl="0" w:tentative="0">
      <w:start w:val="1"/>
      <w:numFmt w:val="decimal"/>
      <w:suff w:val="nothing"/>
      <w:lvlText w:val="%1．"/>
      <w:lvlJc w:val="left"/>
      <w:pPr>
        <w:ind w:left="0" w:firstLine="400"/>
      </w:pPr>
      <w:rPr>
        <w:rFonts w:hint="default"/>
      </w:rPr>
    </w:lvl>
  </w:abstractNum>
  <w:abstractNum w:abstractNumId="1">
    <w:nsid w:val="B19B1D0D"/>
    <w:multiLevelType w:val="singleLevel"/>
    <w:tmpl w:val="B19B1D0D"/>
    <w:lvl w:ilvl="0" w:tentative="0">
      <w:start w:val="1"/>
      <w:numFmt w:val="decimal"/>
      <w:suff w:val="nothing"/>
      <w:lvlText w:val="（%1）"/>
      <w:lvlJc w:val="left"/>
    </w:lvl>
  </w:abstractNum>
  <w:abstractNum w:abstractNumId="2">
    <w:nsid w:val="C42FDF06"/>
    <w:multiLevelType w:val="singleLevel"/>
    <w:tmpl w:val="C42FDF06"/>
    <w:lvl w:ilvl="0" w:tentative="0">
      <w:start w:val="1"/>
      <w:numFmt w:val="decimal"/>
      <w:suff w:val="nothing"/>
      <w:lvlText w:val="%1．"/>
      <w:lvlJc w:val="left"/>
      <w:pPr>
        <w:ind w:left="0" w:firstLine="400"/>
      </w:pPr>
      <w:rPr>
        <w:rFonts w:hint="default"/>
      </w:rPr>
    </w:lvl>
  </w:abstractNum>
  <w:abstractNum w:abstractNumId="3">
    <w:nsid w:val="C97CBBC1"/>
    <w:multiLevelType w:val="singleLevel"/>
    <w:tmpl w:val="C97CBBC1"/>
    <w:lvl w:ilvl="0" w:tentative="0">
      <w:start w:val="1"/>
      <w:numFmt w:val="decimal"/>
      <w:suff w:val="nothing"/>
      <w:lvlText w:val="%1．"/>
      <w:lvlJc w:val="left"/>
      <w:pPr>
        <w:ind w:left="0" w:firstLine="400"/>
      </w:pPr>
      <w:rPr>
        <w:rFonts w:hint="default"/>
      </w:rPr>
    </w:lvl>
  </w:abstractNum>
  <w:abstractNum w:abstractNumId="4">
    <w:nsid w:val="00000000"/>
    <w:multiLevelType w:val="singleLevel"/>
    <w:tmpl w:val="00000000"/>
    <w:lvl w:ilvl="0" w:tentative="0">
      <w:start w:val="1"/>
      <w:numFmt w:val="chineseCounting"/>
      <w:suff w:val="nothing"/>
      <w:lvlText w:val="%1、"/>
      <w:lvlJc w:val="left"/>
      <w:rPr>
        <w:rFonts w:hint="eastAsia"/>
      </w:r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7"/>
    <w:multiLevelType w:val="singleLevel"/>
    <w:tmpl w:val="00000007"/>
    <w:lvl w:ilvl="0" w:tentative="0">
      <w:start w:val="1"/>
      <w:numFmt w:val="decimal"/>
      <w:lvlText w:val="(%1)"/>
      <w:lvlJc w:val="left"/>
      <w:pPr>
        <w:ind w:left="425" w:hanging="425"/>
      </w:pPr>
      <w:rPr>
        <w:rFonts w:hint="default"/>
      </w:rPr>
    </w:lvl>
  </w:abstractNum>
  <w:abstractNum w:abstractNumId="11">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0000009"/>
    <w:multiLevelType w:val="singleLevel"/>
    <w:tmpl w:val="00000009"/>
    <w:lvl w:ilvl="0" w:tentative="0">
      <w:start w:val="1"/>
      <w:numFmt w:val="chineseCounting"/>
      <w:suff w:val="nothing"/>
      <w:lvlText w:val="%1、"/>
      <w:lvlJc w:val="left"/>
      <w:rPr>
        <w:rFonts w:hint="eastAsia"/>
      </w:rPr>
    </w:lvl>
  </w:abstractNum>
  <w:abstractNum w:abstractNumId="13">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4">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5">
    <w:nsid w:val="121E35ED"/>
    <w:multiLevelType w:val="singleLevel"/>
    <w:tmpl w:val="121E35ED"/>
    <w:lvl w:ilvl="0" w:tentative="0">
      <w:start w:val="1"/>
      <w:numFmt w:val="decimal"/>
      <w:suff w:val="nothing"/>
      <w:lvlText w:val="%1．"/>
      <w:lvlJc w:val="left"/>
      <w:pPr>
        <w:ind w:left="0" w:firstLine="400"/>
      </w:pPr>
      <w:rPr>
        <w:rFonts w:hint="default"/>
      </w:rPr>
    </w:lvl>
  </w:abstractNum>
  <w:abstractNum w:abstractNumId="16">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7">
    <w:nsid w:val="31054D38"/>
    <w:multiLevelType w:val="singleLevel"/>
    <w:tmpl w:val="31054D38"/>
    <w:lvl w:ilvl="0" w:tentative="0">
      <w:start w:val="2"/>
      <w:numFmt w:val="decimal"/>
      <w:suff w:val="nothing"/>
      <w:lvlText w:val="（%1）"/>
      <w:lvlJc w:val="left"/>
    </w:lvl>
  </w:abstractNum>
  <w:abstractNum w:abstractNumId="18">
    <w:nsid w:val="79031D5C"/>
    <w:multiLevelType w:val="singleLevel"/>
    <w:tmpl w:val="79031D5C"/>
    <w:lvl w:ilvl="0" w:tentative="0">
      <w:start w:val="1"/>
      <w:numFmt w:val="decimal"/>
      <w:suff w:val="nothing"/>
      <w:lvlText w:val="%1．"/>
      <w:lvlJc w:val="left"/>
      <w:pPr>
        <w:ind w:left="0" w:firstLine="400"/>
      </w:pPr>
      <w:rPr>
        <w:rFonts w:hint="default"/>
      </w:rPr>
    </w:lvl>
  </w:abstractNum>
  <w:num w:numId="1">
    <w:abstractNumId w:val="12"/>
  </w:num>
  <w:num w:numId="2">
    <w:abstractNumId w:val="13"/>
  </w:num>
  <w:num w:numId="3">
    <w:abstractNumId w:val="4"/>
  </w:num>
  <w:num w:numId="4">
    <w:abstractNumId w:val="2"/>
  </w:num>
  <w:num w:numId="5">
    <w:abstractNumId w:val="17"/>
  </w:num>
  <w:num w:numId="6">
    <w:abstractNumId w:val="14"/>
  </w:num>
  <w:num w:numId="7">
    <w:abstractNumId w:val="16"/>
  </w:num>
  <w:num w:numId="8">
    <w:abstractNumId w:val="5"/>
  </w:num>
  <w:num w:numId="9">
    <w:abstractNumId w:val="8"/>
  </w:num>
  <w:num w:numId="10">
    <w:abstractNumId w:val="11"/>
  </w:num>
  <w:num w:numId="11">
    <w:abstractNumId w:val="9"/>
  </w:num>
  <w:num w:numId="12">
    <w:abstractNumId w:val="1"/>
  </w:num>
  <w:num w:numId="13">
    <w:abstractNumId w:val="6"/>
  </w:num>
  <w:num w:numId="14">
    <w:abstractNumId w:val="10"/>
  </w:num>
  <w:num w:numId="15">
    <w:abstractNumId w:val="18"/>
  </w:num>
  <w:num w:numId="16">
    <w:abstractNumId w:val="0"/>
  </w:num>
  <w:num w:numId="17">
    <w:abstractNumId w:val="15"/>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3554899"/>
    <w:rsid w:val="03EA43FF"/>
    <w:rsid w:val="049A4077"/>
    <w:rsid w:val="05C15176"/>
    <w:rsid w:val="07C07152"/>
    <w:rsid w:val="09C6146A"/>
    <w:rsid w:val="0AEC01AE"/>
    <w:rsid w:val="0B444D3D"/>
    <w:rsid w:val="0CEE4F60"/>
    <w:rsid w:val="126F6B43"/>
    <w:rsid w:val="12972723"/>
    <w:rsid w:val="142462D1"/>
    <w:rsid w:val="14977C8B"/>
    <w:rsid w:val="14F72197"/>
    <w:rsid w:val="21814378"/>
    <w:rsid w:val="28497097"/>
    <w:rsid w:val="2D6C114A"/>
    <w:rsid w:val="2D806496"/>
    <w:rsid w:val="30BB4A5C"/>
    <w:rsid w:val="3150593A"/>
    <w:rsid w:val="341E6BA4"/>
    <w:rsid w:val="39750149"/>
    <w:rsid w:val="3BBB5DFA"/>
    <w:rsid w:val="3CBC1403"/>
    <w:rsid w:val="416F3BBA"/>
    <w:rsid w:val="44D04970"/>
    <w:rsid w:val="46B650D0"/>
    <w:rsid w:val="4953791E"/>
    <w:rsid w:val="4C5E4611"/>
    <w:rsid w:val="4C8107A0"/>
    <w:rsid w:val="4DAD3AA0"/>
    <w:rsid w:val="4F9754E8"/>
    <w:rsid w:val="4FC155E1"/>
    <w:rsid w:val="519F6438"/>
    <w:rsid w:val="52A95DA2"/>
    <w:rsid w:val="54063F0A"/>
    <w:rsid w:val="573E6EC5"/>
    <w:rsid w:val="58160494"/>
    <w:rsid w:val="59D72CEF"/>
    <w:rsid w:val="5A6F20DD"/>
    <w:rsid w:val="5CCB7A9F"/>
    <w:rsid w:val="5D3430F6"/>
    <w:rsid w:val="5E447075"/>
    <w:rsid w:val="5EE17A4E"/>
    <w:rsid w:val="646F1F9F"/>
    <w:rsid w:val="670047E9"/>
    <w:rsid w:val="675B7FBE"/>
    <w:rsid w:val="68E32614"/>
    <w:rsid w:val="74D06CEB"/>
    <w:rsid w:val="767F2092"/>
    <w:rsid w:val="771D33A0"/>
    <w:rsid w:val="78F817C4"/>
    <w:rsid w:val="79E72BDC"/>
    <w:rsid w:val="7A1268B5"/>
    <w:rsid w:val="7A17211E"/>
    <w:rsid w:val="7D6438CC"/>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4">
    <w:name w:val="Default Paragraph Font"/>
    <w:qFormat/>
    <w:uiPriority w:val="0"/>
  </w:style>
  <w:style w:type="table" w:default="1" w:styleId="22">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1"/>
    <w:qFormat/>
    <w:uiPriority w:val="0"/>
    <w:rPr>
      <w:sz w:val="24"/>
    </w:rPr>
  </w:style>
  <w:style w:type="paragraph" w:styleId="8">
    <w:name w:val="caption"/>
    <w:basedOn w:val="1"/>
    <w:next w:val="1"/>
    <w:qFormat/>
    <w:uiPriority w:val="99"/>
    <w:rPr>
      <w:rFonts w:ascii="Arial" w:hAnsi="Arial" w:eastAsia="黑体" w:cs="Arial"/>
      <w:sz w:val="20"/>
      <w:szCs w:val="20"/>
    </w:rPr>
  </w:style>
  <w:style w:type="paragraph" w:styleId="9">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0">
    <w:name w:val="Body Text 3"/>
    <w:basedOn w:val="1"/>
    <w:qFormat/>
    <w:uiPriority w:val="99"/>
    <w:pPr>
      <w:spacing w:after="120"/>
    </w:pPr>
    <w:rPr>
      <w:sz w:val="16"/>
      <w:szCs w:val="16"/>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Body Text 2"/>
    <w:basedOn w:val="1"/>
    <w:qFormat/>
    <w:uiPriority w:val="0"/>
    <w:pPr>
      <w:spacing w:line="360" w:lineRule="auto"/>
    </w:pPr>
    <w:rPr>
      <w:rFonts w:ascii="宋体" w:hAnsi="宋体"/>
      <w:color w:val="000000"/>
      <w:sz w:val="24"/>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w:basedOn w:val="7"/>
    <w:qFormat/>
    <w:uiPriority w:val="99"/>
    <w:pPr>
      <w:spacing w:after="120"/>
      <w:ind w:firstLine="420" w:firstLineChars="100"/>
    </w:pPr>
    <w:rPr>
      <w:sz w:val="21"/>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Hyperlink"/>
    <w:qFormat/>
    <w:uiPriority w:val="99"/>
    <w:rPr>
      <w:color w:val="0000FF"/>
      <w:u w:val="single"/>
    </w:rPr>
  </w:style>
  <w:style w:type="paragraph" w:customStyle="1" w:styleId="27">
    <w:name w:val="表格文字"/>
    <w:basedOn w:val="28"/>
    <w:qFormat/>
    <w:uiPriority w:val="0"/>
    <w:pPr>
      <w:spacing w:before="25" w:after="25"/>
      <w:jc w:val="left"/>
    </w:pPr>
    <w:rPr>
      <w:bCs/>
      <w:spacing w:val="10"/>
      <w:kern w:val="0"/>
      <w:sz w:val="24"/>
      <w:szCs w:val="20"/>
    </w:rPr>
  </w:style>
  <w:style w:type="paragraph" w:customStyle="1" w:styleId="28">
    <w:name w:val="表格文字（两侧对齐）"/>
    <w:basedOn w:val="1"/>
    <w:qFormat/>
    <w:uiPriority w:val="0"/>
    <w:pPr>
      <w:snapToGrid w:val="0"/>
    </w:pPr>
    <w:rPr>
      <w:kern w:val="0"/>
      <w:sz w:val="20"/>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4"/>
    <w:qFormat/>
    <w:uiPriority w:val="0"/>
    <w:rPr>
      <w:rFonts w:hint="eastAsia" w:ascii="宋体" w:hAnsi="宋体" w:eastAsia="宋体" w:cs="宋体"/>
      <w:color w:val="000000"/>
      <w:sz w:val="21"/>
      <w:szCs w:val="21"/>
      <w:u w:val="none"/>
    </w:rPr>
  </w:style>
  <w:style w:type="character" w:customStyle="1" w:styleId="39">
    <w:name w:val="font21"/>
    <w:basedOn w:val="24"/>
    <w:qFormat/>
    <w:uiPriority w:val="0"/>
    <w:rPr>
      <w:rFonts w:hint="eastAsia" w:ascii="宋体" w:hAnsi="宋体" w:eastAsia="宋体" w:cs="宋体"/>
      <w:b/>
      <w:bCs/>
      <w:color w:val="000000"/>
      <w:sz w:val="18"/>
      <w:szCs w:val="18"/>
      <w:u w:val="none"/>
    </w:rPr>
  </w:style>
  <w:style w:type="character" w:customStyle="1" w:styleId="40">
    <w:name w:val="font31"/>
    <w:basedOn w:val="24"/>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8"/>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131"/>
    <w:basedOn w:val="24"/>
    <w:qFormat/>
    <w:uiPriority w:val="0"/>
    <w:rPr>
      <w:rFonts w:hint="eastAsia" w:ascii="宋体" w:hAnsi="宋体" w:eastAsia="宋体" w:cs="宋体"/>
      <w:b/>
      <w:bCs/>
      <w:i/>
      <w:iCs/>
      <w:color w:val="000000"/>
      <w:sz w:val="21"/>
      <w:szCs w:val="21"/>
      <w:u w:val="none"/>
    </w:rPr>
  </w:style>
  <w:style w:type="character" w:customStyle="1" w:styleId="48">
    <w:name w:val="font101"/>
    <w:basedOn w:val="24"/>
    <w:qFormat/>
    <w:uiPriority w:val="0"/>
    <w:rPr>
      <w:rFonts w:hint="default" w:ascii="Times New Roman" w:hAnsi="Times New Roman" w:cs="Times New Roman"/>
      <w:b/>
      <w:bCs/>
      <w:i/>
      <w:iCs/>
      <w:color w:val="000000"/>
      <w:sz w:val="21"/>
      <w:szCs w:val="21"/>
      <w:u w:val="none"/>
    </w:rPr>
  </w:style>
  <w:style w:type="character" w:customStyle="1" w:styleId="49">
    <w:name w:val="font71"/>
    <w:basedOn w:val="24"/>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24746</Words>
  <Characters>25423</Characters>
  <Paragraphs>2008</Paragraphs>
  <TotalTime>2</TotalTime>
  <ScaleCrop>false</ScaleCrop>
  <LinksUpToDate>false</LinksUpToDate>
  <CharactersWithSpaces>27324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2023-09-13T00:45:04Z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