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6091"/>
      <w:bookmarkStart w:id="3" w:name="_Toc15365"/>
      <w:bookmarkStart w:id="4" w:name="_Toc15189"/>
      <w:bookmarkStart w:id="5" w:name="_Toc3493"/>
      <w:bookmarkStart w:id="6" w:name="_Toc17040"/>
      <w:bookmarkStart w:id="7" w:name="_Toc1431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教学科研综合楼办公家具采购项目</w:t>
      </w: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ZCB-2023083</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3.邮件主题：教学科研综合楼办公家具-某某公司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22</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31053"/>
      <w:bookmarkStart w:id="14" w:name="_Toc24"/>
      <w:bookmarkStart w:id="15" w:name="_Toc25869"/>
      <w:bookmarkStart w:id="16" w:name="_Toc31740"/>
      <w:bookmarkStart w:id="17" w:name="_Toc6151"/>
      <w:bookmarkStart w:id="18" w:name="_Toc28528"/>
      <w:bookmarkStart w:id="19" w:name="_Toc6408"/>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35"/>
      <w:bookmarkStart w:id="22" w:name="_Toc12520"/>
      <w:bookmarkStart w:id="23" w:name="_Toc6547"/>
      <w:bookmarkStart w:id="24" w:name="_Toc29113"/>
      <w:bookmarkStart w:id="25" w:name="_Toc11305"/>
      <w:bookmarkStart w:id="26" w:name="_Toc26267"/>
      <w:bookmarkStart w:id="27" w:name="_Toc40776111"/>
      <w:bookmarkStart w:id="28" w:name="_Toc7291"/>
      <w:bookmarkStart w:id="29" w:name="_Toc40346375"/>
      <w:bookmarkStart w:id="30" w:name="_Toc3471"/>
      <w:bookmarkStart w:id="31" w:name="_Toc8364"/>
      <w:bookmarkStart w:id="32" w:name="_Toc11075"/>
      <w:bookmarkStart w:id="33" w:name="_Toc15870"/>
      <w:bookmarkStart w:id="34" w:name="_Toc1994"/>
      <w:bookmarkStart w:id="35" w:name="_Toc28703"/>
      <w:bookmarkStart w:id="36" w:name="_Toc40346216"/>
      <w:bookmarkStart w:id="37" w:name="_Toc21249"/>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916"/>
      <w:bookmarkStart w:id="40" w:name="_Toc20884"/>
      <w:bookmarkStart w:id="41" w:name="_Toc40346376"/>
      <w:bookmarkStart w:id="42" w:name="_Toc40776112"/>
      <w:bookmarkStart w:id="43" w:name="_Toc17709"/>
      <w:bookmarkStart w:id="44" w:name="_Toc40346217"/>
      <w:bookmarkStart w:id="45" w:name="_Toc1743"/>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11485"/>
      <w:bookmarkStart w:id="48" w:name="_Toc2012"/>
      <w:bookmarkStart w:id="49" w:name="_Toc2029"/>
      <w:bookmarkStart w:id="50" w:name="_Toc23097"/>
      <w:bookmarkStart w:id="51" w:name="_Toc30979"/>
      <w:bookmarkStart w:id="52" w:name="_Toc5238"/>
      <w:bookmarkStart w:id="53" w:name="_Toc29102"/>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24763"/>
      <w:bookmarkStart w:id="57" w:name="_Toc31993"/>
      <w:bookmarkStart w:id="58" w:name="_Toc40776113"/>
      <w:bookmarkStart w:id="59" w:name="_Toc11558"/>
      <w:bookmarkStart w:id="60" w:name="_Toc40346218"/>
      <w:bookmarkStart w:id="61" w:name="_Toc27867"/>
      <w:bookmarkStart w:id="62" w:name="_Toc16794"/>
      <w:bookmarkStart w:id="63" w:name="_Toc11141"/>
      <w:bookmarkStart w:id="64" w:name="_Toc28064"/>
      <w:bookmarkStart w:id="65" w:name="_Toc14824"/>
      <w:bookmarkStart w:id="66" w:name="_Toc7052"/>
      <w:bookmarkStart w:id="67" w:name="_Toc21483"/>
      <w:bookmarkStart w:id="68" w:name="_Toc4013"/>
      <w:bookmarkStart w:id="69" w:name="_Toc40346377"/>
      <w:bookmarkStart w:id="70" w:name="_Toc17930"/>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6813"/>
      <w:bookmarkStart w:id="73" w:name="_Toc32709"/>
      <w:bookmarkStart w:id="74" w:name="_Toc27771"/>
      <w:bookmarkStart w:id="75" w:name="_Toc14287"/>
      <w:bookmarkStart w:id="76" w:name="_Toc24651"/>
      <w:bookmarkStart w:id="77" w:name="_Toc40346219"/>
      <w:bookmarkStart w:id="78" w:name="_Toc19831"/>
      <w:bookmarkStart w:id="79" w:name="_Toc17537"/>
      <w:bookmarkStart w:id="80" w:name="_Toc40776114"/>
      <w:bookmarkStart w:id="81" w:name="_Toc11334"/>
      <w:bookmarkStart w:id="82" w:name="_Toc9883"/>
      <w:bookmarkStart w:id="83" w:name="_Toc26029"/>
      <w:bookmarkStart w:id="84" w:name="_Toc6438"/>
      <w:bookmarkStart w:id="85" w:name="_Toc1324"/>
      <w:bookmarkStart w:id="86" w:name="_Toc40346378"/>
      <w:bookmarkStart w:id="87" w:name="_Toc4563"/>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21940"/>
      <w:bookmarkStart w:id="90" w:name="_Toc3895"/>
      <w:bookmarkStart w:id="91" w:name="_Toc27868"/>
      <w:bookmarkStart w:id="92" w:name="_Toc27206"/>
      <w:bookmarkStart w:id="93" w:name="_Toc40776115"/>
      <w:bookmarkStart w:id="94" w:name="_Toc13222"/>
      <w:bookmarkStart w:id="95" w:name="_Toc21686"/>
      <w:bookmarkStart w:id="96" w:name="_Toc18353"/>
      <w:bookmarkStart w:id="97" w:name="_Toc12650"/>
      <w:bookmarkStart w:id="98" w:name="_Toc5189"/>
      <w:bookmarkStart w:id="99" w:name="_Toc14586"/>
      <w:bookmarkStart w:id="100" w:name="_Toc40346220"/>
      <w:bookmarkStart w:id="101" w:name="_Toc17483"/>
      <w:bookmarkStart w:id="102" w:name="_Toc20994"/>
      <w:bookmarkStart w:id="103" w:name="_Toc5634"/>
      <w:bookmarkStart w:id="104" w:name="_Toc40346379"/>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10454"/>
      <w:bookmarkStart w:id="108" w:name="_Toc9282"/>
      <w:bookmarkStart w:id="109" w:name="_Toc40346221"/>
      <w:bookmarkStart w:id="110" w:name="_Toc30904"/>
      <w:bookmarkStart w:id="111" w:name="_Toc3498"/>
      <w:bookmarkStart w:id="112" w:name="_Toc27009"/>
      <w:bookmarkStart w:id="113" w:name="_Toc30856"/>
      <w:bookmarkStart w:id="114" w:name="_Toc11547"/>
      <w:bookmarkStart w:id="115" w:name="_Toc32371"/>
      <w:bookmarkStart w:id="116" w:name="_Toc21449"/>
      <w:bookmarkStart w:id="117" w:name="_Toc40346380"/>
      <w:bookmarkStart w:id="118" w:name="_Toc27646"/>
      <w:bookmarkStart w:id="119" w:name="_Toc14462"/>
      <w:bookmarkStart w:id="120" w:name="_Toc12127"/>
      <w:bookmarkStart w:id="121" w:name="_Toc5220"/>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16728"/>
      <w:bookmarkStart w:id="125" w:name="_Toc10399"/>
      <w:bookmarkStart w:id="126" w:name="_Toc9697"/>
      <w:bookmarkStart w:id="127" w:name="_Toc8637"/>
      <w:bookmarkStart w:id="128" w:name="_Toc28747"/>
      <w:bookmarkStart w:id="129" w:name="_Toc16608"/>
      <w:bookmarkStart w:id="130" w:name="_Toc15539"/>
      <w:bookmarkStart w:id="131" w:name="_Toc31077"/>
      <w:bookmarkStart w:id="132" w:name="_Toc6691"/>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3"/>
        <w:rPr>
          <w:rFonts w:ascii="宋体" w:hAnsi="宋体"/>
          <w:sz w:val="24"/>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三、关于样品</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b/>
          <w:bCs/>
          <w:color w:val="FF0000"/>
          <w:sz w:val="24"/>
          <w:szCs w:val="24"/>
          <w:highlight w:val="none"/>
          <w:u w:val="single"/>
          <w:lang w:val="en-US" w:eastAsia="zh-CN"/>
        </w:rPr>
      </w:pPr>
      <w:r>
        <w:rPr>
          <w:rFonts w:hint="eastAsia" w:ascii="仿宋" w:hAnsi="仿宋" w:eastAsia="仿宋" w:cs="仿宋"/>
          <w:b/>
          <w:bCs/>
          <w:color w:val="000000"/>
          <w:sz w:val="24"/>
          <w:szCs w:val="24"/>
          <w:highlight w:val="none"/>
          <w:lang w:val="en-US" w:eastAsia="zh-CN"/>
        </w:rPr>
        <w:t>（一）样品提交、安装的截止时间、地点：</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请各供应商于2023年9月27日14：30—17:30将样品送至广州市越秀区长堤大马路171号一方长堤健康产业中心（原威力斯大楼）917室，并需在2023年9月27日下午17:30前安装完毕，提前或逾期送达不予接收。因场地限制，样品送货应在送达时间之前至少30分钟致电联系人预约样品送货安装事宜。请供应商自带覆盖物，在样品提交安装完毕后，自行做好覆盖工作。</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接收样品联系人：林老师，电话：020-81338019。</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（二）</w:t>
      </w:r>
      <w:r>
        <w:rPr>
          <w:rFonts w:hint="eastAsia" w:ascii="仿宋" w:hAnsi="仿宋" w:eastAsia="仿宋" w:cs="仿宋"/>
          <w:b/>
          <w:bCs/>
          <w:color w:val="000000"/>
          <w:sz w:val="24"/>
          <w:szCs w:val="24"/>
          <w:highlight w:val="none"/>
          <w:lang w:val="en-US" w:eastAsia="zh-CN"/>
        </w:rPr>
        <w:t>样品拆装、取回的时间、地点：</w:t>
      </w:r>
    </w:p>
    <w:p>
      <w:pPr>
        <w:pStyle w:val="3"/>
        <w:spacing w:line="360" w:lineRule="auto"/>
        <w:ind w:firstLine="480" w:firstLineChars="200"/>
        <w:rPr>
          <w:rFonts w:ascii="宋体" w:hAnsi="宋体"/>
          <w:b/>
          <w:bCs w:val="0"/>
          <w:color w:val="FF0000"/>
          <w:sz w:val="24"/>
        </w:rPr>
      </w:pPr>
      <w:r>
        <w:rPr>
          <w:rFonts w:hint="eastAsia" w:ascii="仿宋" w:hAnsi="仿宋" w:eastAsia="仿宋" w:cs="仿宋"/>
          <w:b/>
          <w:bCs w:val="0"/>
          <w:color w:val="FF0000"/>
          <w:sz w:val="24"/>
          <w:szCs w:val="24"/>
          <w:lang w:val="en-US" w:eastAsia="zh-CN"/>
        </w:rPr>
        <w:t>由于我院存放样品的空间有限，请各供应商于2023年9月28日14：30—17:30自行取回样品，逾期不取的视同供应商不再认领，由采购人自行处理，并且供应商对此处理行为无异议。</w:t>
      </w:r>
    </w:p>
    <w:p>
      <w:pPr>
        <w:pStyle w:val="3"/>
        <w:rPr>
          <w:rFonts w:ascii="宋体" w:hAnsi="宋体"/>
          <w:sz w:val="24"/>
        </w:rPr>
      </w:pP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中山大学孙逸仙纪念医院：</w:t>
      </w:r>
    </w:p>
    <w:p>
      <w:pPr>
        <w:pStyle w:val="3"/>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我司对以上关于中山大学孙逸仙纪念医院教学科研综合楼办公家具采购项目样品的提交及取回相关事宜已知悉，同意且无异议。</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default" w:ascii="仿宋" w:hAnsi="仿宋" w:eastAsia="仿宋" w:cs="仿宋"/>
          <w:color w:val="0070C0"/>
          <w:sz w:val="24"/>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AC2"/>
    <w:rsid w:val="03A441BF"/>
    <w:rsid w:val="0BF238BE"/>
    <w:rsid w:val="0FB24AB4"/>
    <w:rsid w:val="1E865036"/>
    <w:rsid w:val="20573B57"/>
    <w:rsid w:val="21CE453C"/>
    <w:rsid w:val="231E5CE9"/>
    <w:rsid w:val="2587134A"/>
    <w:rsid w:val="27CC1EEA"/>
    <w:rsid w:val="2DFD0CB5"/>
    <w:rsid w:val="333756F5"/>
    <w:rsid w:val="36BE775A"/>
    <w:rsid w:val="36C51B37"/>
    <w:rsid w:val="37324EBF"/>
    <w:rsid w:val="3BD10967"/>
    <w:rsid w:val="3C883582"/>
    <w:rsid w:val="3EA6712C"/>
    <w:rsid w:val="45B5724A"/>
    <w:rsid w:val="4A467007"/>
    <w:rsid w:val="50946DB0"/>
    <w:rsid w:val="5411136C"/>
    <w:rsid w:val="55F05C4E"/>
    <w:rsid w:val="68844983"/>
    <w:rsid w:val="6D7C011D"/>
    <w:rsid w:val="78A5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2406</Words>
  <Characters>2532</Characters>
  <Paragraphs>196</Paragraphs>
  <TotalTime>2</TotalTime>
  <ScaleCrop>false</ScaleCrop>
  <LinksUpToDate>false</LinksUpToDate>
  <CharactersWithSpaces>2656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2023-09-18T00:31:01Z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166C090F5F594C7E87577E737B94B29F</vt:lpwstr>
  </property>
</Properties>
</file>