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6091"/>
      <w:bookmarkStart w:id="2" w:name="_Toc15189"/>
      <w:bookmarkStart w:id="3" w:name="_Toc15553"/>
      <w:bookmarkStart w:id="4" w:name="_Toc3493"/>
      <w:bookmarkStart w:id="5" w:name="_Toc17040"/>
      <w:bookmarkStart w:id="6" w:name="_Toc15365"/>
      <w:bookmarkStart w:id="7" w:name="_Toc14315"/>
      <w:r>
        <w:rPr>
          <w:rFonts w:hint="eastAsia"/>
          <w:sz w:val="24"/>
        </w:rPr>
        <w:t xml:space="preserve"> </w:t>
      </w:r>
    </w:p>
    <w:p>
      <w:pPr>
        <w:jc w:val="center"/>
        <w:rPr>
          <w:sz w:val="24"/>
        </w:rPr>
      </w:pPr>
    </w:p>
    <w:p>
      <w:pPr>
        <w:jc w:val="center"/>
        <w:rPr>
          <w:sz w:val="24"/>
        </w:rPr>
      </w:pPr>
    </w:p>
    <w:p>
      <w:pPr>
        <w:jc w:val="center"/>
        <w:rPr>
          <w:sz w:val="24"/>
        </w:rPr>
      </w:pPr>
    </w:p>
    <w:p>
      <w:pPr>
        <w:keepNext w:val="0"/>
        <w:keepLines w:val="0"/>
        <w:pageBreakBefore w:val="0"/>
        <w:widowControl w:val="0"/>
        <w:kinsoku/>
        <w:wordWrap/>
        <w:overflowPunct/>
        <w:topLinePunct w:val="0"/>
        <w:autoSpaceDE/>
        <w:autoSpaceDN/>
        <w:bidi w:val="0"/>
        <w:adjustRightInd w:val="0"/>
        <w:snapToGrid/>
        <w:spacing w:line="288" w:lineRule="auto"/>
        <w:jc w:val="center"/>
        <w:textAlignment w:val="auto"/>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pPr>
        <w:pStyle w:val="3"/>
        <w:keepNext w:val="0"/>
        <w:keepLines w:val="0"/>
        <w:pageBreakBefore w:val="0"/>
        <w:widowControl w:val="0"/>
        <w:kinsoku/>
        <w:wordWrap/>
        <w:overflowPunct/>
        <w:topLinePunct w:val="0"/>
        <w:bidi w:val="0"/>
        <w:adjustRightInd w:val="0"/>
        <w:snapToGrid/>
        <w:jc w:val="center"/>
        <w:textAlignment w:val="auto"/>
        <w:rPr>
          <w:rFonts w:hint="eastAsia" w:ascii="黑体" w:hAnsi="黑体" w:eastAsia="黑体" w:cs="黑体"/>
          <w:b/>
          <w:bCs w:val="0"/>
          <w:color w:val="auto"/>
          <w:kern w:val="0"/>
          <w:sz w:val="44"/>
          <w:szCs w:val="44"/>
          <w:lang w:val="en-US" w:eastAsia="zh-CN"/>
        </w:rPr>
      </w:pPr>
      <w:r>
        <w:rPr>
          <w:rFonts w:hint="eastAsia" w:ascii="黑体" w:hAnsi="黑体" w:eastAsia="黑体" w:cs="黑体"/>
          <w:b/>
          <w:bCs w:val="0"/>
          <w:color w:val="auto"/>
          <w:kern w:val="0"/>
          <w:sz w:val="44"/>
          <w:szCs w:val="44"/>
          <w:lang w:val="en-US" w:eastAsia="zh-CN"/>
        </w:rPr>
        <w:t>北院区生活垃圾（含厨余垃圾）</w:t>
      </w:r>
    </w:p>
    <w:p>
      <w:pPr>
        <w:pStyle w:val="3"/>
        <w:keepNext w:val="0"/>
        <w:keepLines w:val="0"/>
        <w:pageBreakBefore w:val="0"/>
        <w:widowControl w:val="0"/>
        <w:kinsoku/>
        <w:wordWrap/>
        <w:overflowPunct/>
        <w:topLinePunct w:val="0"/>
        <w:bidi w:val="0"/>
        <w:adjustRightInd w:val="0"/>
        <w:snapToGrid/>
        <w:jc w:val="center"/>
        <w:textAlignment w:val="auto"/>
        <w:rPr>
          <w:rFonts w:hint="eastAsia" w:ascii="黑体" w:hAnsi="黑体" w:eastAsia="黑体" w:cs="黑体"/>
          <w:b/>
          <w:bCs w:val="0"/>
          <w:color w:val="auto"/>
          <w:kern w:val="0"/>
          <w:sz w:val="44"/>
          <w:szCs w:val="44"/>
          <w:lang w:val="en-US" w:eastAsia="zh-CN"/>
        </w:rPr>
      </w:pPr>
      <w:r>
        <w:rPr>
          <w:rFonts w:hint="eastAsia" w:ascii="黑体" w:hAnsi="黑体" w:eastAsia="黑体" w:cs="黑体"/>
          <w:b/>
          <w:bCs w:val="0"/>
          <w:color w:val="auto"/>
          <w:kern w:val="0"/>
          <w:sz w:val="44"/>
          <w:szCs w:val="44"/>
          <w:lang w:val="en-US" w:eastAsia="zh-CN"/>
        </w:rPr>
        <w:t>收运处置服务项目（第二次）</w:t>
      </w:r>
    </w:p>
    <w:p>
      <w:pPr>
        <w:pStyle w:val="3"/>
        <w:rPr>
          <w:rFonts w:hint="eastAsia" w:ascii="黑体" w:hAnsi="黑体" w:eastAsia="黑体" w:cs="黑体"/>
          <w:b/>
          <w:bCs w:val="0"/>
          <w:color w:val="auto"/>
          <w:kern w:val="0"/>
          <w:sz w:val="44"/>
          <w:szCs w:val="44"/>
          <w:lang w:val="en-US" w:eastAsia="zh-CN"/>
        </w:rPr>
      </w:pPr>
    </w:p>
    <w:p>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ZCB-2023104</w:t>
      </w:r>
    </w:p>
    <w:p>
      <w:pPr>
        <w:adjustRightInd w:val="0"/>
        <w:snapToGrid w:val="0"/>
        <w:spacing w:line="360" w:lineRule="auto"/>
        <w:jc w:val="center"/>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10</w:t>
      </w:r>
      <w:r>
        <w:rPr>
          <w:rFonts w:hint="eastAsia" w:ascii="仿宋" w:hAnsi="仿宋" w:eastAsia="仿宋" w:cs="仿宋"/>
          <w:b/>
          <w:bCs/>
          <w:sz w:val="32"/>
          <w:szCs w:val="32"/>
        </w:rPr>
        <w:t>月</w:t>
      </w:r>
    </w:p>
    <w:p>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p>
    <w:p>
      <w:pPr>
        <w:pStyle w:val="18"/>
        <w:rPr>
          <w:rFonts w:ascii="宋体" w:hAnsi="宋体"/>
          <w:bCs/>
          <w:szCs w:val="28"/>
        </w:rPr>
      </w:pPr>
      <w:r>
        <w:rPr>
          <w:rFonts w:hint="eastAsia" w:ascii="仿宋" w:hAnsi="仿宋" w:eastAsia="仿宋" w:cs="仿宋"/>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3.邮件主题：北院区生活垃圾收运处置（第二次）-某某公司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2023年</w:t>
      </w:r>
      <w:r>
        <w:rPr>
          <w:rFonts w:hint="eastAsia" w:ascii="仿宋" w:hAnsi="仿宋" w:eastAsia="仿宋" w:cs="仿宋"/>
          <w:i w:val="0"/>
          <w:iCs w:val="0"/>
          <w:caps w:val="0"/>
          <w:color w:val="000000"/>
          <w:spacing w:val="0"/>
          <w:sz w:val="24"/>
          <w:szCs w:val="24"/>
          <w:highlight w:val="none"/>
          <w:u w:val="none"/>
          <w:vertAlign w:val="baseline"/>
          <w:lang w:val="en-US" w:eastAsia="zh-CN"/>
        </w:rPr>
        <w:t>10</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31</w:t>
      </w:r>
      <w:r>
        <w:rPr>
          <w:rFonts w:hint="eastAsia" w:ascii="仿宋" w:hAnsi="仿宋" w:eastAsia="仿宋" w:cs="仿宋"/>
          <w:i w:val="0"/>
          <w:iCs w:val="0"/>
          <w:caps w:val="0"/>
          <w:color w:val="000000"/>
          <w:spacing w:val="0"/>
          <w:sz w:val="24"/>
          <w:szCs w:val="24"/>
          <w:highlight w:val="none"/>
          <w:u w:val="none"/>
          <w:vertAlign w:val="baseline"/>
        </w:rPr>
        <w:t>日</w:t>
      </w:r>
      <w:r>
        <w:rPr>
          <w:rFonts w:hint="eastAsia" w:ascii="仿宋" w:hAnsi="仿宋" w:eastAsia="仿宋" w:cs="仿宋"/>
          <w:kern w:val="0"/>
          <w:sz w:val="24"/>
          <w:lang w:val="en-US" w:eastAsia="zh-CN"/>
        </w:rPr>
        <w:t>下午17:00，以邮件接收时间为准，超时视为无效报名。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bookmarkStart w:id="134" w:name="_GoBack"/>
      <w:bookmarkEnd w:id="134"/>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（7）供应商具备《城市生活垃圾经营性清扫、收集、运输服务许可证》（街道办事处组织除外）。（提供有效期内的证明资料，加盖公章）</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rPr>
          <w:rFonts w:hint="eastAsia"/>
        </w:rPr>
      </w:pPr>
    </w:p>
    <w:p>
      <w:pPr>
        <w:pStyle w:val="2"/>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6151"/>
      <w:bookmarkStart w:id="13" w:name="_Toc25869"/>
      <w:bookmarkStart w:id="14" w:name="_Toc6408"/>
      <w:bookmarkStart w:id="15" w:name="_Toc24"/>
      <w:bookmarkStart w:id="16" w:name="_Toc28528"/>
      <w:bookmarkStart w:id="17" w:name="_Toc17375"/>
      <w:bookmarkStart w:id="18" w:name="_Toc31740"/>
      <w:bookmarkStart w:id="19" w:name="_Toc14488"/>
      <w:bookmarkStart w:id="20" w:name="_Toc31053"/>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仿宋" w:hAnsi="仿宋" w:eastAsia="仿宋" w:cs="仿宋"/>
          <w:b/>
          <w:kern w:val="0"/>
          <w:sz w:val="52"/>
          <w:szCs w:val="52"/>
          <w:lang w:val="en-US" w:eastAsia="zh-CN"/>
        </w:rPr>
      </w:pPr>
    </w:p>
    <w:p>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pPr>
        <w:pStyle w:val="4"/>
      </w:pPr>
    </w:p>
    <w:p>
      <w:pPr>
        <w:spacing w:line="480" w:lineRule="auto"/>
        <w:jc w:val="center"/>
        <w:rPr>
          <w:rFonts w:ascii="宋体" w:hAnsi="宋体"/>
          <w:b/>
          <w:bCs/>
          <w:sz w:val="72"/>
          <w:szCs w:val="72"/>
        </w:rPr>
      </w:pPr>
    </w:p>
    <w:p>
      <w:pPr>
        <w:widowControl/>
        <w:spacing w:line="360" w:lineRule="auto"/>
        <w:jc w:val="center"/>
        <w:outlineLvl w:val="0"/>
        <w:rPr>
          <w:rFonts w:hint="eastAsia" w:ascii="仿宋" w:hAnsi="仿宋" w:eastAsia="仿宋" w:cs="仿宋"/>
          <w:kern w:val="0"/>
          <w:sz w:val="72"/>
          <w:szCs w:val="72"/>
        </w:rPr>
      </w:pPr>
      <w:bookmarkStart w:id="21" w:name="_Toc8364"/>
      <w:bookmarkStart w:id="22" w:name="_Toc26267"/>
      <w:bookmarkStart w:id="23" w:name="_Toc7291"/>
      <w:bookmarkStart w:id="24" w:name="_Toc15870"/>
      <w:bookmarkStart w:id="25" w:name="_Toc435"/>
      <w:bookmarkStart w:id="26" w:name="_Toc40346375"/>
      <w:bookmarkStart w:id="27" w:name="_Toc40346216"/>
      <w:bookmarkStart w:id="28" w:name="_Toc12520"/>
      <w:bookmarkStart w:id="29" w:name="_Toc40776111"/>
      <w:bookmarkStart w:id="30" w:name="_Toc1994"/>
      <w:bookmarkStart w:id="31" w:name="_Toc21249"/>
      <w:bookmarkStart w:id="32" w:name="_Toc3471"/>
      <w:bookmarkStart w:id="33" w:name="_Toc6547"/>
      <w:bookmarkStart w:id="34" w:name="_Toc11305"/>
      <w:bookmarkStart w:id="35" w:name="_Toc29113"/>
      <w:bookmarkStart w:id="36" w:name="_Toc28703"/>
      <w:bookmarkStart w:id="37" w:name="_Toc11075"/>
      <w:r>
        <w:rPr>
          <w:rFonts w:hint="eastAsia" w:ascii="仿宋" w:hAnsi="仿宋" w:eastAsia="仿宋" w:cs="仿宋"/>
          <w:b/>
          <w:bCs/>
          <w:sz w:val="72"/>
          <w:szCs w:val="72"/>
        </w:rPr>
        <w:t>报名资料</w:t>
      </w: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0884"/>
      <w:bookmarkStart w:id="39" w:name="_Toc2916"/>
      <w:bookmarkStart w:id="40" w:name="_Toc1743"/>
      <w:bookmarkStart w:id="41" w:name="_Toc40776112"/>
      <w:bookmarkStart w:id="42" w:name="_Toc27997"/>
      <w:bookmarkStart w:id="43" w:name="_Toc17709"/>
      <w:bookmarkStart w:id="44" w:name="_Toc40346376"/>
      <w:bookmarkStart w:id="45" w:name="_Toc40346217"/>
    </w:p>
    <w:p>
      <w:pPr>
        <w:widowControl/>
        <w:spacing w:line="360" w:lineRule="auto"/>
        <w:ind w:firstLine="600"/>
        <w:outlineLvl w:val="0"/>
        <w:rPr>
          <w:rFonts w:hint="eastAsia" w:ascii="仿宋" w:hAnsi="仿宋" w:eastAsia="仿宋" w:cs="仿宋"/>
          <w:kern w:val="0"/>
          <w:sz w:val="30"/>
          <w:szCs w:val="30"/>
        </w:rPr>
      </w:pPr>
      <w:bookmarkStart w:id="46" w:name="_Toc31538"/>
      <w:bookmarkStart w:id="47" w:name="_Toc2012"/>
      <w:bookmarkStart w:id="48" w:name="_Toc2029"/>
      <w:bookmarkStart w:id="49" w:name="_Toc19699"/>
      <w:bookmarkStart w:id="50" w:name="_Toc23097"/>
      <w:bookmarkStart w:id="51" w:name="_Toc11485"/>
      <w:bookmarkStart w:id="52" w:name="_Toc29102"/>
      <w:bookmarkStart w:id="53" w:name="_Toc5238"/>
      <w:bookmarkStart w:id="54" w:name="_Toc3097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hint="eastAsia" w:ascii="仿宋" w:hAnsi="仿宋" w:eastAsia="仿宋" w:cs="仿宋"/>
          <w:kern w:val="0"/>
          <w:sz w:val="30"/>
          <w:szCs w:val="30"/>
        </w:rPr>
      </w:pPr>
      <w:bookmarkStart w:id="55" w:name="_Toc28064"/>
      <w:bookmarkStart w:id="56" w:name="_Toc16794"/>
      <w:bookmarkStart w:id="57" w:name="_Toc40346377"/>
      <w:bookmarkStart w:id="58" w:name="_Toc40346218"/>
      <w:bookmarkStart w:id="59" w:name="_Toc17930"/>
      <w:bookmarkStart w:id="60" w:name="_Toc29767"/>
      <w:bookmarkStart w:id="61" w:name="_Toc12645"/>
      <w:bookmarkStart w:id="62" w:name="_Toc11141"/>
      <w:bookmarkStart w:id="63" w:name="_Toc21483"/>
      <w:bookmarkStart w:id="64" w:name="_Toc27867"/>
      <w:bookmarkStart w:id="65" w:name="_Toc40776113"/>
      <w:bookmarkStart w:id="66" w:name="_Toc14824"/>
      <w:bookmarkStart w:id="67" w:name="_Toc7052"/>
      <w:bookmarkStart w:id="68" w:name="_Toc11558"/>
      <w:bookmarkStart w:id="69" w:name="_Toc4013"/>
      <w:bookmarkStart w:id="70" w:name="_Toc24763"/>
      <w:bookmarkStart w:id="71" w:name="_Toc3199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hint="eastAsia" w:ascii="仿宋" w:hAnsi="仿宋" w:eastAsia="仿宋" w:cs="仿宋"/>
          <w:kern w:val="0"/>
          <w:sz w:val="30"/>
          <w:szCs w:val="30"/>
        </w:rPr>
      </w:pPr>
      <w:bookmarkStart w:id="72" w:name="_Toc26029"/>
      <w:bookmarkStart w:id="73" w:name="_Toc32709"/>
      <w:bookmarkStart w:id="74" w:name="_Toc4563"/>
      <w:bookmarkStart w:id="75" w:name="_Toc24651"/>
      <w:bookmarkStart w:id="76" w:name="_Toc11334"/>
      <w:bookmarkStart w:id="77" w:name="_Toc16813"/>
      <w:bookmarkStart w:id="78" w:name="_Toc1324"/>
      <w:bookmarkStart w:id="79" w:name="_Toc19831"/>
      <w:bookmarkStart w:id="80" w:name="_Toc17537"/>
      <w:bookmarkStart w:id="81" w:name="_Toc40346378"/>
      <w:bookmarkStart w:id="82" w:name="_Toc9883"/>
      <w:bookmarkStart w:id="83" w:name="_Toc14287"/>
      <w:bookmarkStart w:id="84" w:name="_Toc6438"/>
      <w:bookmarkStart w:id="85" w:name="_Toc40776114"/>
      <w:bookmarkStart w:id="86" w:name="_Toc27771"/>
      <w:bookmarkStart w:id="87" w:name="_Toc40346219"/>
      <w:bookmarkStart w:id="88" w:name="_Toc31197"/>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hint="eastAsia" w:ascii="仿宋" w:hAnsi="仿宋" w:eastAsia="仿宋" w:cs="仿宋"/>
          <w:kern w:val="0"/>
          <w:sz w:val="30"/>
          <w:szCs w:val="30"/>
        </w:rPr>
      </w:pPr>
      <w:bookmarkStart w:id="89" w:name="_Toc30336"/>
      <w:bookmarkStart w:id="90" w:name="_Toc18353"/>
      <w:bookmarkStart w:id="91" w:name="_Toc20994"/>
      <w:bookmarkStart w:id="92" w:name="_Toc12650"/>
      <w:bookmarkStart w:id="93" w:name="_Toc27206"/>
      <w:bookmarkStart w:id="94" w:name="_Toc21940"/>
      <w:bookmarkStart w:id="95" w:name="_Toc5634"/>
      <w:bookmarkStart w:id="96" w:name="_Toc3895"/>
      <w:bookmarkStart w:id="97" w:name="_Toc21686"/>
      <w:bookmarkStart w:id="98" w:name="_Toc40346379"/>
      <w:bookmarkStart w:id="99" w:name="_Toc27868"/>
      <w:bookmarkStart w:id="100" w:name="_Toc13222"/>
      <w:bookmarkStart w:id="101" w:name="_Toc40346220"/>
      <w:bookmarkStart w:id="102" w:name="_Toc5189"/>
      <w:bookmarkStart w:id="103" w:name="_Toc40776115"/>
      <w:bookmarkStart w:id="104" w:name="_Toc17483"/>
      <w:bookmarkStart w:id="105" w:name="_Toc14586"/>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hint="eastAsia" w:ascii="仿宋" w:hAnsi="仿宋" w:eastAsia="仿宋" w:cs="仿宋"/>
          <w:kern w:val="0"/>
          <w:sz w:val="30"/>
          <w:szCs w:val="30"/>
        </w:rPr>
      </w:pPr>
      <w:bookmarkStart w:id="106" w:name="_Toc40346221"/>
      <w:bookmarkStart w:id="107" w:name="_Toc12127"/>
      <w:bookmarkStart w:id="108" w:name="_Toc8526"/>
      <w:bookmarkStart w:id="109" w:name="_Toc3498"/>
      <w:bookmarkStart w:id="110" w:name="_Toc10454"/>
      <w:bookmarkStart w:id="111" w:name="_Toc27646"/>
      <w:bookmarkStart w:id="112" w:name="_Toc40346380"/>
      <w:bookmarkStart w:id="113" w:name="_Toc11547"/>
      <w:bookmarkStart w:id="114" w:name="_Toc40776116"/>
      <w:bookmarkStart w:id="115" w:name="_Toc32371"/>
      <w:bookmarkStart w:id="116" w:name="_Toc5220"/>
      <w:bookmarkStart w:id="117" w:name="_Toc27009"/>
      <w:bookmarkStart w:id="118" w:name="_Toc30904"/>
      <w:bookmarkStart w:id="119" w:name="_Toc21449"/>
      <w:bookmarkStart w:id="120" w:name="_Toc9282"/>
      <w:bookmarkStart w:id="121" w:name="_Toc14462"/>
      <w:bookmarkStart w:id="122" w:name="_Toc3085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21213"/>
      <w:bookmarkStart w:id="124" w:name="_Toc13184"/>
      <w:bookmarkStart w:id="125" w:name="_Toc16608"/>
      <w:bookmarkStart w:id="126" w:name="_Toc8637"/>
      <w:bookmarkStart w:id="127" w:name="_Toc28747"/>
      <w:bookmarkStart w:id="128" w:name="_Toc15539"/>
      <w:bookmarkStart w:id="129" w:name="_Toc31077"/>
      <w:bookmarkStart w:id="130" w:name="_Toc10399"/>
      <w:bookmarkStart w:id="131" w:name="_Toc6691"/>
      <w:bookmarkStart w:id="132" w:name="_Toc16728"/>
      <w:bookmarkStart w:id="133" w:name="_Toc9697"/>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Style w:val="29"/>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p>
      <w:pPr>
        <w:pStyle w:val="3"/>
        <w:rPr>
          <w:rFonts w:ascii="宋体" w:hAnsi="宋体"/>
          <w:sz w:val="24"/>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25"/>
        <w:keepNext w:val="0"/>
        <w:keepLines w:val="0"/>
        <w:pageBreakBefore w:val="0"/>
        <w:widowControl/>
        <w:numPr>
          <w:ilvl w:val="0"/>
          <w:numId w:val="3"/>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《城市生活垃圾经营性清扫、收集、运输服务许可证》</w:t>
      </w:r>
    </w:p>
    <w:p>
      <w:pPr>
        <w:pStyle w:val="25"/>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（街道办事处组织除外）</w:t>
      </w:r>
    </w:p>
    <w:p>
      <w:pPr>
        <w:pStyle w:val="25"/>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（提供有效期内的证明资料，加盖公章</w:t>
      </w:r>
      <w:r>
        <w:rPr>
          <w:rFonts w:hint="eastAsia" w:ascii="仿宋" w:hAnsi="仿宋" w:eastAsia="仿宋" w:cs="仿宋"/>
          <w:bCs/>
          <w:color w:val="0070C0"/>
          <w:sz w:val="24"/>
          <w:szCs w:val="24"/>
          <w:lang w:eastAsia="zh-CN"/>
        </w:rPr>
        <w:t>。</w:t>
      </w:r>
      <w:r>
        <w:rPr>
          <w:rFonts w:hint="eastAsia" w:ascii="仿宋" w:hAnsi="仿宋" w:eastAsia="仿宋" w:cs="仿宋"/>
          <w:bCs/>
          <w:color w:val="0070C0"/>
          <w:sz w:val="24"/>
          <w:szCs w:val="24"/>
        </w:rPr>
        <w:t>）</w:t>
      </w: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spacing w:line="360" w:lineRule="auto"/>
        <w:rPr>
          <w:rFonts w:hint="eastAsia" w:ascii="仿宋" w:hAnsi="仿宋" w:eastAsia="仿宋" w:cs="仿宋"/>
          <w:sz w:val="24"/>
          <w:lang w:val="en-US" w:eastAsia="zh-CN"/>
        </w:rPr>
      </w:pPr>
    </w:p>
    <w:p>
      <w:pPr>
        <w:pStyle w:val="3"/>
        <w:spacing w:line="360" w:lineRule="auto"/>
        <w:rPr>
          <w:rFonts w:hint="eastAsia" w:ascii="仿宋" w:hAnsi="仿宋" w:eastAsia="仿宋" w:cs="仿宋"/>
          <w:sz w:val="24"/>
          <w:lang w:val="en-US" w:eastAsia="zh-CN"/>
        </w:rPr>
      </w:pPr>
    </w:p>
    <w:p>
      <w:pPr>
        <w:pStyle w:val="3"/>
        <w:spacing w:line="360" w:lineRule="auto"/>
        <w:rPr>
          <w:rFonts w:hint="eastAsia" w:ascii="仿宋" w:hAnsi="仿宋" w:eastAsia="仿宋" w:cs="仿宋"/>
          <w:sz w:val="24"/>
          <w:lang w:val="en-US" w:eastAsia="zh-CN"/>
        </w:rPr>
      </w:pPr>
    </w:p>
    <w:p>
      <w:pPr>
        <w:pStyle w:val="3"/>
        <w:spacing w:line="360" w:lineRule="auto"/>
        <w:rPr>
          <w:rFonts w:hint="default" w:ascii="仿宋" w:hAnsi="仿宋" w:eastAsia="仿宋" w:cs="仿宋"/>
          <w:color w:val="0070C0"/>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CA2119"/>
    <w:multiLevelType w:val="singleLevel"/>
    <w:tmpl w:val="B0CA2119"/>
    <w:lvl w:ilvl="0" w:tentative="0">
      <w:start w:val="3"/>
      <w:numFmt w:val="chineseCounting"/>
      <w:suff w:val="nothing"/>
      <w:lvlText w:val="%1、"/>
      <w:lvlJc w:val="left"/>
      <w:rPr>
        <w:rFonts w:hint="eastAsia"/>
      </w:rPr>
    </w:lvl>
  </w:abstractNum>
  <w:abstractNum w:abstractNumId="1">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2">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MTk2NTVlOTljOTcwYjRjZjVlM2FmYWVhMTExMzkifQ=="/>
  </w:docVars>
  <w:rsids>
    <w:rsidRoot w:val="00000000"/>
    <w:rsid w:val="00F208D0"/>
    <w:rsid w:val="03A441BF"/>
    <w:rsid w:val="04A7319E"/>
    <w:rsid w:val="0BF238BE"/>
    <w:rsid w:val="0FB24AB4"/>
    <w:rsid w:val="17263B81"/>
    <w:rsid w:val="1E865036"/>
    <w:rsid w:val="1F9D0438"/>
    <w:rsid w:val="20573B57"/>
    <w:rsid w:val="231E5CE9"/>
    <w:rsid w:val="2587134A"/>
    <w:rsid w:val="27CC1EEA"/>
    <w:rsid w:val="2A5016CC"/>
    <w:rsid w:val="2AB61128"/>
    <w:rsid w:val="2DFD0CB5"/>
    <w:rsid w:val="333756F5"/>
    <w:rsid w:val="3543527A"/>
    <w:rsid w:val="36BE775A"/>
    <w:rsid w:val="36C51B37"/>
    <w:rsid w:val="37324EBF"/>
    <w:rsid w:val="3BD10967"/>
    <w:rsid w:val="3C883582"/>
    <w:rsid w:val="3EA6712C"/>
    <w:rsid w:val="45B5724A"/>
    <w:rsid w:val="486A3C02"/>
    <w:rsid w:val="4A467007"/>
    <w:rsid w:val="50946DB0"/>
    <w:rsid w:val="5411136C"/>
    <w:rsid w:val="676B5FBF"/>
    <w:rsid w:val="68844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2347</Words>
  <Characters>2486</Characters>
  <Paragraphs>196</Paragraphs>
  <TotalTime>17</TotalTime>
  <ScaleCrop>false</ScaleCrop>
  <LinksUpToDate>false</LinksUpToDate>
  <CharactersWithSpaces>2610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2023-10-25T06:40:28Z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166C090F5F594C7E87577E737B94B29F</vt:lpwstr>
  </property>
</Properties>
</file>