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院内竞争性磋商</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yellow"/>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2024016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default" w:ascii="宋体" w:hAnsi="宋体" w:cs="宋体"/>
          <w:b/>
          <w:bCs/>
          <w:color w:val="000000"/>
          <w:highlight w:val="none"/>
          <w:lang w:val="en-US"/>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工会委员会2024年电影券采购项目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3"/>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6日</w:t>
      </w: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第一章  </w:t>
      </w:r>
      <w:r>
        <w:rPr>
          <w:rStyle w:val="26"/>
          <w:rFonts w:hint="eastAsia" w:ascii="仿宋" w:hAnsi="仿宋" w:eastAsia="仿宋" w:cs="仿宋"/>
          <w:b/>
          <w:color w:val="000000"/>
          <w:sz w:val="32"/>
          <w:szCs w:val="32"/>
          <w:highlight w:val="none"/>
          <w:lang w:val="en-US" w:eastAsia="zh-CN"/>
        </w:rPr>
        <w:t>磋商</w:t>
      </w:r>
      <w:r>
        <w:rPr>
          <w:rStyle w:val="26"/>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第二章  </w:t>
      </w:r>
      <w:r>
        <w:rPr>
          <w:rStyle w:val="26"/>
          <w:rFonts w:hint="eastAsia" w:ascii="华文仿宋" w:hAnsi="华文仿宋" w:eastAsia="华文仿宋" w:cs="华文仿宋"/>
          <w:b/>
          <w:color w:val="000000"/>
          <w:sz w:val="32"/>
          <w:szCs w:val="32"/>
          <w:highlight w:val="none"/>
          <w:lang w:eastAsia="zh-CN"/>
        </w:rPr>
        <w:t>用户</w:t>
      </w:r>
      <w:r>
        <w:rPr>
          <w:rStyle w:val="26"/>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第三章  </w:t>
      </w:r>
      <w:r>
        <w:rPr>
          <w:rStyle w:val="26"/>
          <w:rFonts w:hint="eastAsia" w:ascii="华文仿宋" w:hAnsi="华文仿宋" w:eastAsia="华文仿宋" w:cs="华文仿宋"/>
          <w:b/>
          <w:color w:val="000000"/>
          <w:sz w:val="32"/>
          <w:szCs w:val="32"/>
          <w:highlight w:val="none"/>
          <w:lang w:val="en-US" w:eastAsia="zh-CN"/>
        </w:rPr>
        <w:t>响应</w:t>
      </w:r>
      <w:r>
        <w:rPr>
          <w:rStyle w:val="26"/>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737317"/>
      <w:bookmarkStart w:id="2" w:name="_Toc50736465"/>
      <w:bookmarkStart w:id="3" w:name="_Toc50691018"/>
      <w:bookmarkStart w:id="4" w:name="_Toc385940868"/>
      <w:bookmarkStart w:id="5" w:name="_Toc385939527"/>
      <w:bookmarkStart w:id="6" w:name="_Toc76354913"/>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磋商</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磋商邀请函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我院工会会员电影券采购项目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ZCB-2024016</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工会委员会2024年电影券采购项目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pPr w:leftFromText="180" w:rightFromText="180" w:vertAnchor="text" w:horzAnchor="page" w:tblpXSpec="center" w:tblpY="295"/>
        <w:tblOverlap w:val="neve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3041"/>
        <w:gridCol w:w="211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8"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30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11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单价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（最高限价）</w:t>
            </w:r>
          </w:p>
        </w:tc>
        <w:tc>
          <w:tcPr>
            <w:tcW w:w="261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9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（电影通兑券）</w:t>
            </w:r>
          </w:p>
        </w:tc>
        <w:tc>
          <w:tcPr>
            <w:tcW w:w="30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26700张电影券，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即6675人份（4张/人份）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11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50元/张</w:t>
            </w:r>
          </w:p>
        </w:tc>
        <w:tc>
          <w:tcPr>
            <w:tcW w:w="26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1335000</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磋商</w:t>
      </w:r>
      <w:r>
        <w:rPr>
          <w:rFonts w:hint="eastAsia" w:ascii="仿宋" w:hAnsi="仿宋" w:eastAsia="仿宋" w:cs="仿宋"/>
          <w:bCs/>
          <w:color w:val="000000"/>
          <w:sz w:val="24"/>
          <w:szCs w:val="24"/>
          <w:highlight w:val="none"/>
        </w:rPr>
        <w:t>文件中的“用户需求书”。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000000"/>
          <w:spacing w:val="0"/>
          <w:sz w:val="24"/>
          <w:szCs w:val="24"/>
          <w:u w:val="none"/>
          <w:vertAlign w:val="baseline"/>
          <w:lang w:val="en-US" w:eastAsia="zh-CN"/>
        </w:rPr>
        <w:t>四</w:t>
      </w:r>
      <w:r>
        <w:rPr>
          <w:rStyle w:val="25"/>
          <w:rFonts w:hint="eastAsia" w:ascii="仿宋" w:hAnsi="仿宋" w:eastAsia="仿宋" w:cs="仿宋"/>
          <w:b/>
          <w:bCs/>
          <w:i w:val="0"/>
          <w:iCs w:val="0"/>
          <w:caps w:val="0"/>
          <w:color w:val="000000"/>
          <w:spacing w:val="0"/>
          <w:sz w:val="24"/>
          <w:szCs w:val="24"/>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5"/>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工会委员会电影券</w:t>
      </w:r>
      <w:r>
        <w:rPr>
          <w:rFonts w:hint="eastAsia" w:ascii="仿宋" w:hAnsi="仿宋" w:eastAsia="仿宋" w:cs="仿宋"/>
          <w:i w:val="0"/>
          <w:iCs w:val="0"/>
          <w:caps w:val="0"/>
          <w:color w:val="000000"/>
          <w:spacing w:val="0"/>
          <w:sz w:val="24"/>
          <w:szCs w:val="24"/>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18</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i w:val="0"/>
          <w:iCs w:val="0"/>
          <w:caps w:val="0"/>
          <w:color w:val="FF0000"/>
          <w:spacing w:val="0"/>
          <w:sz w:val="24"/>
          <w:szCs w:val="24"/>
          <w:u w:val="none"/>
          <w:vertAlign w:val="baseline"/>
          <w:lang w:val="en-US" w:eastAsia="zh-CN"/>
        </w:rPr>
        <w:t>5</w:t>
      </w:r>
      <w:r>
        <w:rPr>
          <w:rStyle w:val="25"/>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报名，成交供应商不得以任何方式转包或分包本项目。</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注：供应商若不能同时满足以上条件则视为响应参与无效。（如发现提供虚假材料者，取消其参加评审资格，并列入采购人</w:t>
      </w:r>
      <w:bookmarkStart w:id="22" w:name="_GoBack"/>
      <w:bookmarkEnd w:id="22"/>
      <w:r>
        <w:rPr>
          <w:rFonts w:hint="eastAsia" w:ascii="仿宋" w:hAnsi="仿宋" w:eastAsia="仿宋" w:cs="仿宋"/>
          <w:b/>
          <w:bCs/>
          <w:color w:val="000000"/>
          <w:sz w:val="24"/>
          <w:szCs w:val="24"/>
          <w:highlight w:val="none"/>
          <w:lang w:val="en-US" w:eastAsia="zh-CN"/>
        </w:rPr>
        <w:t>失信供应商名单。）</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联系人：古老师</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电子邮箱：guhao8@mail.sysu.edu.cn</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联系地址：广州市越秀区长堤大马路171号一方长堤产业中心907室 中山大学孙逸仙纪念医院招投标与采购管理办公室</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2024年2月21日中午11:59:59,广州市越秀区长堤大马路171号一方长堤产业中心907室。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仅受理纸质响应文件，</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公开磋商文件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九、磋商评审会议时间、地点：2024年2月22日上午9:00,广州市越秀区长堤大马路171号一方长堤产业中心907室。</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1、本项目设有二次报价环节。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2、请报名成功的供应商安排1-2名人员准时出席磋商会议。</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2024年</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6日</w:t>
      </w:r>
    </w:p>
    <w:p>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76354916"/>
      <w:bookmarkStart w:id="9" w:name="_Toc50736468"/>
      <w:bookmarkStart w:id="10" w:name="_Toc50737288"/>
      <w:bookmarkStart w:id="11" w:name="_Toc50737320"/>
      <w:bookmarkStart w:id="12" w:name="_Toc50691021"/>
      <w:bookmarkStart w:id="13" w:name="_Toc385940869"/>
      <w:bookmarkStart w:id="14" w:name="_Toc385939528"/>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rPr>
          <w:rFonts w:hint="eastAsia"/>
        </w:rPr>
      </w:pPr>
    </w:p>
    <w:p>
      <w:pPr>
        <w:rPr>
          <w:rFonts w:hint="eastAsia" w:ascii="微软雅黑" w:hAnsi="微软雅黑" w:eastAsia="微软雅黑" w:cs="微软雅黑"/>
          <w:color w:val="000000"/>
          <w:highlight w:val="none"/>
        </w:rPr>
      </w:pPr>
    </w:p>
    <w:p>
      <w:pPr>
        <w:pStyle w:val="11"/>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bookmarkStart w:id="16" w:name="_Toc385939529"/>
      <w:bookmarkStart w:id="17" w:name="_Toc385940875"/>
      <w:bookmarkStart w:id="18" w:name="_Toc417914519"/>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7"/>
        <w:rPr>
          <w:rFonts w:hint="eastAsia"/>
          <w:color w:val="000000"/>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一、服务内容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根据《广东省基层工会经费管理实施细则（试行）》中的有关规定，拟向工会会员发放电影券，依据工会会员人数预估6675人，每人发放4张电影通兑券，每张电影券最高限价为人民币50元。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★1、每张电影券必须可观看1场电影(不限影院、时间、场次、规格等)，不收取任何其它费用，包括手续费和差价。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★2、可在广州市内至少180家影院观看电影。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支持在线选座，在线选座影院含广州UA花城汇影院、广州UA西城都荟电影城、广州中华广场电影城、广州天河电影城、广州中影火山湖电影城、广州华影梅花园影城、太古仓影院、飞扬影城（含乐峰店、正佳店）、广州哈艺时尚影城、广州星汇电影院、广州五月花电影城、广州UME国际影城、广州金逸影城（含海珠新都荟店、百信店、维家思店）、广州横店电影城、广州保利国际影城、橙天嘉禾影城、星美国院影城、万达影城、百老汇影城、UME国际影城、中影国际影城、耀来成龙国际影城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4、电影票不能兑现现金、实物等产品，仅限观影。可在广州各大影院观看正在上映的所有2D、3D等影片，且适用于IMAX厅、VIP厅等（VIP首映场、点映场、明星见面会除外）。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★5、供应商不得因市场价格变化等其他原因影响向采购人提供服务的质量,因市场经济而引起的价格风险由供应商自行承担。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二、产品包装要求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成交供应商需提供电影券套票实体卡券，独立包装每人一套，每套内含4张电影券，并附使用说明，包括订票方式和订票流程、咨询服务电话、有效期等内容，同时按采购人要求对人数、分类进行打包，免费送货上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▲2、供应商提供设计精美的电影券图案，券面设计方案需经采购人审核确认，设计费和印制费均由供应商承担。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 (一)服务团队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▲1、供应商在广州设有经营场所，提供有效的营业执照或租赁合同的扫描件或复印件，并加盖公章。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2、24小时有专人、专线电话解答本电影券使用时遇到的问题，包括客户咨询、投诉及处理的服务。对投诉的问题需在10分钟内提出解决方案，30分钟内解决问题。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▲(二)购票能力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电影票至少支持全广州180家中高端电影院，且在广州每个区有5个以上影院备选，不限制影厅、影片类型，在电影券有效期内不受节假日、时间、场次等限制。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（三）兑换方式（5种方式）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★1、前台兑换：凭票到影城前台/指定窗口→选择需要观看的影片、场次、座位→出票观影。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2、网页选座：登陆官网，选择观影影城、场次（包括时间）、座位，兑票观赏。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3、App选座：登陆手机APP，选择观影影城、场次、座位，兑票观赏。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★4、微信公众号或小程序在线购票。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★5、拨打客服电话或者项目负责人电话，即可选座购票。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（四）购票承诺：承诺无其他任何附加费用，即每张电影券可无条件兑换一场电影入场券。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★（五）电影券有效期：≥2年，因影院内部原因或外部其他不可控情况如疫情防控需要，有效期自动延续或与采购人协商延续。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★（一）交货期：2024年</w:t>
      </w:r>
      <w:r>
        <w:rPr>
          <w:rFonts w:hint="eastAsia" w:ascii="仿宋" w:hAnsi="仿宋" w:eastAsia="仿宋" w:cs="仿宋"/>
          <w:b w:val="0"/>
          <w:bCs/>
          <w:color w:val="000000"/>
          <w:sz w:val="24"/>
          <w:szCs w:val="24"/>
          <w:highlight w:val="yellow"/>
          <w:lang w:val="en-US" w:eastAsia="zh-CN"/>
        </w:rPr>
        <w:t>3月4日</w:t>
      </w:r>
      <w:r>
        <w:rPr>
          <w:rFonts w:hint="eastAsia" w:ascii="仿宋" w:hAnsi="仿宋" w:eastAsia="仿宋" w:cs="仿宋"/>
          <w:b w:val="0"/>
          <w:bCs/>
          <w:color w:val="000000"/>
          <w:sz w:val="24"/>
          <w:szCs w:val="24"/>
          <w:highlight w:val="none"/>
          <w:lang w:val="en-US" w:eastAsia="zh-CN"/>
        </w:rPr>
        <w:t>前完成送货。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（二）交货地点：中山大学孙逸仙纪念医院工会委员会。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（三）报价要求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1、供应商报出满足磋商文件要求的单张电影券价格，报价包括货款、设计、安装、随机零配件、标配工具、运输保险、调试、培训、质保期服务、各项税费及合同实施过程中不可预见费用等。</w:t>
      </w:r>
      <w:r>
        <w:rPr>
          <w:rFonts w:hint="eastAsia" w:ascii="仿宋" w:hAnsi="仿宋" w:eastAsia="仿宋" w:cs="仿宋"/>
          <w:b/>
          <w:bCs w:val="0"/>
          <w:color w:val="FF0000"/>
          <w:sz w:val="24"/>
          <w:szCs w:val="24"/>
          <w:highlight w:val="none"/>
          <w:u w:val="single"/>
          <w:lang w:val="en-US" w:eastAsia="zh-CN"/>
        </w:rPr>
        <w:t>（再次强调：所响应的电影券必须确保使用时每张电影券必须可观看1场2D或3D电影，且无需再支付任何手续费和差价。）</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2、最终报价以现场竞争性磋商为准。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（四）结算方式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采购人收齐电影券并验收合格后，凭收货单和发票15个工作日内由中山大学孙逸仙纪念医院工会委员会向成交供应商支付合同款项，最终以实际提供电影券数量为结算依据。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（五）付款方式：采用支票、银行汇付（含电汇）等形式。</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磋商文件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磋商邀请函</w:t>
            </w:r>
            <w:r>
              <w:rPr>
                <w:rFonts w:hint="eastAsia" w:ascii="仿宋" w:hAnsi="仿宋" w:eastAsia="仿宋" w:cs="仿宋"/>
                <w:bCs/>
                <w:color w:val="000000"/>
                <w:szCs w:val="21"/>
                <w:highlight w:val="none"/>
              </w:rPr>
              <w:t>”中写明的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采购评审会议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磋商邀请函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评审会议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三、磋商评审会议和评审原则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1.报名结束后采购人组织磋商评审会议。响应人不足3家的，不得组织磋商评审会议。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2.根据评审委员会对各响应人响应文件的综合评分情况，编写评审报告。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1.评审委员会由采购人组织的评审专家组成，评审专家从专家库中随机抽取。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2.本次评审采用综合评分法，</w:t>
      </w:r>
      <w:r>
        <w:rPr>
          <w:rFonts w:hint="eastAsia" w:ascii="仿宋" w:hAnsi="仿宋" w:eastAsia="仿宋" w:cs="仿宋"/>
          <w:b/>
          <w:bCs/>
          <w:color w:val="000000"/>
          <w:kern w:val="2"/>
          <w:sz w:val="24"/>
          <w:szCs w:val="24"/>
          <w:highlight w:val="none"/>
          <w:u w:val="single"/>
          <w:lang w:val="en-US" w:eastAsia="zh-CN" w:bidi="ar-SA"/>
        </w:rPr>
        <w:t>本项目有二次报价环节</w:t>
      </w:r>
      <w:r>
        <w:rPr>
          <w:rFonts w:hint="eastAsia" w:ascii="仿宋" w:hAnsi="仿宋" w:eastAsia="仿宋" w:cs="仿宋"/>
          <w:b w:val="0"/>
          <w:bCs w:val="0"/>
          <w:color w:val="000000"/>
          <w:kern w:val="2"/>
          <w:sz w:val="24"/>
          <w:szCs w:val="24"/>
          <w:highlight w:val="none"/>
          <w:lang w:val="en-US" w:eastAsia="zh-CN" w:bidi="ar-SA"/>
        </w:rPr>
        <w:t>，最终报价方案以现场竞争性磋商的二次报价为准。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磋商文件时另外提供一份盖章签字版的承诺书。若未单独提供，可能影响对响应文件的评价，但不作为一票否决的条款。</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单价也未超过单价最高限价</w:t>
            </w:r>
            <w:r>
              <w:rPr>
                <w:rFonts w:hint="eastAsia" w:ascii="仿宋" w:hAnsi="仿宋" w:eastAsia="仿宋" w:cs="仿宋"/>
                <w:sz w:val="20"/>
                <w:szCs w:val="20"/>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rPr>
              <w:t>文件规定要求签署、盖章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不得改动本磋商文件中已明确要求不得擅自删改的部分，以及遵守磋商文件中已列明必须遵照执行否则按无效响应处理的各类要求。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w:t>
            </w:r>
            <w:r>
              <w:rPr>
                <w:rFonts w:hint="eastAsia" w:ascii="仿宋" w:hAnsi="仿宋" w:eastAsia="仿宋" w:cs="仿宋"/>
                <w:color w:val="000000"/>
                <w:sz w:val="20"/>
                <w:szCs w:val="20"/>
                <w:lang w:val="en-US" w:eastAsia="zh-CN"/>
              </w:rPr>
              <w:t>磋商文件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rPr>
              <w:t>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评分（27</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评分（33</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27分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33分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商务评审表（27分）</w:t>
      </w:r>
    </w:p>
    <w:tbl>
      <w:tblPr>
        <w:tblStyle w:val="2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分值</w:t>
            </w:r>
          </w:p>
        </w:tc>
        <w:tc>
          <w:tcPr>
            <w:tcW w:w="7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3分</w:t>
            </w:r>
          </w:p>
        </w:tc>
        <w:tc>
          <w:tcPr>
            <w:tcW w:w="7061"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供应商具有以下证书的：</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质量管理体系认证证书，得3分；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注：须提供有效期内的证书复印件，加盖供应商公章，未提供不得分；若所提供的证书认证范围与本项目无关的，不得分。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rPr>
              <w:t>经验业绩</w:t>
            </w:r>
          </w:p>
        </w:tc>
        <w:tc>
          <w:tcPr>
            <w:tcW w:w="825"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bCs/>
                <w:color w:val="auto"/>
                <w:sz w:val="20"/>
                <w:szCs w:val="20"/>
                <w:highlight w:val="none"/>
                <w:lang w:val="en-US" w:eastAsia="zh-CN"/>
              </w:rPr>
              <w:t>6</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供应商自202</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rPr>
              <w:t>年1月1日（以合同签订时间为准）以来，具有</w:t>
            </w:r>
            <w:r>
              <w:rPr>
                <w:rFonts w:hint="eastAsia" w:ascii="仿宋" w:hAnsi="仿宋" w:eastAsia="仿宋" w:cs="仿宋"/>
                <w:bCs/>
                <w:color w:val="auto"/>
                <w:sz w:val="20"/>
                <w:szCs w:val="20"/>
                <w:highlight w:val="none"/>
                <w:lang w:val="en-US" w:eastAsia="zh-CN"/>
              </w:rPr>
              <w:t>类似项目</w:t>
            </w:r>
            <w:r>
              <w:rPr>
                <w:rFonts w:hint="eastAsia" w:ascii="仿宋" w:hAnsi="仿宋" w:eastAsia="仿宋" w:cs="仿宋"/>
                <w:bCs/>
                <w:color w:val="auto"/>
                <w:sz w:val="20"/>
                <w:szCs w:val="20"/>
                <w:highlight w:val="none"/>
              </w:rPr>
              <w:t>团体供货业绩的，每一项业绩得</w:t>
            </w:r>
            <w:r>
              <w:rPr>
                <w:rFonts w:hint="eastAsia" w:ascii="仿宋" w:hAnsi="仿宋" w:eastAsia="仿宋" w:cs="仿宋"/>
                <w:bCs/>
                <w:color w:val="auto"/>
                <w:sz w:val="20"/>
                <w:szCs w:val="20"/>
                <w:highlight w:val="none"/>
                <w:lang w:val="en-US" w:eastAsia="zh-CN"/>
              </w:rPr>
              <w:t>2</w:t>
            </w:r>
            <w:r>
              <w:rPr>
                <w:rFonts w:hint="eastAsia" w:ascii="仿宋" w:hAnsi="仿宋" w:eastAsia="仿宋" w:cs="仿宋"/>
                <w:bCs/>
                <w:color w:val="auto"/>
                <w:sz w:val="20"/>
                <w:szCs w:val="20"/>
                <w:highlight w:val="none"/>
              </w:rPr>
              <w:t>分，满分</w:t>
            </w:r>
            <w:r>
              <w:rPr>
                <w:rFonts w:hint="eastAsia" w:ascii="仿宋" w:hAnsi="仿宋" w:eastAsia="仿宋" w:cs="仿宋"/>
                <w:bCs/>
                <w:color w:val="auto"/>
                <w:sz w:val="20"/>
                <w:szCs w:val="20"/>
                <w:highlight w:val="none"/>
                <w:lang w:val="en-US" w:eastAsia="zh-CN"/>
              </w:rPr>
              <w:t>6</w:t>
            </w:r>
            <w:r>
              <w:rPr>
                <w:rFonts w:hint="eastAsia" w:ascii="仿宋" w:hAnsi="仿宋" w:eastAsia="仿宋" w:cs="仿宋"/>
                <w:bCs/>
                <w:color w:val="auto"/>
                <w:sz w:val="20"/>
                <w:szCs w:val="20"/>
                <w:highlight w:val="none"/>
              </w:rPr>
              <w:t>分。</w:t>
            </w:r>
          </w:p>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auto"/>
                <w:sz w:val="20"/>
                <w:szCs w:val="20"/>
                <w:highlight w:val="none"/>
              </w:rPr>
              <w:t>注：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0"/>
                <w:szCs w:val="20"/>
                <w:highlight w:val="none"/>
              </w:rPr>
            </w:pPr>
            <w:r>
              <w:rPr>
                <w:rFonts w:hint="eastAsia" w:ascii="仿宋" w:hAnsi="仿宋" w:eastAsia="仿宋" w:cs="仿宋"/>
                <w:bCs/>
                <w:color w:val="auto"/>
                <w:sz w:val="20"/>
                <w:szCs w:val="20"/>
              </w:rPr>
              <w:t>履约评价情况</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w:t>
            </w:r>
            <w:r>
              <w:rPr>
                <w:rFonts w:hint="eastAsia" w:ascii="仿宋" w:hAnsi="仿宋" w:eastAsia="仿宋" w:cs="仿宋"/>
                <w:bCs/>
                <w:color w:val="auto"/>
                <w:sz w:val="20"/>
                <w:szCs w:val="20"/>
                <w:highlight w:val="none"/>
              </w:rPr>
              <w:t>自202</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rPr>
              <w:t>年1月1日（以合同签订时间为准）以来</w:t>
            </w:r>
            <w:r>
              <w:rPr>
                <w:rFonts w:hint="eastAsia" w:ascii="仿宋" w:hAnsi="仿宋" w:eastAsia="仿宋" w:cs="仿宋"/>
                <w:color w:val="auto"/>
                <w:kern w:val="2"/>
                <w:sz w:val="20"/>
                <w:szCs w:val="20"/>
                <w:highlight w:val="none"/>
                <w:lang w:val="en-US" w:eastAsia="zh-CN" w:bidi="ar"/>
              </w:rPr>
              <w:t>具有同类项目业绩并经服务单位考核评价为优或满意的，每提供1项得2分，本项最高得4分。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kern w:val="2"/>
                <w:sz w:val="20"/>
                <w:szCs w:val="20"/>
                <w:highlight w:val="none"/>
                <w:lang w:val="en-US" w:eastAsia="zh-CN" w:bidi="ar"/>
              </w:rPr>
              <w:t>如提供履约评价的采购合同未被评审指标中“经验业绩”认可，则该履约评价无效。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20"/>
              <w:jc w:val="center"/>
              <w:rPr>
                <w:rFonts w:hint="eastAsia" w:ascii="仿宋" w:hAnsi="仿宋" w:eastAsia="仿宋" w:cs="仿宋"/>
                <w:color w:val="auto"/>
                <w:spacing w:val="9"/>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0"/>
                <w:szCs w:val="20"/>
                <w:highlight w:val="none"/>
              </w:rPr>
            </w:pPr>
            <w:r>
              <w:rPr>
                <w:rFonts w:hint="eastAsia" w:ascii="仿宋" w:hAnsi="仿宋" w:eastAsia="仿宋" w:cs="仿宋"/>
                <w:color w:val="auto"/>
                <w:szCs w:val="21"/>
              </w:rPr>
              <w:t>电影票兑换有效期限</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both"/>
              <w:rPr>
                <w:rFonts w:hint="eastAsia" w:ascii="仿宋" w:hAnsi="仿宋" w:eastAsia="仿宋" w:cs="仿宋"/>
                <w:color w:val="auto"/>
                <w:sz w:val="20"/>
                <w:szCs w:val="20"/>
              </w:rPr>
            </w:pPr>
          </w:p>
          <w:p>
            <w:pPr>
              <w:keepNext w:val="0"/>
              <w:keepLines w:val="0"/>
              <w:suppressLineNumbers w:val="0"/>
              <w:spacing w:before="69" w:beforeAutospacing="0" w:after="0" w:afterAutospacing="0" w:line="182" w:lineRule="auto"/>
              <w:ind w:left="236" w:right="0"/>
              <w:jc w:val="both"/>
              <w:rPr>
                <w:rFonts w:hint="eastAsia" w:ascii="仿宋" w:hAnsi="仿宋" w:eastAsia="仿宋" w:cs="仿宋"/>
                <w:color w:val="auto"/>
                <w:sz w:val="20"/>
                <w:szCs w:val="20"/>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kern w:val="2"/>
                <w:sz w:val="20"/>
                <w:szCs w:val="20"/>
                <w:highlight w:val="none"/>
              </w:rPr>
            </w:pPr>
            <w:r>
              <w:rPr>
                <w:rFonts w:hint="eastAsia" w:ascii="仿宋" w:hAnsi="仿宋" w:eastAsia="仿宋" w:cs="仿宋"/>
                <w:color w:val="auto"/>
                <w:sz w:val="20"/>
                <w:szCs w:val="20"/>
                <w:lang w:val="en-US" w:eastAsia="zh-CN"/>
              </w:rPr>
              <w:t>6</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根据供应商所提供的电影券有效期进行评分：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（1）电影券有效期为</w:t>
            </w:r>
            <w:r>
              <w:rPr>
                <w:rFonts w:hint="eastAsia" w:ascii="仿宋" w:hAnsi="仿宋" w:eastAsia="仿宋" w:cs="仿宋"/>
                <w:color w:val="auto"/>
                <w:spacing w:val="8"/>
                <w:sz w:val="20"/>
                <w:szCs w:val="20"/>
                <w:lang w:val="en-US" w:eastAsia="zh-CN"/>
              </w:rPr>
              <w:t>3年</w:t>
            </w:r>
            <w:r>
              <w:rPr>
                <w:rFonts w:hint="eastAsia" w:ascii="仿宋" w:hAnsi="仿宋" w:eastAsia="仿宋" w:cs="仿宋"/>
                <w:color w:val="auto"/>
                <w:spacing w:val="8"/>
                <w:sz w:val="20"/>
                <w:szCs w:val="20"/>
              </w:rPr>
              <w:t>，得</w:t>
            </w:r>
            <w:r>
              <w:rPr>
                <w:rFonts w:hint="eastAsia" w:ascii="仿宋" w:hAnsi="仿宋" w:eastAsia="仿宋" w:cs="仿宋"/>
                <w:color w:val="auto"/>
                <w:spacing w:val="8"/>
                <w:sz w:val="20"/>
                <w:szCs w:val="20"/>
                <w:lang w:val="en-US" w:eastAsia="zh-CN"/>
              </w:rPr>
              <w:t>3</w:t>
            </w:r>
            <w:r>
              <w:rPr>
                <w:rFonts w:hint="eastAsia" w:ascii="仿宋" w:hAnsi="仿宋" w:eastAsia="仿宋" w:cs="仿宋"/>
                <w:color w:val="auto"/>
                <w:spacing w:val="8"/>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（2）电影券有效期</w:t>
            </w:r>
            <w:r>
              <w:rPr>
                <w:rFonts w:hint="eastAsia" w:ascii="仿宋" w:hAnsi="仿宋" w:eastAsia="仿宋" w:cs="仿宋"/>
                <w:color w:val="auto"/>
                <w:spacing w:val="8"/>
                <w:sz w:val="20"/>
                <w:szCs w:val="20"/>
                <w:lang w:val="en-US" w:eastAsia="zh-CN"/>
              </w:rPr>
              <w:t>为3年</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不含</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以上</w:t>
            </w:r>
            <w:r>
              <w:rPr>
                <w:rFonts w:hint="eastAsia" w:ascii="仿宋" w:hAnsi="仿宋" w:eastAsia="仿宋" w:cs="仿宋"/>
                <w:color w:val="auto"/>
                <w:spacing w:val="8"/>
                <w:sz w:val="20"/>
                <w:szCs w:val="20"/>
              </w:rPr>
              <w:t>，得</w:t>
            </w:r>
            <w:r>
              <w:rPr>
                <w:rFonts w:hint="eastAsia" w:ascii="仿宋" w:hAnsi="仿宋" w:eastAsia="仿宋" w:cs="仿宋"/>
                <w:color w:val="auto"/>
                <w:spacing w:val="8"/>
                <w:sz w:val="20"/>
                <w:szCs w:val="20"/>
                <w:lang w:val="en-US" w:eastAsia="zh-CN"/>
              </w:rPr>
              <w:t>6</w:t>
            </w:r>
            <w:r>
              <w:rPr>
                <w:rFonts w:hint="eastAsia" w:ascii="仿宋" w:hAnsi="仿宋" w:eastAsia="仿宋" w:cs="仿宋"/>
                <w:color w:val="auto"/>
                <w:spacing w:val="8"/>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rPr>
            </w:pPr>
            <w:r>
              <w:rPr>
                <w:rFonts w:hint="eastAsia" w:ascii="仿宋" w:hAnsi="仿宋" w:eastAsia="仿宋" w:cs="仿宋"/>
                <w:color w:val="auto"/>
                <w:spacing w:val="-4"/>
                <w:sz w:val="20"/>
                <w:szCs w:val="20"/>
              </w:rPr>
              <w:t>注：</w:t>
            </w:r>
            <w:r>
              <w:rPr>
                <w:rFonts w:hint="eastAsia" w:ascii="仿宋" w:hAnsi="仿宋" w:eastAsia="仿宋" w:cs="仿宋"/>
                <w:color w:val="auto"/>
                <w:spacing w:val="8"/>
                <w:sz w:val="20"/>
                <w:szCs w:val="20"/>
              </w:rPr>
              <w:t>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电影券通兑便利情况</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center"/>
              <w:rPr>
                <w:rFonts w:hint="eastAsia" w:ascii="仿宋" w:hAnsi="仿宋" w:eastAsia="仿宋" w:cs="仿宋"/>
                <w:color w:val="auto"/>
                <w:sz w:val="20"/>
                <w:szCs w:val="20"/>
                <w:highlight w:val="none"/>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z w:val="20"/>
                <w:szCs w:val="20"/>
                <w:highlight w:val="none"/>
                <w:lang w:val="en-US" w:eastAsia="zh-CN"/>
              </w:rPr>
              <w:t>8分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电影券能在广州市内所有辖区可兑换的影院</w:t>
            </w:r>
            <w:r>
              <w:rPr>
                <w:rFonts w:hint="eastAsia" w:ascii="仿宋" w:hAnsi="仿宋" w:eastAsia="仿宋" w:cs="仿宋"/>
                <w:color w:val="auto"/>
                <w:spacing w:val="-4"/>
                <w:sz w:val="20"/>
                <w:szCs w:val="20"/>
                <w:highlight w:val="none"/>
                <w:lang w:val="en-US" w:eastAsia="zh-CN"/>
              </w:rPr>
              <w:t>名单和</w:t>
            </w:r>
            <w:r>
              <w:rPr>
                <w:rFonts w:hint="eastAsia" w:ascii="仿宋" w:hAnsi="仿宋" w:eastAsia="仿宋" w:cs="仿宋"/>
                <w:color w:val="auto"/>
                <w:spacing w:val="-4"/>
                <w:sz w:val="20"/>
                <w:szCs w:val="20"/>
                <w:highlight w:val="none"/>
              </w:rPr>
              <w:t>数量：</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影院数量≥250家，得</w:t>
            </w:r>
            <w:r>
              <w:rPr>
                <w:rFonts w:hint="eastAsia" w:ascii="仿宋" w:hAnsi="仿宋" w:eastAsia="仿宋" w:cs="仿宋"/>
                <w:color w:val="auto"/>
                <w:spacing w:val="-4"/>
                <w:sz w:val="20"/>
                <w:szCs w:val="20"/>
                <w:highlight w:val="none"/>
                <w:lang w:val="en-US" w:eastAsia="zh-CN"/>
              </w:rPr>
              <w:t>8</w:t>
            </w:r>
            <w:r>
              <w:rPr>
                <w:rFonts w:hint="eastAsia" w:ascii="仿宋" w:hAnsi="仿宋" w:eastAsia="仿宋" w:cs="仿宋"/>
                <w:color w:val="auto"/>
                <w:spacing w:val="-4"/>
                <w:sz w:val="20"/>
                <w:szCs w:val="20"/>
                <w:highlight w:val="none"/>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220家≤影院数量＜250家，得</w:t>
            </w:r>
            <w:r>
              <w:rPr>
                <w:rFonts w:hint="eastAsia" w:ascii="仿宋" w:hAnsi="仿宋" w:eastAsia="仿宋" w:cs="仿宋"/>
                <w:color w:val="auto"/>
                <w:spacing w:val="-4"/>
                <w:sz w:val="20"/>
                <w:szCs w:val="20"/>
                <w:highlight w:val="none"/>
                <w:lang w:val="en-US" w:eastAsia="zh-CN"/>
              </w:rPr>
              <w:t>5</w:t>
            </w:r>
            <w:r>
              <w:rPr>
                <w:rFonts w:hint="eastAsia" w:ascii="仿宋" w:hAnsi="仿宋" w:eastAsia="仿宋" w:cs="仿宋"/>
                <w:color w:val="auto"/>
                <w:spacing w:val="-4"/>
                <w:sz w:val="20"/>
                <w:szCs w:val="20"/>
                <w:highlight w:val="none"/>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180家≤影院数量＜220家，得</w:t>
            </w:r>
            <w:r>
              <w:rPr>
                <w:rFonts w:hint="eastAsia" w:ascii="仿宋" w:hAnsi="仿宋" w:eastAsia="仿宋" w:cs="仿宋"/>
                <w:color w:val="auto"/>
                <w:spacing w:val="-4"/>
                <w:sz w:val="20"/>
                <w:szCs w:val="20"/>
                <w:highlight w:val="none"/>
                <w:lang w:val="en-US" w:eastAsia="zh-CN"/>
              </w:rPr>
              <w:t>2</w:t>
            </w:r>
            <w:r>
              <w:rPr>
                <w:rFonts w:hint="eastAsia" w:ascii="仿宋" w:hAnsi="仿宋" w:eastAsia="仿宋" w:cs="仿宋"/>
                <w:color w:val="auto"/>
                <w:spacing w:val="-4"/>
                <w:sz w:val="20"/>
                <w:szCs w:val="20"/>
                <w:highlight w:val="none"/>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lang w:val="en-US" w:eastAsia="zh-CN"/>
              </w:rPr>
              <w:t>其余情况</w:t>
            </w:r>
            <w:r>
              <w:rPr>
                <w:rFonts w:hint="eastAsia" w:ascii="仿宋" w:hAnsi="仿宋" w:eastAsia="仿宋" w:cs="仿宋"/>
                <w:color w:val="auto"/>
                <w:spacing w:val="-4"/>
                <w:sz w:val="20"/>
                <w:szCs w:val="20"/>
                <w:highlight w:val="none"/>
              </w:rPr>
              <w:t>不得分。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pacing w:val="-4"/>
                <w:sz w:val="20"/>
                <w:szCs w:val="20"/>
                <w:highlight w:val="none"/>
              </w:rPr>
              <w:t>注：需</w:t>
            </w:r>
            <w:r>
              <w:rPr>
                <w:rFonts w:hint="eastAsia" w:ascii="仿宋" w:hAnsi="仿宋" w:eastAsia="仿宋" w:cs="仿宋"/>
                <w:color w:val="auto"/>
                <w:spacing w:val="-4"/>
                <w:sz w:val="20"/>
                <w:szCs w:val="20"/>
                <w:highlight w:val="none"/>
                <w:lang w:val="en-US" w:eastAsia="zh-CN"/>
              </w:rPr>
              <w:t>同时</w:t>
            </w:r>
            <w:r>
              <w:rPr>
                <w:rFonts w:hint="eastAsia" w:ascii="仿宋" w:hAnsi="仿宋" w:eastAsia="仿宋" w:cs="仿宋"/>
                <w:color w:val="auto"/>
                <w:spacing w:val="-4"/>
                <w:sz w:val="20"/>
                <w:szCs w:val="20"/>
                <w:highlight w:val="none"/>
              </w:rPr>
              <w:t>提供可</w:t>
            </w:r>
            <w:r>
              <w:rPr>
                <w:rFonts w:hint="eastAsia" w:ascii="仿宋" w:hAnsi="仿宋" w:eastAsia="仿宋" w:cs="仿宋"/>
                <w:color w:val="auto"/>
                <w:spacing w:val="-4"/>
                <w:sz w:val="20"/>
                <w:szCs w:val="20"/>
                <w:highlight w:val="none"/>
                <w:lang w:val="en-US" w:eastAsia="zh-CN"/>
              </w:rPr>
              <w:t>通兑</w:t>
            </w:r>
            <w:r>
              <w:rPr>
                <w:rFonts w:hint="eastAsia" w:ascii="仿宋" w:hAnsi="仿宋" w:eastAsia="仿宋" w:cs="仿宋"/>
                <w:color w:val="auto"/>
                <w:spacing w:val="-4"/>
                <w:sz w:val="20"/>
                <w:szCs w:val="20"/>
                <w:highlight w:val="none"/>
              </w:rPr>
              <w:t>的影院名单</w:t>
            </w:r>
            <w:r>
              <w:rPr>
                <w:rFonts w:hint="eastAsia" w:ascii="仿宋" w:hAnsi="仿宋" w:eastAsia="仿宋" w:cs="仿宋"/>
                <w:color w:val="auto"/>
                <w:spacing w:val="-4"/>
                <w:sz w:val="20"/>
                <w:szCs w:val="20"/>
                <w:highlight w:val="none"/>
                <w:lang w:val="en-US" w:eastAsia="zh-CN"/>
              </w:rPr>
              <w:t>和数量</w:t>
            </w:r>
            <w:r>
              <w:rPr>
                <w:rFonts w:hint="eastAsia" w:ascii="仿宋" w:hAnsi="仿宋" w:eastAsia="仿宋" w:cs="仿宋"/>
                <w:color w:val="auto"/>
                <w:spacing w:val="-4"/>
                <w:sz w:val="20"/>
                <w:szCs w:val="20"/>
                <w:highlight w:val="none"/>
              </w:rPr>
              <w:t>，否则不得分。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技术评审表（33分）</w:t>
      </w:r>
    </w:p>
    <w:tbl>
      <w:tblPr>
        <w:tblStyle w:val="2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券面设计</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4分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供应商提供券面设计方案及设计图片，进行综合评分：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（1）设计精美、方案新颖、契合医院文化，得4分；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（2）设计较为精美、基本契合医院文化，得2分；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（3）设计不精美、不契合医院文化，或未提供设计方案及设计图片，不得分。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院线配置</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12分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根据电影券可</w:t>
            </w:r>
            <w:r>
              <w:rPr>
                <w:rFonts w:hint="eastAsia" w:ascii="仿宋" w:hAnsi="仿宋" w:eastAsia="仿宋" w:cs="仿宋"/>
                <w:color w:val="000000"/>
                <w:sz w:val="20"/>
                <w:szCs w:val="20"/>
                <w:highlight w:val="none"/>
                <w:lang w:val="en-US" w:eastAsia="zh-CN"/>
              </w:rPr>
              <w:t>通兑</w:t>
            </w:r>
            <w:r>
              <w:rPr>
                <w:rFonts w:hint="eastAsia" w:ascii="仿宋" w:hAnsi="仿宋" w:eastAsia="仿宋" w:cs="仿宋"/>
                <w:color w:val="000000"/>
                <w:sz w:val="20"/>
                <w:szCs w:val="20"/>
                <w:highlight w:val="none"/>
                <w:lang w:eastAsia="zh-CN"/>
              </w:rPr>
              <w:t>使用的影院品质情况进行综合评审：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（1）广州市内院线配置数量不低于180家，且配置影院包含万达、金逸、</w:t>
            </w:r>
            <w:r>
              <w:rPr>
                <w:rFonts w:hint="eastAsia" w:ascii="仿宋" w:hAnsi="仿宋" w:eastAsia="仿宋" w:cs="仿宋"/>
                <w:color w:val="000000"/>
                <w:sz w:val="20"/>
                <w:szCs w:val="20"/>
                <w:highlight w:val="none"/>
                <w:lang w:val="en-US" w:eastAsia="zh-CN"/>
              </w:rPr>
              <w:t>UA</w:t>
            </w:r>
            <w:r>
              <w:rPr>
                <w:rFonts w:hint="eastAsia" w:ascii="仿宋" w:hAnsi="仿宋" w:eastAsia="仿宋" w:cs="仿宋"/>
                <w:color w:val="000000"/>
                <w:sz w:val="20"/>
                <w:szCs w:val="20"/>
                <w:highlight w:val="none"/>
                <w:lang w:eastAsia="zh-CN"/>
              </w:rPr>
              <w:t>等</w:t>
            </w:r>
            <w:r>
              <w:rPr>
                <w:rFonts w:hint="eastAsia" w:ascii="仿宋" w:hAnsi="仿宋" w:eastAsia="仿宋" w:cs="仿宋"/>
                <w:color w:val="000000"/>
                <w:sz w:val="20"/>
                <w:szCs w:val="20"/>
                <w:highlight w:val="none"/>
                <w:lang w:val="en-US" w:eastAsia="zh-CN"/>
              </w:rPr>
              <w:t>中高端影院数量多</w:t>
            </w:r>
            <w:r>
              <w:rPr>
                <w:rFonts w:hint="eastAsia" w:ascii="仿宋" w:hAnsi="仿宋" w:eastAsia="仿宋" w:cs="仿宋"/>
                <w:color w:val="000000"/>
                <w:sz w:val="20"/>
                <w:szCs w:val="20"/>
                <w:highlight w:val="none"/>
                <w:lang w:eastAsia="zh-CN"/>
              </w:rPr>
              <w:t>，院线配置方案措施合理、</w:t>
            </w:r>
            <w:r>
              <w:rPr>
                <w:rFonts w:hint="eastAsia" w:ascii="仿宋" w:hAnsi="仿宋" w:eastAsia="仿宋" w:cs="仿宋"/>
                <w:color w:val="000000"/>
                <w:sz w:val="20"/>
                <w:szCs w:val="20"/>
                <w:highlight w:val="none"/>
                <w:lang w:val="en-US" w:eastAsia="zh-CN"/>
              </w:rPr>
              <w:t>影院分布科学合理</w:t>
            </w:r>
            <w:r>
              <w:rPr>
                <w:rFonts w:hint="eastAsia" w:ascii="仿宋" w:hAnsi="仿宋" w:eastAsia="仿宋" w:cs="仿宋"/>
                <w:color w:val="000000"/>
                <w:sz w:val="20"/>
                <w:szCs w:val="20"/>
                <w:highlight w:val="none"/>
                <w:lang w:eastAsia="zh-CN"/>
              </w:rPr>
              <w:t>，得1</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eastAsia="zh-CN"/>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（2）广州市内院线配置数量不低于180家，配置影院包含万达、金逸、</w:t>
            </w:r>
            <w:r>
              <w:rPr>
                <w:rFonts w:hint="eastAsia" w:ascii="仿宋" w:hAnsi="仿宋" w:eastAsia="仿宋" w:cs="仿宋"/>
                <w:color w:val="000000"/>
                <w:sz w:val="20"/>
                <w:szCs w:val="20"/>
                <w:highlight w:val="none"/>
                <w:lang w:val="en-US" w:eastAsia="zh-CN"/>
              </w:rPr>
              <w:t>UA</w:t>
            </w:r>
            <w:r>
              <w:rPr>
                <w:rFonts w:hint="eastAsia" w:ascii="仿宋" w:hAnsi="仿宋" w:eastAsia="仿宋" w:cs="仿宋"/>
                <w:color w:val="000000"/>
                <w:sz w:val="20"/>
                <w:szCs w:val="20"/>
                <w:highlight w:val="none"/>
                <w:lang w:eastAsia="zh-CN"/>
              </w:rPr>
              <w:t>等</w:t>
            </w:r>
            <w:r>
              <w:rPr>
                <w:rFonts w:hint="eastAsia" w:ascii="仿宋" w:hAnsi="仿宋" w:eastAsia="仿宋" w:cs="仿宋"/>
                <w:color w:val="000000"/>
                <w:sz w:val="20"/>
                <w:szCs w:val="20"/>
                <w:highlight w:val="none"/>
                <w:lang w:val="en-US" w:eastAsia="zh-CN"/>
              </w:rPr>
              <w:t>中高端影院</w:t>
            </w:r>
            <w:r>
              <w:rPr>
                <w:rFonts w:hint="eastAsia" w:ascii="仿宋" w:hAnsi="仿宋" w:eastAsia="仿宋" w:cs="仿宋"/>
                <w:color w:val="000000"/>
                <w:sz w:val="20"/>
                <w:szCs w:val="20"/>
                <w:highlight w:val="none"/>
                <w:lang w:eastAsia="zh-CN"/>
              </w:rPr>
              <w:t>数量</w:t>
            </w:r>
            <w:r>
              <w:rPr>
                <w:rFonts w:hint="eastAsia" w:ascii="仿宋" w:hAnsi="仿宋" w:eastAsia="仿宋" w:cs="仿宋"/>
                <w:color w:val="000000"/>
                <w:sz w:val="20"/>
                <w:szCs w:val="20"/>
                <w:highlight w:val="none"/>
                <w:lang w:val="en-US" w:eastAsia="zh-CN"/>
              </w:rPr>
              <w:t>较</w:t>
            </w:r>
            <w:r>
              <w:rPr>
                <w:rFonts w:hint="eastAsia" w:ascii="仿宋" w:hAnsi="仿宋" w:eastAsia="仿宋" w:cs="仿宋"/>
                <w:color w:val="000000"/>
                <w:sz w:val="20"/>
                <w:szCs w:val="20"/>
                <w:highlight w:val="none"/>
                <w:lang w:eastAsia="zh-CN"/>
              </w:rPr>
              <w:t>多，院线配置方案措施较为合理、</w:t>
            </w:r>
            <w:r>
              <w:rPr>
                <w:rFonts w:hint="eastAsia" w:ascii="仿宋" w:hAnsi="仿宋" w:eastAsia="仿宋" w:cs="仿宋"/>
                <w:color w:val="000000"/>
                <w:sz w:val="20"/>
                <w:szCs w:val="20"/>
                <w:highlight w:val="none"/>
                <w:lang w:val="en-US" w:eastAsia="zh-CN"/>
              </w:rPr>
              <w:t>影院分布较科学合理</w:t>
            </w:r>
            <w:r>
              <w:rPr>
                <w:rFonts w:hint="eastAsia" w:ascii="仿宋" w:hAnsi="仿宋" w:eastAsia="仿宋" w:cs="仿宋"/>
                <w:color w:val="000000"/>
                <w:sz w:val="20"/>
                <w:szCs w:val="20"/>
                <w:highlight w:val="none"/>
                <w:lang w:eastAsia="zh-CN"/>
              </w:rPr>
              <w:t>，得</w:t>
            </w:r>
            <w:r>
              <w:rPr>
                <w:rFonts w:hint="eastAsia" w:ascii="仿宋" w:hAnsi="仿宋" w:eastAsia="仿宋" w:cs="仿宋"/>
                <w:color w:val="000000"/>
                <w:sz w:val="20"/>
                <w:szCs w:val="20"/>
                <w:highlight w:val="none"/>
                <w:lang w:val="en-US" w:eastAsia="zh-CN"/>
              </w:rPr>
              <w:t>8</w:t>
            </w:r>
            <w:r>
              <w:rPr>
                <w:rFonts w:hint="eastAsia" w:ascii="仿宋" w:hAnsi="仿宋" w:eastAsia="仿宋" w:cs="仿宋"/>
                <w:color w:val="000000"/>
                <w:sz w:val="20"/>
                <w:szCs w:val="20"/>
                <w:highlight w:val="none"/>
                <w:lang w:eastAsia="zh-CN"/>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（3）广州市内院线配置数量</w:t>
            </w:r>
            <w:r>
              <w:rPr>
                <w:rFonts w:hint="eastAsia" w:ascii="仿宋" w:hAnsi="仿宋" w:eastAsia="仿宋" w:cs="仿宋"/>
                <w:color w:val="000000"/>
                <w:sz w:val="20"/>
                <w:szCs w:val="20"/>
                <w:highlight w:val="none"/>
                <w:lang w:val="en-US" w:eastAsia="zh-CN"/>
              </w:rPr>
              <w:t>不</w:t>
            </w:r>
            <w:r>
              <w:rPr>
                <w:rFonts w:hint="eastAsia" w:ascii="仿宋" w:hAnsi="仿宋" w:eastAsia="仿宋" w:cs="仿宋"/>
                <w:color w:val="000000"/>
                <w:sz w:val="20"/>
                <w:szCs w:val="20"/>
                <w:highlight w:val="none"/>
                <w:lang w:eastAsia="zh-CN"/>
              </w:rPr>
              <w:t>低于180家，</w:t>
            </w:r>
            <w:r>
              <w:rPr>
                <w:rFonts w:hint="eastAsia" w:ascii="仿宋" w:hAnsi="仿宋" w:eastAsia="仿宋" w:cs="仿宋"/>
                <w:color w:val="000000"/>
                <w:sz w:val="20"/>
                <w:szCs w:val="20"/>
                <w:highlight w:val="none"/>
                <w:lang w:val="en-US" w:eastAsia="zh-CN"/>
              </w:rPr>
              <w:t>但</w:t>
            </w:r>
            <w:r>
              <w:rPr>
                <w:rFonts w:hint="eastAsia" w:ascii="仿宋" w:hAnsi="仿宋" w:eastAsia="仿宋" w:cs="仿宋"/>
                <w:color w:val="000000"/>
                <w:sz w:val="20"/>
                <w:szCs w:val="20"/>
                <w:highlight w:val="none"/>
                <w:lang w:eastAsia="zh-CN"/>
              </w:rPr>
              <w:t>影院品质</w:t>
            </w:r>
            <w:r>
              <w:rPr>
                <w:rFonts w:hint="eastAsia" w:ascii="仿宋" w:hAnsi="仿宋" w:eastAsia="仿宋" w:cs="仿宋"/>
                <w:color w:val="000000"/>
                <w:sz w:val="20"/>
                <w:szCs w:val="20"/>
                <w:highlight w:val="none"/>
                <w:lang w:val="en-US" w:eastAsia="zh-CN"/>
              </w:rPr>
              <w:t>一般或影院分布不够合理</w:t>
            </w:r>
            <w:r>
              <w:rPr>
                <w:rFonts w:hint="eastAsia" w:ascii="仿宋" w:hAnsi="仿宋" w:eastAsia="仿宋" w:cs="仿宋"/>
                <w:color w:val="000000"/>
                <w:sz w:val="20"/>
                <w:szCs w:val="20"/>
                <w:highlight w:val="none"/>
                <w:lang w:eastAsia="zh-CN"/>
              </w:rPr>
              <w:t>，得</w:t>
            </w:r>
            <w:r>
              <w:rPr>
                <w:rFonts w:hint="eastAsia" w:ascii="仿宋" w:hAnsi="仿宋" w:eastAsia="仿宋" w:cs="仿宋"/>
                <w:color w:val="000000"/>
                <w:sz w:val="20"/>
                <w:szCs w:val="20"/>
                <w:highlight w:val="none"/>
                <w:lang w:val="en-US" w:eastAsia="zh-CN"/>
              </w:rPr>
              <w:t>4</w:t>
            </w:r>
            <w:r>
              <w:rPr>
                <w:rFonts w:hint="eastAsia" w:ascii="仿宋" w:hAnsi="仿宋" w:eastAsia="仿宋" w:cs="仿宋"/>
                <w:color w:val="000000"/>
                <w:sz w:val="20"/>
                <w:szCs w:val="20"/>
                <w:highlight w:val="none"/>
                <w:lang w:eastAsia="zh-CN"/>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 w:val="20"/>
                <w:szCs w:val="20"/>
                <w:highlight w:val="none"/>
                <w:lang w:eastAsia="zh-CN"/>
              </w:rPr>
              <w:t>（4）</w:t>
            </w:r>
            <w:r>
              <w:rPr>
                <w:rFonts w:hint="eastAsia" w:ascii="仿宋" w:hAnsi="仿宋" w:eastAsia="仿宋" w:cs="仿宋"/>
                <w:color w:val="000000"/>
                <w:sz w:val="20"/>
                <w:szCs w:val="20"/>
                <w:highlight w:val="none"/>
                <w:lang w:val="en-US" w:eastAsia="zh-CN"/>
              </w:rPr>
              <w:t>其余情况</w:t>
            </w:r>
            <w:r>
              <w:rPr>
                <w:rFonts w:hint="eastAsia" w:ascii="仿宋" w:hAnsi="仿宋" w:eastAsia="仿宋" w:cs="仿宋"/>
                <w:color w:val="000000"/>
                <w:sz w:val="20"/>
                <w:szCs w:val="20"/>
                <w:highlight w:val="none"/>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增值服务方案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根据供应商针对本项目提供的</w:t>
            </w:r>
            <w:r>
              <w:rPr>
                <w:rFonts w:hint="eastAsia" w:ascii="仿宋" w:hAnsi="仿宋" w:eastAsia="仿宋" w:cs="仿宋"/>
                <w:color w:val="000000"/>
                <w:szCs w:val="21"/>
                <w:lang w:val="en-US" w:eastAsia="zh-CN"/>
              </w:rPr>
              <w:t>增值</w:t>
            </w:r>
            <w:r>
              <w:rPr>
                <w:rFonts w:hint="eastAsia" w:ascii="仿宋" w:hAnsi="仿宋" w:eastAsia="仿宋" w:cs="仿宋"/>
                <w:color w:val="000000"/>
                <w:szCs w:val="21"/>
              </w:rPr>
              <w:t>服务方案进行综合</w:t>
            </w:r>
            <w:r>
              <w:rPr>
                <w:rFonts w:hint="eastAsia" w:ascii="仿宋" w:hAnsi="仿宋" w:eastAsia="仿宋" w:cs="仿宋"/>
                <w:color w:val="000000"/>
                <w:szCs w:val="21"/>
                <w:lang w:val="en-US" w:eastAsia="zh-CN"/>
              </w:rPr>
              <w:t>评审</w:t>
            </w:r>
            <w:r>
              <w:rPr>
                <w:rFonts w:hint="eastAsia" w:ascii="仿宋" w:hAnsi="仿宋" w:eastAsia="仿宋" w:cs="仿宋"/>
                <w:color w:val="000000"/>
                <w:szCs w:val="21"/>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其中线上观影方案列明可兑换媒体平台和每张电影券可兑换的媒体平台会员费价值，</w:t>
            </w:r>
            <w:r>
              <w:rPr>
                <w:rFonts w:hint="eastAsia" w:ascii="仿宋" w:hAnsi="仿宋" w:eastAsia="仿宋" w:cs="仿宋"/>
                <w:color w:val="000000"/>
                <w:szCs w:val="21"/>
              </w:rPr>
              <w:t>方案</w:t>
            </w:r>
            <w:r>
              <w:rPr>
                <w:rFonts w:hint="eastAsia" w:ascii="仿宋" w:hAnsi="仿宋" w:eastAsia="仿宋" w:cs="仿宋"/>
                <w:color w:val="000000"/>
                <w:szCs w:val="21"/>
                <w:lang w:val="en-US" w:eastAsia="zh-CN"/>
              </w:rPr>
              <w:t>最优且</w:t>
            </w:r>
            <w:r>
              <w:rPr>
                <w:rFonts w:hint="eastAsia" w:ascii="仿宋" w:hAnsi="仿宋" w:eastAsia="仿宋" w:cs="仿宋"/>
                <w:color w:val="000000"/>
                <w:szCs w:val="21"/>
              </w:rPr>
              <w:t>符合项目要求，得</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其中线上观影方案列明可兑换媒体平台和每张电影券可兑换的媒体平台会员费价值</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方案一般、较</w:t>
            </w:r>
            <w:r>
              <w:rPr>
                <w:rFonts w:hint="eastAsia" w:ascii="仿宋" w:hAnsi="仿宋" w:eastAsia="仿宋" w:cs="仿宋"/>
                <w:color w:val="000000"/>
                <w:szCs w:val="21"/>
              </w:rPr>
              <w:t>符合项目要求，得</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eastAsia="仿宋"/>
                <w:lang w:eastAsia="zh-CN"/>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3</w:t>
            </w:r>
            <w:r>
              <w:rPr>
                <w:rFonts w:hint="eastAsia" w:ascii="仿宋" w:hAnsi="仿宋" w:eastAsia="仿宋" w:cs="仿宋"/>
                <w:color w:val="000000"/>
                <w:szCs w:val="21"/>
                <w:lang w:eastAsia="zh-CN"/>
              </w:rPr>
              <w:t>）</w:t>
            </w:r>
            <w:r>
              <w:rPr>
                <w:rFonts w:hint="eastAsia" w:ascii="仿宋" w:hAnsi="仿宋" w:eastAsia="仿宋" w:cs="仿宋"/>
                <w:color w:val="000000"/>
                <w:szCs w:val="21"/>
              </w:rPr>
              <w:t>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其中线上观影方案未明确列明可兑换媒体平台或每张电影券可兑换媒体平台会员费价值的</w:t>
            </w:r>
            <w:r>
              <w:rPr>
                <w:rFonts w:hint="eastAsia" w:ascii="仿宋" w:hAnsi="仿宋" w:eastAsia="仿宋" w:cs="仿宋"/>
                <w:color w:val="000000"/>
                <w:szCs w:val="21"/>
              </w:rPr>
              <w:t>，得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其他情况</w:t>
            </w:r>
            <w:r>
              <w:rPr>
                <w:rFonts w:hint="eastAsia" w:ascii="仿宋" w:hAnsi="仿宋" w:eastAsia="仿宋" w:cs="仿宋"/>
                <w:color w:val="000000"/>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售后服务方案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9分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供应商应切实考虑职工需求，针对采购人提供完善的售后服务方案，包括售后服务组织机构</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对事故的处理方案及应急措施</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响应时间等内容</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进行综合评审</w:t>
            </w:r>
            <w:r>
              <w:rPr>
                <w:rFonts w:hint="eastAsia" w:ascii="仿宋" w:hAnsi="仿宋" w:eastAsia="仿宋" w:cs="仿宋"/>
                <w:color w:val="000000"/>
                <w:szCs w:val="21"/>
                <w:highlight w:val="none"/>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（1）措施和方案合理、可行性高，得</w:t>
            </w:r>
            <w:r>
              <w:rPr>
                <w:rFonts w:hint="eastAsia" w:ascii="仿宋" w:hAnsi="仿宋" w:eastAsia="仿宋" w:cs="仿宋"/>
                <w:color w:val="000000"/>
                <w:szCs w:val="21"/>
                <w:highlight w:val="none"/>
                <w:lang w:val="en-US" w:eastAsia="zh-CN"/>
              </w:rPr>
              <w:t>9</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（2）措施和方案较为合理、可行，得</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（3）措施和方案有所欠缺，得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（4）未提供措施</w:t>
            </w:r>
            <w:r>
              <w:rPr>
                <w:rFonts w:hint="eastAsia" w:ascii="仿宋" w:hAnsi="仿宋" w:eastAsia="仿宋" w:cs="仿宋"/>
                <w:color w:val="000000"/>
                <w:szCs w:val="21"/>
                <w:highlight w:val="none"/>
                <w:lang w:val="en-US" w:eastAsia="zh-CN"/>
              </w:rPr>
              <w:t>或方案</w:t>
            </w:r>
            <w:r>
              <w:rPr>
                <w:rFonts w:hint="eastAsia" w:ascii="仿宋" w:hAnsi="仿宋" w:eastAsia="仿宋" w:cs="仿宋"/>
                <w:color w:val="000000"/>
                <w:szCs w:val="21"/>
                <w:highlight w:val="none"/>
              </w:rPr>
              <w:t>，不得分。</w:t>
            </w:r>
          </w:p>
        </w:tc>
      </w:tr>
    </w:tbl>
    <w:p>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单张电影券报价</w:t>
      </w:r>
      <w:r>
        <w:rPr>
          <w:rFonts w:hint="eastAsia" w:ascii="仿宋" w:hAnsi="仿宋" w:eastAsia="仿宋" w:cs="仿宋"/>
          <w:color w:val="000000"/>
          <w:sz w:val="24"/>
          <w:szCs w:val="24"/>
          <w:highlight w:val="none"/>
          <w:lang w:val="en-US" w:eastAsia="zh-CN"/>
        </w:rPr>
        <w:t>作为价格评分的评审依据。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满足磋商文件要求且单张电影券最低的价格为评分基准价，价格得分＝（评分基准价/报价）*40，保留两位小数）。</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成交人拒绝与采购人签订合同的，采购人可以按照评审报告推荐的成交候选人名单排序，确定下一候选人为成交人，也可以重新开展采购活动。</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质疑接收机构名称：中山大学孙逸仙纪念医院招投标与采购管理办公室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广州市越秀区长堤大马路171号一方长堤产业中心907室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采购人与成交人自成交通知书发出之日起三十日内，按磋商文件要求和成交人响应文件承诺签订采购合同，但不得超出磋商文件和成交人响应文件的范围、也不得再行订立背离合同实质性内容的其他协议。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11"/>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7"/>
        <w:ind w:firstLine="0" w:firstLineChars="0"/>
        <w:rPr>
          <w:rFonts w:hint="eastAsia" w:ascii="仿宋_GB2312" w:eastAsia="仿宋_GB2312" w:cs="仿宋_GB2312"/>
          <w:b/>
          <w:color w:val="000000"/>
          <w:sz w:val="28"/>
          <w:szCs w:val="28"/>
          <w:highlight w:val="none"/>
        </w:rPr>
      </w:pPr>
    </w:p>
    <w:p>
      <w:pPr>
        <w:pStyle w:val="27"/>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w:t>
      </w:r>
      <w:r>
        <w:rPr>
          <w:rFonts w:hint="eastAsia" w:ascii="华文中宋" w:hAnsi="华文中宋" w:eastAsia="华文中宋" w:cs="华文中宋"/>
          <w:b/>
          <w:color w:val="000000"/>
          <w:sz w:val="32"/>
          <w:szCs w:val="32"/>
          <w:highlight w:val="none"/>
          <w:lang w:val="en-US" w:eastAsia="zh-CN"/>
        </w:rPr>
        <w:t>工会委员会</w:t>
      </w:r>
      <w:r>
        <w:rPr>
          <w:rFonts w:hint="eastAsia" w:ascii="华文中宋" w:hAnsi="华文中宋" w:eastAsia="华文中宋" w:cs="华文中宋"/>
          <w:b/>
          <w:color w:val="000000"/>
          <w:sz w:val="32"/>
          <w:szCs w:val="32"/>
          <w:highlight w:val="none"/>
        </w:rPr>
        <w:t>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甲方（采购方）：中山大学孙逸仙纪念医院</w:t>
      </w:r>
      <w:r>
        <w:rPr>
          <w:rFonts w:hint="eastAsia" w:ascii="仿宋" w:hAnsi="仿宋" w:eastAsia="仿宋" w:cs="仿宋"/>
          <w:color w:val="000000"/>
          <w:sz w:val="24"/>
          <w:szCs w:val="24"/>
          <w:highlight w:val="none"/>
          <w:lang w:val="en-US" w:eastAsia="zh-CN"/>
        </w:rPr>
        <w:t>工会委员会</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spacing w:beforeAutospacing="1"/>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w:t>
      </w:r>
      <w:r>
        <w:rPr>
          <w:rFonts w:hint="eastAsia" w:ascii="仿宋" w:hAnsi="仿宋" w:eastAsia="仿宋" w:cs="仿宋"/>
          <w:color w:val="000000"/>
          <w:sz w:val="24"/>
          <w:szCs w:val="24"/>
          <w:highlight w:val="none"/>
          <w:lang w:eastAsia="zh-CN"/>
        </w:rPr>
        <w:t>工会委员会2024年电影券采购项目</w:t>
      </w:r>
      <w:r>
        <w:rPr>
          <w:rFonts w:hint="eastAsia" w:ascii="仿宋" w:hAnsi="仿宋" w:eastAsia="仿宋" w:cs="仿宋"/>
          <w:color w:val="000000"/>
          <w:sz w:val="24"/>
          <w:szCs w:val="24"/>
          <w:highlight w:val="none"/>
        </w:rPr>
        <w:t>的采购结果、响应文件承诺和磋商文件的要求，经甲乙双方协商一致，签订本合同。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第一条 服务内容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乙方为甲方提供包含中山大学孙逸仙纪念医院</w:t>
      </w:r>
      <w:r>
        <w:rPr>
          <w:rFonts w:hint="eastAsia" w:ascii="仿宋" w:hAnsi="仿宋" w:eastAsia="仿宋" w:cs="仿宋"/>
          <w:color w:val="000000"/>
          <w:sz w:val="24"/>
          <w:szCs w:val="24"/>
          <w:highlight w:val="none"/>
          <w:lang w:eastAsia="zh-CN"/>
        </w:rPr>
        <w:t>工会委员会2024年电影券采购项目的</w:t>
      </w:r>
      <w:r>
        <w:rPr>
          <w:rFonts w:hint="eastAsia" w:ascii="仿宋" w:hAnsi="仿宋" w:eastAsia="仿宋" w:cs="仿宋"/>
          <w:color w:val="000000"/>
          <w:sz w:val="24"/>
          <w:szCs w:val="24"/>
          <w:highlight w:val="none"/>
        </w:rPr>
        <w:t>采购、运送、储存、售后等服务。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第二条 服务要求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对单张电影券的</w:t>
      </w:r>
      <w:r>
        <w:rPr>
          <w:rFonts w:hint="eastAsia" w:ascii="仿宋" w:hAnsi="仿宋" w:eastAsia="仿宋" w:cs="仿宋"/>
          <w:color w:val="000000"/>
          <w:sz w:val="24"/>
          <w:szCs w:val="24"/>
          <w:highlight w:val="none"/>
        </w:rPr>
        <w:t>报价应包含可观看1场电影(不限影院、时间、</w:t>
      </w:r>
      <w:r>
        <w:rPr>
          <w:rFonts w:hint="eastAsia" w:ascii="仿宋" w:hAnsi="仿宋" w:eastAsia="仿宋" w:cs="仿宋"/>
          <w:color w:val="000000"/>
          <w:sz w:val="24"/>
          <w:szCs w:val="24"/>
          <w:highlight w:val="none"/>
          <w:lang w:val="en-US" w:eastAsia="zh-CN"/>
        </w:rPr>
        <w:t>2D/3D</w:t>
      </w:r>
      <w:r>
        <w:rPr>
          <w:rFonts w:hint="eastAsia" w:ascii="仿宋" w:hAnsi="仿宋" w:eastAsia="仿宋" w:cs="仿宋"/>
          <w:color w:val="000000"/>
          <w:sz w:val="24"/>
          <w:szCs w:val="24"/>
          <w:highlight w:val="none"/>
        </w:rPr>
        <w:t>场次等)，不收取任何其它费用，包括手续费和差价。</w:t>
      </w:r>
      <w:r>
        <w:rPr>
          <w:rFonts w:hint="eastAsia" w:ascii="仿宋" w:hAnsi="仿宋" w:eastAsia="仿宋" w:cs="仿宋"/>
          <w:color w:val="000000"/>
          <w:sz w:val="24"/>
          <w:szCs w:val="24"/>
          <w:highlight w:val="none"/>
          <w:lang w:val="en-US" w:eastAsia="zh-CN"/>
        </w:rPr>
        <w:t>甲方及其会员</w:t>
      </w:r>
      <w:r>
        <w:rPr>
          <w:rFonts w:hint="eastAsia" w:ascii="仿宋" w:hAnsi="仿宋" w:eastAsia="仿宋" w:cs="仿宋"/>
          <w:color w:val="000000"/>
          <w:sz w:val="24"/>
          <w:szCs w:val="24"/>
          <w:highlight w:val="none"/>
        </w:rPr>
        <w:t>不再为此项目支付任何费用。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val="en-US" w:eastAsia="zh-CN"/>
        </w:rPr>
        <w:t>电影券需求</w:t>
      </w:r>
      <w:r>
        <w:rPr>
          <w:rFonts w:hint="eastAsia" w:ascii="仿宋" w:hAnsi="仿宋" w:eastAsia="仿宋" w:cs="仿宋"/>
          <w:color w:val="000000"/>
          <w:sz w:val="24"/>
          <w:szCs w:val="24"/>
          <w:highlight w:val="none"/>
        </w:rPr>
        <w:t>数量有最终决定权，</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需求在指定时间内向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供货，并且保证所提供的</w:t>
      </w:r>
      <w:r>
        <w:rPr>
          <w:rFonts w:hint="eastAsia" w:ascii="仿宋" w:hAnsi="仿宋" w:eastAsia="仿宋" w:cs="仿宋"/>
          <w:color w:val="000000"/>
          <w:sz w:val="24"/>
          <w:szCs w:val="24"/>
          <w:highlight w:val="none"/>
          <w:lang w:val="en-US" w:eastAsia="zh-CN"/>
        </w:rPr>
        <w:t>电影券</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lang w:val="en-US" w:eastAsia="zh-CN"/>
        </w:rPr>
        <w:t>合同签订后的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个月</w:t>
      </w:r>
      <w:r>
        <w:rPr>
          <w:rFonts w:hint="eastAsia" w:ascii="仿宋" w:hAnsi="仿宋" w:eastAsia="仿宋" w:cs="仿宋"/>
          <w:color w:val="000000"/>
          <w:sz w:val="24"/>
          <w:szCs w:val="24"/>
          <w:highlight w:val="none"/>
          <w:lang w:val="en-US" w:eastAsia="zh-CN"/>
        </w:rPr>
        <w:t>有效期内是可正常使用</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如</w:t>
      </w:r>
      <w:r>
        <w:rPr>
          <w:rFonts w:hint="eastAsia" w:ascii="仿宋" w:hAnsi="仿宋" w:eastAsia="仿宋" w:cs="仿宋"/>
          <w:color w:val="000000"/>
          <w:sz w:val="24"/>
          <w:szCs w:val="24"/>
          <w:highlight w:val="none"/>
          <w:u w:val="none"/>
          <w:lang w:val="en-US" w:eastAsia="zh-CN"/>
        </w:rPr>
        <w:t>因影院内部原因或外部其他不可控情况如疫情防控需要，电影券有效期自动延续或与甲方协商延续。</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不得无故终止供货和延期供货。</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应为本项目配置</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团队，提供本地化</w:t>
      </w:r>
      <w:r>
        <w:rPr>
          <w:rFonts w:hint="eastAsia" w:ascii="仿宋" w:hAnsi="仿宋" w:eastAsia="仿宋" w:cs="仿宋"/>
          <w:color w:val="000000"/>
          <w:sz w:val="24"/>
          <w:szCs w:val="24"/>
          <w:highlight w:val="none"/>
          <w:lang w:val="en-US" w:eastAsia="zh-CN"/>
        </w:rPr>
        <w:t>售后</w:t>
      </w:r>
      <w:r>
        <w:rPr>
          <w:rFonts w:hint="eastAsia" w:ascii="仿宋" w:hAnsi="仿宋" w:eastAsia="仿宋" w:cs="仿宋"/>
          <w:color w:val="000000"/>
          <w:sz w:val="24"/>
          <w:szCs w:val="24"/>
          <w:highlight w:val="none"/>
        </w:rPr>
        <w:t>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电影券可通兑使用的影院以乙方响应文件所列明细为准（广州市内不少于180家影院）。实际执行过程中如有不符，须报予甲方同意，否则按违约处理。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6.增值服务（如有）：</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7.电影券兑换方式：</w:t>
      </w:r>
      <w:r>
        <w:rPr>
          <w:rFonts w:hint="eastAsia" w:ascii="仿宋" w:hAnsi="仿宋" w:eastAsia="仿宋" w:cs="仿宋"/>
          <w:color w:val="000000"/>
          <w:sz w:val="24"/>
          <w:szCs w:val="24"/>
          <w:highlight w:val="none"/>
          <w:u w:val="single"/>
          <w:lang w:val="en-US" w:eastAsia="zh-CN"/>
        </w:rPr>
        <w:t xml:space="preserve">①前台兑换；②微信公众号或小程序购票；③……  </w:t>
      </w:r>
      <w:r>
        <w:rPr>
          <w:rFonts w:hint="eastAsia" w:ascii="仿宋" w:hAnsi="仿宋" w:eastAsia="仿宋" w:cs="仿宋"/>
          <w:color w:val="00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8.乙方提供设计精美的电影券图案，券面设计方案需经甲方审核确认。</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第三条 交货期、交货方式及交货地点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1.交货期：</w:t>
      </w:r>
      <w:r>
        <w:rPr>
          <w:rFonts w:hint="eastAsia" w:ascii="仿宋" w:hAnsi="仿宋" w:eastAsia="仿宋" w:cs="仿宋"/>
          <w:color w:val="000000"/>
          <w:sz w:val="24"/>
          <w:szCs w:val="24"/>
          <w:highlight w:val="none"/>
          <w:u w:val="single"/>
          <w:lang w:val="en-US" w:eastAsia="zh-CN"/>
        </w:rPr>
        <w:t>2024年  月  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完成送货至采购人指定的地点。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不得晚于2024年3月4日</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2.交货方式：一次性将电影票送到指定地点。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3.交货地点:</w:t>
      </w:r>
      <w:r>
        <w:rPr>
          <w:rFonts w:hint="eastAsia" w:ascii="仿宋" w:hAnsi="仿宋" w:eastAsia="仿宋" w:cs="仿宋"/>
          <w:color w:val="000000"/>
          <w:sz w:val="24"/>
          <w:szCs w:val="24"/>
          <w:highlight w:val="none"/>
          <w:lang w:val="en-US" w:eastAsia="zh-CN"/>
        </w:rPr>
        <w:t>中山大学孙逸仙纪念医院工会委员会。</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4.验收标准：应与响应时所承诺的商务、技术要求一致，并应符合国家有关规范和甲方的各项要求。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第四条 合同金额及付款方式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1.本合同暂定总金额为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万元。单张电影券金额为：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元/张，不随市场行情改动，实际结算费用以最终实际提供电影券数量为准。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2.付款方式：乙方按甲方的要求，将电影券送达甲方指定地点。货到验收合格后，凭收货单和发票15个工作日内由甲方工会委员会向乙方支付合同款项，最终以实际提供电影券数量为结算依据。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第五条 违约责任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1.乙方交付的货物、提供的服务不符合磋商文件、响应文件或本合同规定的，甲方有权拒收，并且乙方须向甲方支付本合同暂定总金额10%的违约金。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未能按本合同规定的交货时间交付货物的，从逾期之日起每日按本合同暂定总金额5‰的数额向甲方支付违约金；逾期15天以上（含15天）的，甲方有权终止合同，要求乙方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对于乙方产品和服务的有效投诉，经双方核实确认，甲方有权要求乙方予以补偿。有理投诉范围包括以下情况：影院无故不承认电影验证载体的有效性；乙方电影兑换平台的故障；因乙方未及时采取补救措施，导致甲方会员向乙方受理投诉后30分钟内仍无解决方案的；经合同双方及影院确认投诉属实的，均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有权对乙方提供电影券采购服务整个服务过程进行监督，如发现乙方有严重违约、违规行为，乙方应向甲方支付违约金，违约金标准为10000元/次，超过3次严重违约、违规行为的,甲方有权终止合同,乙方应向甲方支付合同暂定总金额10%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5.甲方无正当理由拒收货物，到期无故拒付货物款项的，甲方向乙方偿付本合同总价的5%的违约金。甲方无故逾期付款，则每日按本合同总价的3‰向乙方偿付违约金。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6.其它违约责任按《中华人民共和国民法典》处理。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第六条 不可抗力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第七条 争议解决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因履行本合同引起的争议，甲、乙双方应首先通过协商解决，协商无法解决的，双方同意提交甲方所在地人民法院以诉讼方式解决。</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第八条 附则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（一）本合同未尽事宜，可由甲乙双方协商一致后订立补充协议，补充协议与本合同具有同等的法律效力。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（二）本项目的成交通知书、响应文件、磋商文件与本合同具有同等的法律效力。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（三）本合同经双方法定代表人或授权代表签字并加盖公章后生效。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（四）本合同壹式  份，甲方持叁份，乙方持  份，每份均具同等法律效力。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工会委员会</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地址：广州市越秀区沿江西路107号         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2"/>
        <w:rPr>
          <w:rFonts w:hint="eastAsia" w:ascii="宋体" w:hAnsi="宋体" w:eastAsia="宋体" w:cs="宋体"/>
          <w:color w:val="000000"/>
          <w:sz w:val="22"/>
          <w:szCs w:val="18"/>
          <w:highlight w:val="none"/>
          <w:lang w:val="en-US" w:eastAsia="zh-CN"/>
        </w:rPr>
      </w:pPr>
    </w:p>
    <w:p>
      <w:pPr>
        <w:pStyle w:val="2"/>
        <w:rPr>
          <w:rFonts w:hint="eastAsia" w:ascii="宋体" w:hAnsi="宋体" w:eastAsia="宋体" w:cs="宋体"/>
          <w:color w:val="000000"/>
          <w:sz w:val="22"/>
          <w:szCs w:val="18"/>
          <w:highlight w:val="none"/>
          <w:lang w:val="en-US" w:eastAsia="zh-CN"/>
        </w:rPr>
      </w:pPr>
    </w:p>
    <w:p>
      <w:pPr>
        <w:pStyle w:val="11"/>
        <w:rPr>
          <w:sz w:val="20"/>
        </w:rPr>
      </w:pPr>
    </w:p>
    <w:p>
      <w:pPr>
        <w:spacing w:after="0"/>
        <w:jc w:val="center"/>
        <w:rPr>
          <w:rFonts w:ascii="Times New Roman"/>
          <w:sz w:val="18"/>
        </w:rPr>
        <w:sectPr>
          <w:pgSz w:w="11910" w:h="16840"/>
          <w:pgMar w:top="1060" w:right="1280" w:bottom="860" w:left="1300" w:header="720" w:footer="720" w:gutter="0"/>
          <w:cols w:space="720" w:num="1"/>
        </w:sect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7"/>
        <w:rPr>
          <w:rFonts w:hint="eastAsia"/>
          <w:color w:val="FF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lang w:val="en-US" w:eastAsia="zh-CN"/>
        </w:rPr>
        <w:t>为准。）</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7"/>
        <w:numPr>
          <w:ilvl w:val="0"/>
          <w:numId w:val="9"/>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凡关于磋商文件的所有响应资料（包含但不限于：承诺函、声明函等各类函件，资质证书等证明资料复印件，项目具体实施方案等)，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磋商邀请函</w:t>
      </w:r>
      <w:r>
        <w:rPr>
          <w:rFonts w:hint="eastAsia" w:ascii="黑体" w:hAnsi="黑体" w:eastAsia="黑体" w:cs="黑体"/>
          <w:color w:val="000000"/>
          <w:sz w:val="28"/>
          <w:szCs w:val="28"/>
          <w:highlight w:val="none"/>
        </w:rPr>
        <w:t>》中的联系方式，以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20" w:name="_Toc97049462"/>
      <w:bookmarkStart w:id="21"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（一）首次报价响应表…………………………………………………………第（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（二）二次报价响应表…………………………………………………………第（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7"/>
        <w:rPr>
          <w:rFonts w:hint="eastAsia" w:ascii="仿宋" w:hAnsi="仿宋" w:eastAsia="仿宋" w:cs="仿宋"/>
          <w:color w:val="000000"/>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firstLine="40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7"/>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0" w:leftChars="0" w:firstLine="0" w:firstLineChars="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pStyle w:val="27"/>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中山大学孙逸仙纪念医院工会委员会2024年电影券采购项目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采购</w:t>
            </w:r>
            <w:r>
              <w:rPr>
                <w:rFonts w:hint="eastAsia" w:ascii="黑体" w:hAnsi="黑体" w:eastAsia="黑体" w:cs="黑体"/>
                <w:b/>
                <w:bCs/>
                <w:color w:val="000000"/>
                <w:sz w:val="24"/>
                <w:szCs w:val="24"/>
              </w:rPr>
              <w:t>服务</w:t>
            </w:r>
            <w:r>
              <w:rPr>
                <w:rFonts w:hint="eastAsia" w:ascii="黑体" w:hAnsi="黑体" w:eastAsia="黑体" w:cs="黑体"/>
                <w:b/>
                <w:color w:val="000000"/>
                <w:sz w:val="24"/>
                <w:szCs w:val="24"/>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交货时间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rPr>
            </w:pPr>
            <w:r>
              <w:rPr>
                <w:rFonts w:hint="eastAsia" w:ascii="黑体" w:hAnsi="黑体" w:eastAsia="黑体" w:cs="黑体"/>
                <w:color w:val="000000"/>
                <w:sz w:val="24"/>
                <w:szCs w:val="24"/>
              </w:rPr>
              <w:t>工会委员会电影券</w:t>
            </w:r>
          </w:p>
        </w:tc>
        <w:tc>
          <w:tcPr>
            <w:tcW w:w="1936" w:type="dxa"/>
            <w:noWrap w:val="0"/>
            <w:vAlign w:val="center"/>
          </w:tcPr>
          <w:p>
            <w:pPr>
              <w:pStyle w:val="38"/>
              <w:keepLines w:val="0"/>
              <w:suppressLineNumbers w:val="0"/>
              <w:spacing w:before="0" w:beforeAutospacing="0" w:after="0" w:afterAutospacing="0" w:line="240" w:lineRule="auto"/>
              <w:ind w:left="0" w:right="0"/>
              <w:rPr>
                <w:rFonts w:hint="eastAsia" w:ascii="黑体" w:hAnsi="黑体" w:eastAsia="黑体" w:cs="黑体"/>
                <w:snapToGrid/>
                <w:color w:val="000000"/>
                <w:spacing w:val="0"/>
                <w:kern w:val="2"/>
                <w:sz w:val="24"/>
                <w:szCs w:val="24"/>
              </w:rPr>
            </w:pPr>
            <w:r>
              <w:rPr>
                <w:rFonts w:hint="eastAsia" w:ascii="黑体" w:hAnsi="黑体" w:eastAsia="黑体" w:cs="黑体"/>
                <w:snapToGrid/>
                <w:color w:val="000000"/>
                <w:spacing w:val="0"/>
                <w:kern w:val="2"/>
                <w:sz w:val="24"/>
                <w:szCs w:val="24"/>
              </w:rPr>
              <w:t>26700张</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1809" w:type="dxa"/>
            <w:noWrap w:val="0"/>
            <w:vAlign w:val="center"/>
          </w:tcPr>
          <w:p>
            <w:pPr>
              <w:keepNext w:val="0"/>
              <w:keepLines w:val="0"/>
              <w:suppressLineNumbers w:val="0"/>
              <w:spacing w:before="0" w:beforeAutospacing="0" w:after="0" w:afterAutospacing="0"/>
              <w:ind w:left="0" w:right="0"/>
              <w:jc w:val="both"/>
              <w:rPr>
                <w:rFonts w:hint="eastAsia" w:ascii="黑体" w:hAnsi="黑体" w:eastAsia="黑体" w:cs="黑体"/>
                <w:color w:val="000000"/>
                <w:sz w:val="24"/>
                <w:szCs w:val="24"/>
              </w:rPr>
            </w:pP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rPr>
            </w:pPr>
            <w:r>
              <w:rPr>
                <w:rFonts w:hint="eastAsia" w:ascii="黑体" w:hAnsi="黑体" w:eastAsia="黑体" w:cs="黑体"/>
                <w:color w:val="000000"/>
                <w:sz w:val="24"/>
                <w:szCs w:val="24"/>
              </w:rPr>
              <w:t>小写：¥           元</w:t>
            </w:r>
          </w:p>
        </w:tc>
      </w:tr>
    </w:tbl>
    <w:p>
      <w:pPr>
        <w:pStyle w:val="11"/>
        <w:spacing w:line="360" w:lineRule="auto"/>
        <w:jc w:val="left"/>
        <w:outlineLvl w:val="1"/>
        <w:rPr>
          <w:rFonts w:ascii="宋体" w:hAnsi="宋体" w:cs="宋体"/>
          <w:bCs/>
          <w:color w:val="000000"/>
          <w:sz w:val="10"/>
          <w:szCs w:val="21"/>
          <w:highlight w:val="none"/>
        </w:rPr>
      </w:pPr>
    </w:p>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27"/>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最终结算金额=成交单价*实际提供电影券数量</w:t>
      </w:r>
      <w:r>
        <w:rPr>
          <w:rFonts w:hint="eastAsia" w:ascii="仿宋" w:hAnsi="仿宋" w:eastAsia="仿宋" w:cs="仿宋"/>
          <w:color w:val="auto"/>
          <w:sz w:val="21"/>
          <w:szCs w:val="21"/>
          <w:highlight w:val="none"/>
          <w:lang w:eastAsia="zh-CN"/>
        </w:rPr>
        <w:t>。</w:t>
      </w:r>
    </w:p>
    <w:p>
      <w:pPr>
        <w:pStyle w:val="27"/>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4、所响应的电影券必须确保使用时每张电影券可观看1场电影(不限影院、时间、场次等)，不收取任何其它费用，包括手续费和差价。</w:t>
      </w:r>
    </w:p>
    <w:p>
      <w:pPr>
        <w:pStyle w:val="27"/>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此表是响应文件的必要组成文件。</w:t>
      </w:r>
    </w:p>
    <w:p>
      <w:pPr>
        <w:pStyle w:val="27"/>
        <w:rPr>
          <w:rFonts w:hint="eastAsia" w:ascii="仿宋" w:hAnsi="仿宋" w:eastAsia="仿宋" w:cs="仿宋"/>
          <w:color w:val="000000"/>
          <w:highlight w:val="none"/>
        </w:rPr>
      </w:pP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w:t>
      </w:r>
      <w:r>
        <w:rPr>
          <w:rFonts w:hint="eastAsia" w:ascii="仿宋" w:hAnsi="仿宋" w:eastAsia="仿宋" w:cs="仿宋"/>
          <w:b/>
          <w:color w:val="auto"/>
          <w:sz w:val="30"/>
          <w:szCs w:val="30"/>
          <w:highlight w:val="none"/>
          <w:lang w:eastAsia="zh-CN"/>
        </w:rPr>
        <w:t>磋商后再交）</w:t>
      </w:r>
    </w:p>
    <w:p>
      <w:pPr>
        <w:pStyle w:val="27"/>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中山大学孙逸仙纪念医院工会委员会2024年度春节慰问品采购项目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p>
      <w:pPr>
        <w:pStyle w:val="2"/>
        <w:rPr>
          <w:rFonts w:hint="eastAsi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采购</w:t>
            </w:r>
            <w:r>
              <w:rPr>
                <w:rFonts w:hint="eastAsia" w:ascii="黑体" w:hAnsi="黑体" w:eastAsia="黑体" w:cs="黑体"/>
                <w:b/>
                <w:bCs/>
                <w:color w:val="000000"/>
                <w:sz w:val="24"/>
                <w:szCs w:val="24"/>
              </w:rPr>
              <w:t>服务</w:t>
            </w:r>
            <w:r>
              <w:rPr>
                <w:rFonts w:hint="eastAsia" w:ascii="黑体" w:hAnsi="黑体" w:eastAsia="黑体" w:cs="黑体"/>
                <w:b/>
                <w:color w:val="000000"/>
                <w:sz w:val="24"/>
                <w:szCs w:val="24"/>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交货时间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rPr>
            </w:pPr>
            <w:r>
              <w:rPr>
                <w:rFonts w:hint="eastAsia" w:ascii="黑体" w:hAnsi="黑体" w:eastAsia="黑体" w:cs="黑体"/>
                <w:color w:val="000000"/>
                <w:sz w:val="24"/>
                <w:szCs w:val="24"/>
              </w:rPr>
              <w:t>工会委员会电影券</w:t>
            </w:r>
          </w:p>
        </w:tc>
        <w:tc>
          <w:tcPr>
            <w:tcW w:w="1936" w:type="dxa"/>
            <w:noWrap w:val="0"/>
            <w:vAlign w:val="center"/>
          </w:tcPr>
          <w:p>
            <w:pPr>
              <w:pStyle w:val="38"/>
              <w:keepLines w:val="0"/>
              <w:suppressLineNumbers w:val="0"/>
              <w:spacing w:before="0" w:beforeAutospacing="0" w:after="0" w:afterAutospacing="0" w:line="240" w:lineRule="auto"/>
              <w:ind w:left="0" w:right="0"/>
              <w:rPr>
                <w:rFonts w:hint="eastAsia" w:ascii="黑体" w:hAnsi="黑体" w:eastAsia="黑体" w:cs="黑体"/>
                <w:snapToGrid/>
                <w:color w:val="000000"/>
                <w:spacing w:val="0"/>
                <w:kern w:val="2"/>
                <w:sz w:val="24"/>
                <w:szCs w:val="24"/>
              </w:rPr>
            </w:pPr>
            <w:r>
              <w:rPr>
                <w:rFonts w:hint="eastAsia" w:ascii="黑体" w:hAnsi="黑体" w:eastAsia="黑体" w:cs="黑体"/>
                <w:snapToGrid/>
                <w:color w:val="000000"/>
                <w:spacing w:val="0"/>
                <w:kern w:val="2"/>
                <w:sz w:val="24"/>
                <w:szCs w:val="24"/>
              </w:rPr>
              <w:t>26700张</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1809" w:type="dxa"/>
            <w:noWrap w:val="0"/>
            <w:vAlign w:val="center"/>
          </w:tcPr>
          <w:p>
            <w:pPr>
              <w:keepNext w:val="0"/>
              <w:keepLines w:val="0"/>
              <w:suppressLineNumbers w:val="0"/>
              <w:spacing w:before="0" w:beforeAutospacing="0" w:after="0" w:afterAutospacing="0"/>
              <w:ind w:left="0" w:right="0"/>
              <w:jc w:val="both"/>
              <w:rPr>
                <w:rFonts w:hint="eastAsia" w:ascii="黑体" w:hAnsi="黑体" w:eastAsia="黑体" w:cs="黑体"/>
                <w:color w:val="000000"/>
                <w:sz w:val="24"/>
                <w:szCs w:val="24"/>
              </w:rPr>
            </w:pP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rPr>
            </w:pPr>
            <w:r>
              <w:rPr>
                <w:rFonts w:hint="eastAsia" w:ascii="黑体" w:hAnsi="黑体" w:eastAsia="黑体" w:cs="黑体"/>
                <w:color w:val="000000"/>
                <w:sz w:val="24"/>
                <w:szCs w:val="24"/>
              </w:rPr>
              <w:t>小写：¥           元</w:t>
            </w:r>
          </w:p>
        </w:tc>
      </w:tr>
    </w:tbl>
    <w:p>
      <w:pPr>
        <w:pStyle w:val="2"/>
        <w:rPr>
          <w:rFonts w:hint="eastAsia" w:ascii="微软雅黑" w:hAnsi="微软雅黑" w:eastAsia="微软雅黑" w:cs="微软雅黑"/>
          <w:sz w:val="24"/>
          <w:szCs w:val="24"/>
        </w:rPr>
      </w:pPr>
    </w:p>
    <w:p>
      <w:pPr>
        <w:pStyle w:val="27"/>
        <w:rPr>
          <w:rFonts w:hint="eastAsia" w:ascii="仿宋" w:hAnsi="仿宋" w:eastAsia="仿宋" w:cs="仿宋"/>
          <w:color w:val="000000"/>
          <w:sz w:val="21"/>
          <w:szCs w:val="21"/>
          <w:highlight w:val="none"/>
        </w:rPr>
      </w:pP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27"/>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最终结算金额=成交单价*实际提供电影券数量</w:t>
      </w:r>
      <w:r>
        <w:rPr>
          <w:rFonts w:hint="eastAsia" w:ascii="仿宋" w:hAnsi="仿宋" w:eastAsia="仿宋" w:cs="仿宋"/>
          <w:color w:val="auto"/>
          <w:sz w:val="21"/>
          <w:szCs w:val="21"/>
          <w:highlight w:val="none"/>
          <w:lang w:eastAsia="zh-CN"/>
        </w:rPr>
        <w:t>。</w:t>
      </w:r>
    </w:p>
    <w:p>
      <w:pPr>
        <w:pStyle w:val="27"/>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4、所响应的电影券必须确保使用时每张电影券可观看1场电影(不限影院、时间、场次等)，不收取任何其它费用，包括手续费和差价。</w:t>
      </w:r>
    </w:p>
    <w:p>
      <w:pPr>
        <w:pStyle w:val="27"/>
        <w:rPr>
          <w:rFonts w:hint="eastAsia" w:ascii="仿宋" w:hAnsi="仿宋" w:eastAsia="仿宋" w:cs="仿宋"/>
          <w:b/>
          <w:bCs/>
          <w:color w:val="FF0000"/>
          <w:highlight w:val="yellow"/>
        </w:rPr>
      </w:pPr>
      <w:r>
        <w:rPr>
          <w:rFonts w:hint="eastAsia" w:ascii="仿宋" w:hAnsi="仿宋" w:eastAsia="仿宋" w:cs="仿宋"/>
          <w:b/>
          <w:bCs/>
          <w:color w:val="FF0000"/>
          <w:sz w:val="21"/>
          <w:szCs w:val="21"/>
          <w:highlight w:val="yellow"/>
          <w:lang w:val="en-US" w:eastAsia="zh-CN"/>
        </w:rPr>
        <w:t>5、</w:t>
      </w:r>
      <w:r>
        <w:rPr>
          <w:rFonts w:hint="eastAsia" w:ascii="仿宋" w:hAnsi="仿宋" w:eastAsia="仿宋" w:cs="仿宋"/>
          <w:b/>
          <w:bCs/>
          <w:color w:val="FF0000"/>
          <w:sz w:val="21"/>
          <w:szCs w:val="21"/>
          <w:highlight w:val="yellow"/>
        </w:rPr>
        <w:t>此表无需密封在响应文件中，可准备盖好公章的空白表格，在磋商评审当天提交。</w:t>
      </w: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hint="eastAsia" w:ascii="微软雅黑" w:hAnsi="微软雅黑" w:eastAsia="微软雅黑" w:cs="微软雅黑"/>
          <w:sz w:val="24"/>
          <w:szCs w:val="24"/>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磋商文件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7"/>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磋商文件时另外单独提供一份盖章签字版的承诺书。若未单独提供，可能影响对响应文件的评价，但不作为一票否决的条款。</w:t>
      </w:r>
    </w:p>
    <w:p>
      <w:pPr>
        <w:pStyle w:val="27"/>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7"/>
        <w:ind w:left="0" w:leftChars="0" w:firstLine="0" w:firstLineChars="0"/>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项目名称：中山大学孙逸仙纪念医院</w:t>
      </w:r>
      <w:r>
        <w:rPr>
          <w:rFonts w:hint="eastAsia" w:ascii="仿宋" w:hAnsi="仿宋" w:eastAsia="仿宋" w:cs="仿宋"/>
          <w:sz w:val="24"/>
          <w:szCs w:val="24"/>
          <w:highlight w:val="none"/>
          <w:lang w:eastAsia="zh-CN"/>
        </w:rPr>
        <w:t>工会委员会2024年电影券采购项目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磋商文件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①响应报价未超过本项目最高限价，单价也未超过单价最高限价。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不得改动本磋商文件中已明确要求不得擅自删改的部分，以及遵守磋商文件中已列明必须遵照执行否则按无效响应处理的各类要求。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磋商文件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7"/>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)的磋商邀请，我方代表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1、同意并接受磋商文件的各项要求，遵守磋商文件中的各项规定，按磋商文件的要求提供报价。</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4、如果我单位成交，我方将保证按照院方认可的条件，以本磋商文件内写明的金额、方式和时间要求提交履约保证金（如有）。</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6、我方承诺能够完全对磋商文件所有带“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（1）★保证每张电影券可观看1场电影(不限影院、时间、场次等)，不收取任何其它费用，包括手续费和差价。</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（2）★保证可在广州市内至少180家影院观看电影。</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（3）★不会因市场价格变化等其他原因影响向院方提供服务的质量,因市场经济而引起的价格风险由我单位自行承担。</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（4）★保证兑换方式至少包含“前台兑换”和“微信公众号或小程序在线购票”两种方式。</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（5）★保证电影券有效期≥2年，因影院内部原因或外部其他不可控情况如疫情防控需要，有效期自动延续或与院方协商延续。</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（6）★保证2024年3月4日前完成送货至院方指定的地点。</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781"/>
        <w:gridCol w:w="21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具有有效的质量管理体系认证证书，得3分。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供应商自2021年1月1日（以合同签订时间为准）以来，具有类似项目团体供货业绩的，每一项业绩得2分，满分6分。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供应商自2021年1月1日（以合同签订时间为准）以来具有同类项目业绩并经服务单位考核评价为优或满意的，每提供1项得2分，本项最高得4分。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经验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如提供履约评价的采购合同未被评审指标中“经验业绩”认可，则该履约评价无效。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根据供应商所提供的电影券有效期进行评分：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（1）电影券有效期为3年，得3分；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（2）电影券有效期为3年（不含）以上，得6分。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注：提供相关承诺并加盖公章。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电影券能在广州市内所有辖区可兑换的影院名单和数量：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影院数量≥250家，得8分；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220家≤影院数量＜250家，得5分；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180家≤影院数量＜220家，得2分；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其余情况不得分。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注：需同时提供可通兑的影院名单和数量，否则不得分。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w:t>
      </w:r>
      <w:r>
        <w:rPr>
          <w:rFonts w:hint="eastAsia" w:ascii="仿宋" w:hAnsi="仿宋" w:eastAsia="仿宋" w:cs="仿宋"/>
          <w:sz w:val="21"/>
          <w:szCs w:val="21"/>
          <w:highlight w:val="none"/>
          <w:lang w:val="en-US" w:eastAsia="zh-CN"/>
        </w:rPr>
        <w:t>采购人失信供应商名单</w:t>
      </w:r>
      <w:r>
        <w:rPr>
          <w:rFonts w:hint="eastAsia" w:ascii="仿宋" w:hAnsi="仿宋" w:eastAsia="仿宋" w:cs="仿宋"/>
          <w:sz w:val="21"/>
          <w:szCs w:val="21"/>
          <w:highlight w:val="none"/>
          <w:lang w:val="en-US"/>
        </w:rPr>
        <w:t>。</w:t>
      </w:r>
    </w:p>
    <w:p>
      <w:pPr>
        <w:pStyle w:val="27"/>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rPr>
          <w:rFonts w:hint="eastAsia" w:ascii="宋体" w:hAnsi="宋体" w:cs="华文仿宋"/>
          <w:b/>
          <w:bCs/>
          <w:sz w:val="36"/>
          <w:szCs w:val="36"/>
          <w:highlight w:val="none"/>
          <w:lang w:eastAsia="zh-CN"/>
        </w:rPr>
      </w:pPr>
    </w:p>
    <w:p>
      <w:pPr>
        <w:pStyle w:val="12"/>
        <w:rPr>
          <w:rFonts w:hint="eastAsia"/>
          <w:lang w:eastAsia="zh-CN"/>
        </w:rPr>
      </w:pPr>
    </w:p>
    <w:p>
      <w:pPr>
        <w:pStyle w:val="12"/>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7"/>
        <w:rPr>
          <w:rFonts w:hint="eastAsia" w:ascii="仿宋" w:hAnsi="仿宋" w:eastAsia="仿宋" w:cs="仿宋"/>
          <w:highlight w:val="none"/>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w:t>
      </w:r>
      <w:r>
        <w:rPr>
          <w:rFonts w:hint="eastAsia" w:ascii="仿宋" w:hAnsi="仿宋" w:eastAsia="仿宋" w:cs="仿宋"/>
          <w:b/>
          <w:bCs w:val="0"/>
          <w:sz w:val="22"/>
          <w:szCs w:val="22"/>
          <w:highlight w:val="none"/>
          <w:lang w:val="en-US" w:eastAsia="zh-CN"/>
        </w:rPr>
        <w:t>（如有）</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2"/>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2"/>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4、经验业绩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2"/>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2"/>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w:t>
      </w:r>
      <w:r>
        <w:rPr>
          <w:rFonts w:hint="eastAsia" w:ascii="仿宋" w:hAnsi="仿宋" w:eastAsia="仿宋" w:cs="仿宋"/>
          <w:sz w:val="21"/>
          <w:szCs w:val="21"/>
          <w:highlight w:val="none"/>
          <w:lang w:eastAsia="zh-CN"/>
        </w:rPr>
        <w:t>自2020年1月1日（以合同签订时间为准）以来，具有类似项目团体供货业绩</w:t>
      </w:r>
      <w:r>
        <w:rPr>
          <w:rFonts w:hint="eastAsia" w:ascii="仿宋" w:hAnsi="仿宋" w:eastAsia="仿宋" w:cs="仿宋"/>
          <w:sz w:val="21"/>
          <w:szCs w:val="21"/>
          <w:highlight w:val="none"/>
          <w:lang w:val="en-US" w:eastAsia="zh-CN"/>
        </w:rPr>
        <w:t>进行评分</w:t>
      </w:r>
      <w:r>
        <w:rPr>
          <w:rFonts w:hint="eastAsia" w:ascii="仿宋" w:hAnsi="仿宋" w:eastAsia="仿宋" w:cs="仿宋"/>
          <w:sz w:val="21"/>
          <w:szCs w:val="21"/>
          <w:highlight w:val="none"/>
          <w:lang w:eastAsia="zh-CN"/>
        </w:rPr>
        <w:t>，每一项业绩得3分，满分9分。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6、电影票兑换有效期限</w:t>
      </w:r>
      <w:r>
        <w:rPr>
          <w:rFonts w:hint="eastAsia" w:ascii="仿宋" w:hAnsi="仿宋" w:eastAsia="仿宋" w:cs="仿宋"/>
          <w:b/>
          <w:bCs w:val="0"/>
          <w:sz w:val="22"/>
          <w:szCs w:val="22"/>
          <w:highlight w:val="none"/>
          <w:lang w:val="en-US" w:eastAsia="zh-CN"/>
        </w:rPr>
        <w:t>（如有）</w:t>
      </w:r>
    </w:p>
    <w:p>
      <w:pPr>
        <w:pStyle w:val="11"/>
        <w:tabs>
          <w:tab w:val="left" w:pos="9700"/>
        </w:tabs>
        <w:spacing w:line="364" w:lineRule="auto"/>
        <w:ind w:right="86" w:rightChars="0"/>
        <w:jc w:val="center"/>
        <w:rPr>
          <w:rFonts w:hint="eastAsia" w:ascii="仿宋" w:hAnsi="仿宋" w:eastAsia="仿宋" w:cs="仿宋"/>
          <w:sz w:val="20"/>
          <w:szCs w:val="20"/>
        </w:rPr>
      </w:pPr>
      <w:r>
        <w:rPr>
          <w:rFonts w:hint="eastAsia" w:ascii="仿宋" w:hAnsi="仿宋" w:eastAsia="仿宋" w:cs="仿宋"/>
          <w:sz w:val="20"/>
          <w:szCs w:val="20"/>
        </w:rPr>
        <w:t>（格式自拟，但必须包含以下文字，否则不予计分）</w:t>
      </w:r>
    </w:p>
    <w:p>
      <w:pPr>
        <w:pStyle w:val="11"/>
        <w:spacing w:line="364" w:lineRule="auto"/>
        <w:ind w:right="706" w:rightChars="0"/>
        <w:rPr>
          <w:rFonts w:hint="eastAsia" w:ascii="仿宋" w:hAnsi="仿宋" w:eastAsia="仿宋" w:cs="仿宋"/>
        </w:rPr>
      </w:pPr>
    </w:p>
    <w:p>
      <w:pPr>
        <w:pStyle w:val="11"/>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p>
    <w:p>
      <w:pPr>
        <w:pStyle w:val="11"/>
        <w:spacing w:line="364" w:lineRule="auto"/>
        <w:ind w:right="706" w:rightChars="0" w:firstLine="560" w:firstLineChars="200"/>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eastAsia="zh-CN"/>
        </w:rPr>
        <w:t>工会委员会2024年电影券采购项目</w:t>
      </w:r>
      <w:r>
        <w:rPr>
          <w:rFonts w:hint="eastAsia" w:ascii="仿宋" w:hAnsi="仿宋" w:eastAsia="仿宋" w:cs="仿宋"/>
          <w:sz w:val="28"/>
          <w:szCs w:val="28"/>
        </w:rPr>
        <w:t>所供货物在</w:t>
      </w:r>
      <w:r>
        <w:rPr>
          <w:rFonts w:hint="eastAsia" w:ascii="仿宋" w:hAnsi="仿宋" w:eastAsia="仿宋" w:cs="仿宋"/>
          <w:sz w:val="28"/>
          <w:szCs w:val="28"/>
          <w:lang w:val="en-US" w:eastAsia="zh-CN"/>
        </w:rPr>
        <w:t>磋商</w:t>
      </w:r>
      <w:r>
        <w:rPr>
          <w:rFonts w:hint="eastAsia" w:ascii="仿宋" w:hAnsi="仿宋" w:eastAsia="仿宋" w:cs="仿宋"/>
          <w:sz w:val="28"/>
          <w:szCs w:val="28"/>
        </w:rPr>
        <w:t>文件已要求的电影券有效期2年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24个月</w:t>
      </w:r>
      <w:r>
        <w:rPr>
          <w:rFonts w:hint="eastAsia" w:ascii="仿宋" w:hAnsi="仿宋" w:eastAsia="仿宋" w:cs="仿宋"/>
          <w:sz w:val="28"/>
          <w:szCs w:val="28"/>
          <w:lang w:eastAsia="zh-CN"/>
        </w:rPr>
        <w:t>）</w:t>
      </w:r>
      <w:r>
        <w:rPr>
          <w:rFonts w:hint="eastAsia" w:ascii="仿宋" w:hAnsi="仿宋" w:eastAsia="仿宋" w:cs="仿宋"/>
          <w:sz w:val="28"/>
          <w:szCs w:val="28"/>
        </w:rPr>
        <w:t>的基础上，额外提供</w:t>
      </w:r>
      <w:r>
        <w:rPr>
          <w:rFonts w:hint="eastAsia" w:ascii="仿宋" w:hAnsi="仿宋" w:eastAsia="仿宋" w:cs="仿宋"/>
          <w:sz w:val="28"/>
          <w:szCs w:val="28"/>
          <w:lang w:val="en-US" w:eastAsia="zh-CN"/>
        </w:rPr>
        <w:t>无条件延长电影券有效期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个月的服务，即电影券最终兑换有效期限为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w:t>
      </w:r>
      <w:r>
        <w:rPr>
          <w:rFonts w:hint="eastAsia" w:ascii="仿宋" w:hAnsi="仿宋" w:eastAsia="仿宋" w:cs="仿宋"/>
          <w:sz w:val="28"/>
          <w:szCs w:val="28"/>
        </w:rPr>
        <w:t>。</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0"/>
        </w:numPr>
        <w:jc w:val="both"/>
        <w:rPr>
          <w:rFonts w:hint="eastAsia" w:ascii="仿宋" w:hAnsi="仿宋" w:eastAsia="仿宋" w:cs="仿宋"/>
          <w:b/>
          <w:bCs/>
          <w:color w:val="auto"/>
          <w:sz w:val="21"/>
          <w:szCs w:val="21"/>
          <w:lang w:val="en-GB"/>
        </w:rPr>
      </w:pPr>
      <w:r>
        <w:rPr>
          <w:rFonts w:hint="eastAsia" w:ascii="仿宋" w:hAnsi="仿宋" w:eastAsia="仿宋" w:cs="仿宋"/>
          <w:b/>
          <w:bCs/>
          <w:sz w:val="21"/>
          <w:szCs w:val="21"/>
        </w:rPr>
        <w:t>供应商须如实填写</w:t>
      </w:r>
      <w:r>
        <w:rPr>
          <w:rFonts w:hint="eastAsia" w:ascii="仿宋" w:hAnsi="仿宋" w:eastAsia="仿宋" w:cs="仿宋"/>
          <w:b/>
          <w:bCs/>
          <w:color w:val="auto"/>
          <w:sz w:val="21"/>
          <w:szCs w:val="21"/>
          <w:lang w:val="en-GB"/>
        </w:rPr>
        <w:t>，不得弄虚作假</w:t>
      </w:r>
      <w:r>
        <w:rPr>
          <w:rFonts w:hint="eastAsia" w:ascii="仿宋" w:hAnsi="仿宋" w:eastAsia="仿宋" w:cs="仿宋"/>
          <w:b/>
          <w:bCs/>
          <w:color w:val="auto"/>
          <w:sz w:val="21"/>
          <w:szCs w:val="21"/>
          <w:lang w:val="en-GB" w:eastAsia="zh-CN"/>
        </w:rPr>
        <w:t>，</w:t>
      </w:r>
      <w:r>
        <w:rPr>
          <w:rFonts w:hint="eastAsia" w:ascii="仿宋" w:hAnsi="仿宋" w:eastAsia="仿宋" w:cs="仿宋"/>
          <w:b/>
          <w:bCs/>
          <w:color w:val="auto"/>
          <w:sz w:val="21"/>
          <w:szCs w:val="21"/>
          <w:lang w:val="en-US" w:eastAsia="zh-CN"/>
        </w:rPr>
        <w:t>本承诺函将作为合同签订的重要依据，</w:t>
      </w:r>
      <w:r>
        <w:rPr>
          <w:rFonts w:hint="eastAsia" w:ascii="仿宋" w:hAnsi="仿宋" w:eastAsia="仿宋" w:cs="仿宋"/>
          <w:b/>
          <w:bCs/>
          <w:color w:val="FF0000"/>
          <w:sz w:val="21"/>
          <w:szCs w:val="21"/>
          <w:lang w:val="en-US" w:eastAsia="zh-CN"/>
        </w:rPr>
        <w:t>如有不符按违约处理</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11"/>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7、电影券通兑便利情况</w:t>
      </w:r>
      <w:r>
        <w:rPr>
          <w:rFonts w:hint="eastAsia" w:ascii="仿宋" w:hAnsi="仿宋" w:eastAsia="仿宋" w:cs="仿宋"/>
          <w:b/>
          <w:bCs w:val="0"/>
          <w:sz w:val="22"/>
          <w:szCs w:val="22"/>
          <w:highlight w:val="none"/>
          <w:lang w:val="en-US" w:eastAsia="zh-CN"/>
        </w:rPr>
        <w:t>（如有）</w:t>
      </w:r>
    </w:p>
    <w:p>
      <w:pPr>
        <w:pStyle w:val="11"/>
        <w:spacing w:line="364" w:lineRule="auto"/>
        <w:ind w:right="706" w:rightChars="0"/>
        <w:rPr>
          <w:rFonts w:hint="eastAsia" w:ascii="仿宋" w:hAnsi="仿宋" w:eastAsia="仿宋" w:cs="仿宋"/>
          <w:sz w:val="28"/>
          <w:szCs w:val="40"/>
          <w:lang w:val="en-US" w:eastAsia="zh-CN"/>
        </w:rPr>
      </w:pPr>
      <w:r>
        <w:rPr>
          <w:rFonts w:hint="eastAsia" w:ascii="仿宋" w:hAnsi="仿宋" w:eastAsia="仿宋" w:cs="仿宋"/>
          <w:sz w:val="28"/>
          <w:szCs w:val="28"/>
        </w:rPr>
        <w:t>采购项目名称：中山大学孙逸仙纪念医院</w:t>
      </w:r>
      <w:r>
        <w:rPr>
          <w:rFonts w:hint="eastAsia" w:ascii="仿宋" w:hAnsi="仿宋" w:eastAsia="仿宋" w:cs="仿宋"/>
          <w:sz w:val="28"/>
          <w:szCs w:val="28"/>
          <w:lang w:eastAsia="zh-CN"/>
        </w:rPr>
        <w:t>工会委员会2024年电影券采购项目</w:t>
      </w:r>
    </w:p>
    <w:p>
      <w:pPr>
        <w:pStyle w:val="11"/>
        <w:spacing w:line="364" w:lineRule="auto"/>
        <w:ind w:right="706" w:rightChars="0" w:firstLine="720" w:firstLineChars="300"/>
        <w:rPr>
          <w:rFonts w:hint="eastAsia" w:ascii="仿宋" w:hAnsi="仿宋" w:eastAsia="仿宋" w:cs="仿宋"/>
          <w:lang w:eastAsia="zh-CN"/>
        </w:rPr>
      </w:pPr>
      <w:r>
        <w:rPr>
          <w:rFonts w:hint="eastAsia" w:ascii="仿宋" w:hAnsi="仿宋" w:eastAsia="仿宋" w:cs="仿宋"/>
          <w:lang w:val="en-US" w:eastAsia="zh-CN"/>
        </w:rPr>
        <w:t>我司承诺所响应的</w:t>
      </w:r>
      <w:r>
        <w:rPr>
          <w:rFonts w:hint="eastAsia" w:ascii="仿宋" w:hAnsi="仿宋" w:eastAsia="仿宋" w:cs="仿宋"/>
          <w:lang w:eastAsia="zh-CN"/>
        </w:rPr>
        <w:t>电影券能在广州市内所有辖区可兑换的影院名单和数量</w:t>
      </w:r>
      <w:r>
        <w:rPr>
          <w:rFonts w:hint="eastAsia" w:ascii="仿宋" w:hAnsi="仿宋" w:eastAsia="仿宋" w:cs="仿宋"/>
          <w:lang w:val="en-US" w:eastAsia="zh-CN"/>
        </w:rPr>
        <w:t>如下</w:t>
      </w:r>
      <w:r>
        <w:rPr>
          <w:rFonts w:hint="eastAsia" w:ascii="仿宋" w:hAnsi="仿宋" w:eastAsia="仿宋" w:cs="仿宋"/>
          <w:lang w:eastAsia="zh-CN"/>
        </w:rPr>
        <w:t>：</w:t>
      </w:r>
    </w:p>
    <w:tbl>
      <w:tblPr>
        <w:tblStyle w:val="22"/>
        <w:tblW w:w="831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532"/>
        <w:gridCol w:w="1765"/>
        <w:gridCol w:w="1522"/>
        <w:gridCol w:w="1486"/>
        <w:gridCol w:w="12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532" w:type="dxa"/>
            <w:tcBorders>
              <w:top w:val="single" w:color="auto" w:sz="12" w:space="0"/>
              <w:left w:val="single" w:color="auto" w:sz="2" w:space="0"/>
              <w:bottom w:val="single" w:color="auto" w:sz="2" w:space="0"/>
              <w:right w:val="single" w:color="auto" w:sz="2" w:space="0"/>
            </w:tcBorders>
            <w:vAlign w:val="center"/>
          </w:tcPr>
          <w:p>
            <w:pPr>
              <w:pStyle w:val="38"/>
              <w:keepNext w:val="0"/>
              <w:keepLines w:val="0"/>
              <w:suppressLineNumbers w:val="0"/>
              <w:adjustRightInd/>
              <w:spacing w:before="0" w:beforeAutospacing="0" w:after="0" w:afterAutospacing="0" w:line="360" w:lineRule="auto"/>
              <w:ind w:left="0" w:right="0"/>
              <w:jc w:val="center"/>
              <w:rPr>
                <w:rFonts w:hint="default" w:ascii="仿宋" w:hAnsi="仿宋" w:eastAsia="仿宋" w:cs="仿宋"/>
                <w:spacing w:val="0"/>
                <w:kern w:val="2"/>
                <w:sz w:val="21"/>
                <w:szCs w:val="24"/>
                <w:lang w:val="en-US" w:eastAsia="zh-CN"/>
              </w:rPr>
            </w:pPr>
            <w:r>
              <w:rPr>
                <w:rFonts w:hint="eastAsia" w:ascii="仿宋" w:hAnsi="仿宋" w:eastAsia="仿宋" w:cs="仿宋"/>
                <w:spacing w:val="0"/>
                <w:kern w:val="2"/>
                <w:sz w:val="21"/>
                <w:szCs w:val="24"/>
                <w:lang w:val="en-US" w:eastAsia="zh-CN"/>
              </w:rPr>
              <w:t>影院名称</w:t>
            </w:r>
          </w:p>
        </w:tc>
        <w:tc>
          <w:tcPr>
            <w:tcW w:w="1765"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广州市所属辖区</w:t>
            </w:r>
          </w:p>
        </w:tc>
        <w:tc>
          <w:tcPr>
            <w:tcW w:w="1522"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spacing w:val="0"/>
                <w:kern w:val="2"/>
                <w:sz w:val="21"/>
                <w:szCs w:val="24"/>
                <w:lang w:val="en-US" w:eastAsia="zh-CN"/>
              </w:rPr>
              <w:t>具体</w:t>
            </w:r>
            <w:r>
              <w:rPr>
                <w:rFonts w:hint="eastAsia" w:ascii="仿宋" w:hAnsi="仿宋" w:eastAsia="仿宋" w:cs="仿宋"/>
                <w:lang w:val="en-US" w:eastAsia="zh-CN"/>
              </w:rPr>
              <w:t>地址</w:t>
            </w:r>
          </w:p>
        </w:tc>
        <w:tc>
          <w:tcPr>
            <w:tcW w:w="148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是否支持</w:t>
            </w:r>
          </w:p>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在线选座</w:t>
            </w:r>
          </w:p>
        </w:tc>
        <w:tc>
          <w:tcPr>
            <w:tcW w:w="1272"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其他情况</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请备注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lang w:val="en-US" w:eastAsia="zh-CN"/>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1"/>
        </w:numPr>
        <w:jc w:val="both"/>
        <w:rPr>
          <w:rFonts w:hint="eastAsia" w:ascii="仿宋" w:hAnsi="仿宋" w:eastAsia="仿宋" w:cs="仿宋"/>
          <w:b/>
          <w:bCs/>
          <w:color w:val="auto"/>
          <w:szCs w:val="21"/>
          <w:lang w:val="en-GB"/>
        </w:rPr>
      </w:pPr>
      <w:r>
        <w:rPr>
          <w:rFonts w:hint="eastAsia" w:ascii="仿宋" w:hAnsi="仿宋" w:eastAsia="仿宋" w:cs="仿宋"/>
          <w:b/>
          <w:bCs/>
          <w:sz w:val="20"/>
          <w:szCs w:val="20"/>
        </w:rPr>
        <w:t>供应商须如实填写</w:t>
      </w:r>
      <w:r>
        <w:rPr>
          <w:rFonts w:hint="eastAsia" w:ascii="仿宋" w:hAnsi="仿宋" w:eastAsia="仿宋" w:cs="仿宋"/>
          <w:b/>
          <w:bCs/>
          <w:color w:val="auto"/>
          <w:szCs w:val="21"/>
          <w:lang w:val="en-GB"/>
        </w:rPr>
        <w:t>，不得弄虚作假</w:t>
      </w:r>
      <w:r>
        <w:rPr>
          <w:rFonts w:hint="eastAsia" w:ascii="仿宋" w:hAnsi="仿宋" w:eastAsia="仿宋" w:cs="仿宋"/>
          <w:b/>
          <w:bCs/>
          <w:color w:val="auto"/>
          <w:szCs w:val="21"/>
          <w:lang w:val="en-GB" w:eastAsia="zh-CN"/>
        </w:rPr>
        <w:t>，</w:t>
      </w:r>
      <w:r>
        <w:rPr>
          <w:rFonts w:hint="eastAsia" w:ascii="仿宋" w:hAnsi="仿宋" w:eastAsia="仿宋" w:cs="仿宋"/>
          <w:b/>
          <w:bCs/>
          <w:color w:val="auto"/>
          <w:szCs w:val="21"/>
          <w:lang w:val="en-US" w:eastAsia="zh-CN"/>
        </w:rPr>
        <w:t>本表将作为合同签订的重要依据。</w:t>
      </w:r>
      <w:r>
        <w:rPr>
          <w:rFonts w:hint="eastAsia" w:ascii="仿宋" w:hAnsi="仿宋" w:eastAsia="仿宋" w:cs="仿宋"/>
          <w:b/>
          <w:bCs/>
          <w:color w:val="FF0000"/>
          <w:szCs w:val="21"/>
          <w:lang w:val="en-US" w:eastAsia="zh-CN"/>
        </w:rPr>
        <w:t>实际执行过程中如有不符，须报予采购人同意，否则按违约处理</w:t>
      </w:r>
      <w:r>
        <w:rPr>
          <w:rFonts w:hint="eastAsia" w:ascii="仿宋" w:hAnsi="仿宋" w:eastAsia="仿宋" w:cs="仿宋"/>
          <w:b/>
          <w:bCs/>
          <w:color w:val="FF0000"/>
          <w:sz w:val="20"/>
          <w:szCs w:val="20"/>
        </w:rPr>
        <w:t>。</w:t>
      </w:r>
    </w:p>
    <w:p>
      <w:pPr>
        <w:numPr>
          <w:ilvl w:val="0"/>
          <w:numId w:val="11"/>
        </w:numPr>
        <w:jc w:val="both"/>
        <w:rPr>
          <w:rFonts w:hint="eastAsia" w:ascii="仿宋" w:hAnsi="仿宋" w:eastAsia="仿宋" w:cs="仿宋"/>
          <w:color w:val="auto"/>
          <w:szCs w:val="21"/>
          <w:lang w:val="en-GB"/>
        </w:rPr>
      </w:pPr>
      <w:r>
        <w:rPr>
          <w:rFonts w:hint="eastAsia" w:ascii="仿宋" w:hAnsi="仿宋" w:eastAsia="仿宋" w:cs="仿宋"/>
          <w:sz w:val="20"/>
          <w:szCs w:val="20"/>
        </w:rPr>
        <w:t>在填写表格时，</w:t>
      </w:r>
      <w:r>
        <w:rPr>
          <w:rFonts w:hint="eastAsia" w:ascii="仿宋" w:hAnsi="仿宋" w:eastAsia="仿宋" w:cs="仿宋"/>
          <w:sz w:val="20"/>
          <w:szCs w:val="20"/>
          <w:lang w:val="en-US" w:eastAsia="zh-CN"/>
        </w:rPr>
        <w:t>供应商</w:t>
      </w:r>
      <w:r>
        <w:rPr>
          <w:rFonts w:hint="eastAsia" w:ascii="仿宋" w:hAnsi="仿宋" w:eastAsia="仿宋" w:cs="仿宋"/>
          <w:sz w:val="20"/>
          <w:szCs w:val="20"/>
        </w:rPr>
        <w:t>如</w:t>
      </w:r>
      <w:r>
        <w:rPr>
          <w:rFonts w:hint="eastAsia" w:ascii="仿宋" w:hAnsi="仿宋" w:eastAsia="仿宋" w:cs="仿宋"/>
          <w:sz w:val="20"/>
          <w:szCs w:val="20"/>
          <w:lang w:val="en-US" w:eastAsia="zh-CN"/>
        </w:rPr>
        <w:t>有其他情况需要反馈，请在备注栏填写。</w:t>
      </w:r>
    </w:p>
    <w:p>
      <w:pPr>
        <w:numPr>
          <w:ilvl w:val="0"/>
          <w:numId w:val="11"/>
        </w:numPr>
        <w:jc w:val="both"/>
        <w:rPr>
          <w:rFonts w:hint="eastAsia" w:ascii="仿宋" w:hAnsi="仿宋" w:eastAsia="仿宋" w:cs="仿宋"/>
          <w:b/>
          <w:bCs/>
          <w:color w:val="0000FF"/>
          <w:szCs w:val="21"/>
          <w:highlight w:val="yellow"/>
          <w:lang w:val="en-GB"/>
        </w:rPr>
      </w:pPr>
      <w:r>
        <w:rPr>
          <w:rFonts w:hint="eastAsia" w:ascii="仿宋" w:hAnsi="仿宋" w:eastAsia="仿宋" w:cs="仿宋"/>
          <w:b/>
          <w:bCs/>
          <w:color w:val="0000FF"/>
          <w:sz w:val="20"/>
          <w:szCs w:val="20"/>
          <w:highlight w:val="yellow"/>
          <w:lang w:val="en-US" w:eastAsia="zh-CN"/>
        </w:rPr>
        <w:t>本表同样作为技术评审第2点“院线配置”的评审依据之一，请供应商尽量根据影院品质情况由高至低大致排列。</w:t>
      </w:r>
    </w:p>
    <w:p>
      <w:pPr>
        <w:pStyle w:val="27"/>
        <w:ind w:left="0" w:leftChars="0" w:firstLine="0" w:firstLineChars="0"/>
        <w:rPr>
          <w:rFonts w:hint="eastAsia" w:ascii="仿宋" w:hAnsi="仿宋" w:eastAsia="仿宋" w:cs="仿宋"/>
        </w:rPr>
      </w:pPr>
    </w:p>
    <w:p>
      <w:pPr>
        <w:pStyle w:val="27"/>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4928"/>
        <w:gridCol w:w="1667"/>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92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66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6"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4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券面设计</w:t>
            </w:r>
          </w:p>
        </w:tc>
        <w:tc>
          <w:tcPr>
            <w:tcW w:w="4928" w:type="dxa"/>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供应商提供券面设计方案及设计图片，进行综合评分：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（1）设计精美、方案新颖、契合医院文化，得4分；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（2）设计较为精美、基本契合医院文化，得2分；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highlight w:val="none"/>
              </w:rPr>
            </w:pPr>
            <w:r>
              <w:rPr>
                <w:rFonts w:hint="eastAsia" w:ascii="仿宋" w:hAnsi="仿宋" w:eastAsia="仿宋" w:cs="仿宋"/>
                <w:sz w:val="20"/>
                <w:szCs w:val="20"/>
              </w:rPr>
              <w:t>（3）设计不精美、不契合医院文化，或未提供设计方案及设计图片，不得分。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院线配置</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根据电影券可通兑使用的影院品质情况进行综合评审：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（1）广州市内院线配置数量不低于180家，且配置影院包含万达、金逸、UA等中高端影院数量多，院线配置方案措施合理、影院分布科学合理，得12分；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（2）广州市内院线配置数量不低于180家，配置影院包含万达、金逸、UA等中高端影院数量较多，院线配置方案措施较为合理、影院分布较科学合理，得8分；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（3）广州市内院线配置数量不低于180家，但影院品质一般或影院分布不够合理，得4分；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（4）其余情况不得分。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增值服务方案</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根据供应商针对本项目提供的增值服务方案进行综合评审：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服务方案包含线下观影、线上观影（如兑换优酷、爱奇艺、腾讯等各大视频媒体平台会员），其中线上观影方案列明可兑换媒体平台和每张电影券可兑换的媒体平台会员费价值，方案最优且符合项目要求，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服务方案包含线下观影、线上观影（如兑换优酷、爱奇艺、腾讯等各大视频媒体平台会员），其中线上观影方案列明可兑换媒体平台和每张电影券可兑换的媒体平台会员费价值，方案一般、较符合项目要求，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（3）服务方案包含线下观影、线上观影（如兑换优酷、爱奇艺、腾讯等各大视频媒体平台会员），其中线上观影方案未明确列明可兑换媒体平台或每张电影券可兑换媒体平台会员费价值的，得4分；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（4）其他情况不得分。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售后服务方案</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供应商应切实考虑职工需求，针对采购人提供完善的售后服务方案，包括售后服务组织机构、对事故的处理方案及应急措施、响应时间等内容，进行综合评审：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（1）措施和方案合理、可行性高，得9分；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（2）措施和方案较为合理、可行，得6分；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（3）措施和方案有所欠缺，得3分；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（4）未提供措施或方案，不得分。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pPr>
        <w:pStyle w:val="27"/>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7"/>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1、券面设计</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提供券面设计方案及设计图片，建议提供彩色图片；如为黑白图片，将有可能影响本项评分。</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2、院线配置</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（1）供应商根据实际情况拟写院线配置方案措施。</w:t>
      </w:r>
    </w:p>
    <w:p>
      <w:pPr>
        <w:spacing w:before="213"/>
        <w:ind w:right="86" w:rightChars="0"/>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（2）电影券具体可通兑使用的影院以商务评审证明资料第7点“电影券通兑便利情况”中所列表格为准。此处无需重复列表。</w:t>
      </w:r>
    </w:p>
    <w:p>
      <w:pPr>
        <w:pStyle w:val="28"/>
        <w:jc w:val="center"/>
        <w:rPr>
          <w:rFonts w:hint="eastAsia" w:ascii="仿宋" w:hAnsi="仿宋" w:eastAsia="仿宋" w:cs="仿宋"/>
          <w:b/>
          <w:bCs w:val="0"/>
          <w:sz w:val="28"/>
          <w:szCs w:val="28"/>
          <w:lang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8"/>
        <w:tabs>
          <w:tab w:val="left" w:pos="4200"/>
        </w:tabs>
        <w:jc w:val="center"/>
        <w:rPr>
          <w:rFonts w:hint="eastAsia" w:ascii="仿宋" w:hAnsi="仿宋" w:eastAsia="仿宋" w:cs="仿宋"/>
          <w:b/>
          <w:bCs w:val="0"/>
          <w:sz w:val="28"/>
          <w:szCs w:val="28"/>
          <w:lang w:eastAsia="zh-CN"/>
        </w:rPr>
      </w:pP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p>
      <w:pPr>
        <w:pStyle w:val="2"/>
        <w:rPr>
          <w:rFonts w:hint="default"/>
          <w:lang w:val="en-US" w:eastAsia="zh-CN"/>
        </w:rPr>
      </w:pPr>
    </w:p>
    <w:p>
      <w:pPr>
        <w:pStyle w:val="2"/>
        <w:rPr>
          <w:rFonts w:hint="default" w:ascii="宋体" w:hAnsi="宋体" w:cs="宋体"/>
          <w:color w:val="auto"/>
          <w:sz w:val="24"/>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3、增值服务方案</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numPr>
          <w:ilvl w:val="0"/>
          <w:numId w:val="0"/>
        </w:numPr>
        <w:jc w:val="both"/>
        <w:rPr>
          <w:rFonts w:hint="eastAsia" w:ascii="仿宋" w:hAnsi="仿宋" w:eastAsia="仿宋" w:cs="仿宋"/>
          <w:b/>
          <w:bCs/>
          <w:color w:val="auto"/>
          <w:szCs w:val="21"/>
          <w:lang w:val="en-GB"/>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供应商须如实填写</w:t>
      </w:r>
      <w:r>
        <w:rPr>
          <w:rFonts w:hint="eastAsia" w:ascii="仿宋" w:hAnsi="仿宋" w:eastAsia="仿宋" w:cs="仿宋"/>
          <w:b/>
          <w:bCs/>
          <w:color w:val="auto"/>
          <w:szCs w:val="21"/>
          <w:lang w:val="en-GB"/>
        </w:rPr>
        <w:t>，不得弄虚作假</w:t>
      </w:r>
      <w:r>
        <w:rPr>
          <w:rFonts w:hint="eastAsia" w:ascii="仿宋" w:hAnsi="仿宋" w:eastAsia="仿宋" w:cs="仿宋"/>
          <w:b/>
          <w:bCs/>
          <w:color w:val="auto"/>
          <w:szCs w:val="21"/>
          <w:lang w:val="en-GB" w:eastAsia="zh-CN"/>
        </w:rPr>
        <w:t>，</w:t>
      </w:r>
      <w:r>
        <w:rPr>
          <w:rFonts w:hint="eastAsia" w:ascii="仿宋" w:hAnsi="仿宋" w:eastAsia="仿宋" w:cs="仿宋"/>
          <w:b/>
          <w:bCs/>
          <w:color w:val="auto"/>
          <w:szCs w:val="21"/>
          <w:lang w:val="en-US" w:eastAsia="zh-CN"/>
        </w:rPr>
        <w:t>本表将作为合同签订的重要依据。</w:t>
      </w:r>
      <w:r>
        <w:rPr>
          <w:rFonts w:hint="eastAsia" w:ascii="仿宋" w:hAnsi="仿宋" w:eastAsia="仿宋" w:cs="仿宋"/>
          <w:b/>
          <w:bCs/>
          <w:color w:val="FF0000"/>
          <w:szCs w:val="21"/>
          <w:lang w:val="en-US" w:eastAsia="zh-CN"/>
        </w:rPr>
        <w:t>实际执行过程中如有不符，须报予采购人同意，否则按违约处理</w:t>
      </w:r>
      <w:r>
        <w:rPr>
          <w:rFonts w:hint="eastAsia" w:ascii="仿宋" w:hAnsi="仿宋" w:eastAsia="仿宋" w:cs="仿宋"/>
          <w:b/>
          <w:bCs/>
          <w:color w:val="FF0000"/>
          <w:sz w:val="20"/>
          <w:szCs w:val="20"/>
        </w:rPr>
        <w:t>。</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4、售后服务方案</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2"/>
        <w:rPr>
          <w:rFonts w:hint="default" w:ascii="宋体" w:hAnsi="宋体" w:cs="宋体"/>
          <w:color w:val="auto"/>
          <w:sz w:val="24"/>
          <w:lang w:val="en-US" w:eastAsia="zh-CN"/>
        </w:rPr>
      </w:pPr>
    </w:p>
    <w:p>
      <w:pPr>
        <w:pStyle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供应商应按照磋商文件的要求，提供详细的售后服务方案，包括文字描述或图表显示。</w:t>
      </w:r>
    </w:p>
    <w:p>
      <w:pPr>
        <w:pStyle w:val="2"/>
        <w:rPr>
          <w:rFonts w:hint="default" w:ascii="宋体" w:hAnsi="宋体" w:cs="宋体"/>
          <w:color w:val="auto"/>
          <w:sz w:val="24"/>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B78B2D-FAA0-493F-B2CD-5E523940ED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4B3BF28F-AE64-4E6C-9574-360AC6F2AE3F}"/>
  </w:font>
  <w:font w:name="微软雅黑">
    <w:panose1 w:val="020B0503020204020204"/>
    <w:charset w:val="86"/>
    <w:family w:val="auto"/>
    <w:pitch w:val="default"/>
    <w:sig w:usb0="80000287" w:usb1="2ACF3C50" w:usb2="00000016" w:usb3="00000000" w:csb0="0004001F" w:csb1="00000000"/>
    <w:embedRegular r:id="rId3" w:fontKey="{EBBF4285-6646-4DC5-96A9-7F7A06861181}"/>
  </w:font>
  <w:font w:name="方正仿宋简体">
    <w:panose1 w:val="02000000000000000000"/>
    <w:charset w:val="86"/>
    <w:family w:val="auto"/>
    <w:pitch w:val="default"/>
    <w:sig w:usb0="A00002BF" w:usb1="184F6CFA" w:usb2="00000012" w:usb3="00000000" w:csb0="00040001" w:csb1="00000000"/>
    <w:embedRegular r:id="rId4" w:fontKey="{EACF7C8F-0AB2-4CD0-B0F0-2CF4BDA7D453}"/>
  </w:font>
  <w:font w:name="仿宋">
    <w:panose1 w:val="02010609060101010101"/>
    <w:charset w:val="86"/>
    <w:family w:val="auto"/>
    <w:pitch w:val="default"/>
    <w:sig w:usb0="800002BF" w:usb1="38CF7CFA" w:usb2="00000016" w:usb3="00000000" w:csb0="00040001" w:csb1="00000000"/>
    <w:embedRegular r:id="rId5" w:fontKey="{AF151F07-F6EC-42B7-BCED-F10735EC6CBA}"/>
  </w:font>
  <w:font w:name="华文中宋">
    <w:panose1 w:val="02010600040101010101"/>
    <w:charset w:val="86"/>
    <w:family w:val="auto"/>
    <w:pitch w:val="default"/>
    <w:sig w:usb0="00000287" w:usb1="080F0000" w:usb2="00000000" w:usb3="00000000" w:csb0="0004009F" w:csb1="DFD70000"/>
    <w:embedRegular r:id="rId6" w:fontKey="{A39ACA5A-4268-4535-B544-F21DAA2AB879}"/>
  </w:font>
  <w:font w:name="华文仿宋">
    <w:panose1 w:val="02010600040101010101"/>
    <w:charset w:val="86"/>
    <w:family w:val="auto"/>
    <w:pitch w:val="default"/>
    <w:sig w:usb0="00000287" w:usb1="080F0000" w:usb2="00000000" w:usb3="00000000" w:csb0="0004009F" w:csb1="DFD70000"/>
    <w:embedRegular r:id="rId7" w:fontKey="{1E5132E4-1901-4A9A-A77B-0E7054D4B093}"/>
  </w:font>
  <w:font w:name="Calibri Light">
    <w:panose1 w:val="020F0302020204030204"/>
    <w:charset w:val="00"/>
    <w:family w:val="swiss"/>
    <w:pitch w:val="default"/>
    <w:sig w:usb0="E0002AFF" w:usb1="C000247B" w:usb2="00000009" w:usb3="00000000" w:csb0="200001FF" w:csb1="00000000"/>
    <w:embedRegular r:id="rId8" w:fontKey="{8EA0B376-8DBA-44CE-8453-009C08DFBBED}"/>
  </w:font>
  <w:font w:name="方正小标宋简体">
    <w:panose1 w:val="02000000000000000000"/>
    <w:charset w:val="86"/>
    <w:family w:val="auto"/>
    <w:pitch w:val="default"/>
    <w:sig w:usb0="00000001" w:usb1="08000000" w:usb2="00000000" w:usb3="00000000" w:csb0="00040000" w:csb1="00000000"/>
    <w:embedRegular r:id="rId9" w:fontKey="{2D6282E7-3BE4-4A01-94CD-56B68CE63E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18"/>
        <w:szCs w:val="24"/>
      </w:rPr>
    </w:pPr>
  </w:p>
  <w:p>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FD7557E0"/>
    <w:multiLevelType w:val="singleLevel"/>
    <w:tmpl w:val="FD7557E0"/>
    <w:lvl w:ilvl="0" w:tentative="0">
      <w:start w:val="1"/>
      <w:numFmt w:val="decimal"/>
      <w:lvlText w:val="%1."/>
      <w:lvlJc w:val="left"/>
      <w:pPr>
        <w:tabs>
          <w:tab w:val="left" w:pos="312"/>
        </w:tabs>
      </w:pPr>
    </w:lvl>
  </w:abstractNum>
  <w:abstractNum w:abstractNumId="2">
    <w:nsid w:val="FE43FCA6"/>
    <w:multiLevelType w:val="singleLevel"/>
    <w:tmpl w:val="FE43FCA6"/>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num w:numId="1">
    <w:abstractNumId w:val="10"/>
  </w:num>
  <w:num w:numId="2">
    <w:abstractNumId w:val="9"/>
  </w:num>
  <w:num w:numId="3">
    <w:abstractNumId w:val="0"/>
  </w:num>
  <w:num w:numId="4">
    <w:abstractNumId w:val="5"/>
  </w:num>
  <w:num w:numId="5">
    <w:abstractNumId w:val="8"/>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67526A6"/>
    <w:rsid w:val="08597DA5"/>
    <w:rsid w:val="091C1548"/>
    <w:rsid w:val="0A60541B"/>
    <w:rsid w:val="0AC91212"/>
    <w:rsid w:val="0B514187"/>
    <w:rsid w:val="0B5647F5"/>
    <w:rsid w:val="0F427A7F"/>
    <w:rsid w:val="11BF17D1"/>
    <w:rsid w:val="14BA1BCC"/>
    <w:rsid w:val="154F0566"/>
    <w:rsid w:val="15632263"/>
    <w:rsid w:val="159A53A0"/>
    <w:rsid w:val="16833141"/>
    <w:rsid w:val="187664E8"/>
    <w:rsid w:val="1A0B4997"/>
    <w:rsid w:val="1DF0665E"/>
    <w:rsid w:val="1E2125FB"/>
    <w:rsid w:val="268024E1"/>
    <w:rsid w:val="28081174"/>
    <w:rsid w:val="2ED753FC"/>
    <w:rsid w:val="2F184C05"/>
    <w:rsid w:val="2F75117C"/>
    <w:rsid w:val="3131732D"/>
    <w:rsid w:val="31BE0DE8"/>
    <w:rsid w:val="31E542D4"/>
    <w:rsid w:val="32621481"/>
    <w:rsid w:val="3B491430"/>
    <w:rsid w:val="3C7C081B"/>
    <w:rsid w:val="3CBB45AF"/>
    <w:rsid w:val="3D680EF8"/>
    <w:rsid w:val="3E1F291C"/>
    <w:rsid w:val="3EB94B1E"/>
    <w:rsid w:val="41115F4D"/>
    <w:rsid w:val="41F06AA9"/>
    <w:rsid w:val="473E7701"/>
    <w:rsid w:val="47FE7A46"/>
    <w:rsid w:val="48FF5824"/>
    <w:rsid w:val="4E9407BC"/>
    <w:rsid w:val="4F2A5CF9"/>
    <w:rsid w:val="51981FF4"/>
    <w:rsid w:val="520F4660"/>
    <w:rsid w:val="53CF1471"/>
    <w:rsid w:val="563C721B"/>
    <w:rsid w:val="58A62CBE"/>
    <w:rsid w:val="591529F2"/>
    <w:rsid w:val="61747643"/>
    <w:rsid w:val="647A512C"/>
    <w:rsid w:val="69CC0C87"/>
    <w:rsid w:val="6A011020"/>
    <w:rsid w:val="6BDE4ECA"/>
    <w:rsid w:val="7625601A"/>
    <w:rsid w:val="78D930EC"/>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autoRedefine/>
    <w:qFormat/>
    <w:uiPriority w:val="0"/>
  </w:style>
  <w:style w:type="table" w:default="1" w:styleId="22">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szCs w:val="20"/>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caption"/>
    <w:basedOn w:val="1"/>
    <w:next w:val="1"/>
    <w:autoRedefine/>
    <w:qFormat/>
    <w:uiPriority w:val="99"/>
    <w:rPr>
      <w:rFonts w:ascii="Arial" w:hAnsi="Arial" w:eastAsia="黑体" w:cs="Arial"/>
      <w:sz w:val="20"/>
      <w:szCs w:val="20"/>
    </w:rPr>
  </w:style>
  <w:style w:type="paragraph" w:styleId="9">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autoRedefine/>
    <w:qFormat/>
    <w:uiPriority w:val="99"/>
    <w:pPr>
      <w:spacing w:after="120"/>
    </w:pPr>
    <w:rPr>
      <w:sz w:val="16"/>
      <w:szCs w:val="16"/>
    </w:rPr>
  </w:style>
  <w:style w:type="paragraph" w:styleId="11">
    <w:name w:val="Body Text"/>
    <w:basedOn w:val="1"/>
    <w:next w:val="12"/>
    <w:autoRedefine/>
    <w:qFormat/>
    <w:uiPriority w:val="0"/>
    <w:rPr>
      <w:sz w:val="24"/>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footer"/>
    <w:basedOn w:val="1"/>
    <w:next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11"/>
    <w:autoRedefine/>
    <w:qFormat/>
    <w:uiPriority w:val="99"/>
    <w:pPr>
      <w:spacing w:after="120"/>
      <w:ind w:firstLine="420" w:firstLineChars="100"/>
    </w:pPr>
    <w:rPr>
      <w:sz w:val="21"/>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Hyperlink"/>
    <w:autoRedefine/>
    <w:qFormat/>
    <w:uiPriority w:val="99"/>
    <w:rPr>
      <w:color w:val="0000FF"/>
      <w:u w:val="single"/>
    </w:rPr>
  </w:style>
  <w:style w:type="paragraph" w:customStyle="1" w:styleId="27">
    <w:name w:val="_Style 3"/>
    <w:basedOn w:val="1"/>
    <w:autoRedefine/>
    <w:qFormat/>
    <w:uiPriority w:val="0"/>
    <w:pPr>
      <w:ind w:firstLine="420" w:firstLineChars="200"/>
    </w:pPr>
    <w:rPr>
      <w:sz w:val="20"/>
    </w:rPr>
  </w:style>
  <w:style w:type="paragraph" w:customStyle="1" w:styleId="28">
    <w:name w:val="正文缩进1"/>
    <w:basedOn w:val="29"/>
    <w:next w:val="12"/>
    <w:autoRedefine/>
    <w:qFormat/>
    <w:uiPriority w:val="0"/>
    <w:pPr>
      <w:widowControl/>
      <w:ind w:firstLine="420"/>
      <w:jc w:val="left"/>
    </w:pPr>
    <w:rPr>
      <w:rFonts w:ascii="Calibri" w:hAnsi="Calibri"/>
      <w:kern w:val="0"/>
    </w:rPr>
  </w:style>
  <w:style w:type="paragraph" w:customStyle="1" w:styleId="29">
    <w:name w:val="正文_2"/>
    <w:next w:val="28"/>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font01"/>
    <w:autoRedefine/>
    <w:qFormat/>
    <w:uiPriority w:val="0"/>
    <w:rPr>
      <w:rFonts w:hint="eastAsia" w:ascii="宋体" w:hAnsi="宋体" w:eastAsia="宋体" w:cs="宋体"/>
      <w:color w:val="0000FF"/>
      <w:sz w:val="22"/>
      <w:szCs w:val="22"/>
      <w:u w:val="none"/>
    </w:rPr>
  </w:style>
  <w:style w:type="paragraph" w:customStyle="1" w:styleId="3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styleId="33">
    <w:name w:val="List Paragraph"/>
    <w:basedOn w:val="1"/>
    <w:autoRedefine/>
    <w:qFormat/>
    <w:uiPriority w:val="34"/>
    <w:pPr>
      <w:widowControl/>
      <w:ind w:firstLine="420" w:firstLineChars="200"/>
      <w:jc w:val="left"/>
    </w:pPr>
    <w:rPr>
      <w:kern w:val="0"/>
      <w:sz w:val="20"/>
      <w:szCs w:val="20"/>
    </w:rPr>
  </w:style>
  <w:style w:type="paragraph" w:customStyle="1" w:styleId="34">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4"/>
    <w:autoRedefine/>
    <w:qFormat/>
    <w:uiPriority w:val="0"/>
    <w:rPr>
      <w:rFonts w:hint="eastAsia" w:ascii="宋体" w:hAnsi="宋体" w:eastAsia="宋体" w:cs="宋体"/>
      <w:color w:val="000000"/>
      <w:sz w:val="21"/>
      <w:szCs w:val="21"/>
      <w:u w:val="none"/>
    </w:rPr>
  </w:style>
  <w:style w:type="character" w:customStyle="1" w:styleId="36">
    <w:name w:val="font21"/>
    <w:basedOn w:val="24"/>
    <w:autoRedefine/>
    <w:qFormat/>
    <w:uiPriority w:val="0"/>
    <w:rPr>
      <w:rFonts w:hint="eastAsia" w:ascii="宋体" w:hAnsi="宋体" w:eastAsia="宋体" w:cs="宋体"/>
      <w:b/>
      <w:bCs/>
      <w:color w:val="000000"/>
      <w:sz w:val="18"/>
      <w:szCs w:val="18"/>
      <w:u w:val="none"/>
    </w:rPr>
  </w:style>
  <w:style w:type="character" w:customStyle="1" w:styleId="37">
    <w:name w:val="font31"/>
    <w:basedOn w:val="24"/>
    <w:autoRedefine/>
    <w:qFormat/>
    <w:uiPriority w:val="0"/>
    <w:rPr>
      <w:rFonts w:hint="eastAsia" w:ascii="宋体" w:hAnsi="宋体" w:eastAsia="宋体" w:cs="宋体"/>
      <w:color w:val="000000"/>
      <w:sz w:val="21"/>
      <w:szCs w:val="21"/>
      <w:u w:val="none"/>
    </w:rPr>
  </w:style>
  <w:style w:type="paragraph" w:customStyle="1" w:styleId="38">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9">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0">
    <w:name w:val="题注5"/>
    <w:basedOn w:val="1"/>
    <w:next w:val="8"/>
    <w:autoRedefine/>
    <w:qFormat/>
    <w:uiPriority w:val="0"/>
    <w:pPr>
      <w:jc w:val="center"/>
    </w:pPr>
    <w:rPr>
      <w:b/>
      <w:color w:val="000000"/>
      <w:sz w:val="24"/>
      <w:szCs w:val="21"/>
    </w:rPr>
  </w:style>
  <w:style w:type="paragraph" w:customStyle="1" w:styleId="41">
    <w:name w:val="列出段落1"/>
    <w:basedOn w:val="1"/>
    <w:autoRedefine/>
    <w:qFormat/>
    <w:uiPriority w:val="34"/>
    <w:pPr>
      <w:ind w:firstLine="420" w:firstLineChars="200"/>
    </w:pPr>
  </w:style>
  <w:style w:type="table" w:customStyle="1" w:styleId="42">
    <w:name w:val="Table Normal"/>
    <w:autoRedefine/>
    <w:qFormat/>
    <w:uiPriority w:val="0"/>
    <w:tblPr>
      <w:tblCellMar>
        <w:top w:w="0" w:type="dxa"/>
        <w:left w:w="0" w:type="dxa"/>
        <w:bottom w:w="0" w:type="dxa"/>
        <w:right w:w="0" w:type="dxa"/>
      </w:tblCellMar>
    </w:tblPr>
  </w:style>
  <w:style w:type="character" w:customStyle="1" w:styleId="43">
    <w:name w:val="font41"/>
    <w:basedOn w:val="24"/>
    <w:autoRedefine/>
    <w:qFormat/>
    <w:uiPriority w:val="0"/>
    <w:rPr>
      <w:rFonts w:hint="eastAsia" w:ascii="宋体" w:hAnsi="宋体" w:eastAsia="宋体" w:cs="宋体"/>
      <w:color w:val="000000"/>
      <w:sz w:val="21"/>
      <w:szCs w:val="21"/>
      <w:u w:val="none"/>
    </w:rPr>
  </w:style>
  <w:style w:type="character" w:customStyle="1" w:styleId="44">
    <w:name w:val="font131"/>
    <w:basedOn w:val="24"/>
    <w:autoRedefine/>
    <w:qFormat/>
    <w:uiPriority w:val="0"/>
    <w:rPr>
      <w:rFonts w:hint="eastAsia" w:ascii="宋体" w:hAnsi="宋体" w:eastAsia="宋体" w:cs="宋体"/>
      <w:b/>
      <w:bCs/>
      <w:i/>
      <w:iCs/>
      <w:color w:val="000000"/>
      <w:sz w:val="21"/>
      <w:szCs w:val="21"/>
      <w:u w:val="none"/>
    </w:rPr>
  </w:style>
  <w:style w:type="character" w:customStyle="1" w:styleId="45">
    <w:name w:val="font101"/>
    <w:basedOn w:val="24"/>
    <w:autoRedefine/>
    <w:qFormat/>
    <w:uiPriority w:val="0"/>
    <w:rPr>
      <w:rFonts w:hint="default" w:ascii="Times New Roman" w:hAnsi="Times New Roman" w:cs="Times New Roman"/>
      <w:b/>
      <w:bCs/>
      <w:i/>
      <w:iCs/>
      <w:color w:val="000000"/>
      <w:sz w:val="21"/>
      <w:szCs w:val="21"/>
      <w:u w:val="none"/>
    </w:rPr>
  </w:style>
  <w:style w:type="character" w:customStyle="1" w:styleId="46">
    <w:name w:val="font71"/>
    <w:basedOn w:val="24"/>
    <w:autoRedefine/>
    <w:qFormat/>
    <w:uiPriority w:val="0"/>
    <w:rPr>
      <w:rFonts w:hint="eastAsia" w:ascii="宋体" w:hAnsi="宋体" w:eastAsia="宋体" w:cs="宋体"/>
      <w:b/>
      <w:bCs/>
      <w:color w:val="000000"/>
      <w:sz w:val="21"/>
      <w:szCs w:val="21"/>
      <w:u w:val="none"/>
    </w:rPr>
  </w:style>
  <w:style w:type="paragraph" w:customStyle="1" w:styleId="47">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48">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4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22786</Words>
  <Characters>23374</Characters>
  <Paragraphs>1869</Paragraphs>
  <TotalTime>65</TotalTime>
  <ScaleCrop>false</ScaleCrop>
  <LinksUpToDate>false</LinksUpToDate>
  <CharactersWithSpaces>25911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2024-02-06T07:54:30Z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91581D264D7646A19B676B5FFEB99D1E_13</vt:lpwstr>
  </property>
  <property fmtid="{D5CDD505-2E9C-101B-9397-08002B2CF9AE}" pid="4" name="commondata">
    <vt:lpwstr>eyJoZGlkIjoiZGNiZjhiYWJkMzQ2ODliZDg0M2NkY2U3ZDYyYTQ3YzEifQ==</vt:lpwstr>
  </property>
</Properties>
</file>