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5189"/>
      <w:bookmarkStart w:id="2" w:name="_Toc16091"/>
      <w:bookmarkStart w:id="3" w:name="_Toc14315"/>
      <w:bookmarkStart w:id="4" w:name="_Toc15553"/>
      <w:bookmarkStart w:id="5" w:name="_Toc17040"/>
      <w:bookmarkStart w:id="6" w:name="_Toc3493"/>
      <w:bookmarkStart w:id="7" w:name="_Toc15365"/>
      <w:r>
        <w:rPr>
          <w:rFonts w:hint="eastAsia"/>
          <w:sz w:val="24"/>
        </w:rPr>
        <w:t xml:space="preserve"> </w:t>
      </w:r>
    </w:p>
    <w:p>
      <w:pPr>
        <w:jc w:val="center"/>
        <w:rPr>
          <w:sz w:val="24"/>
        </w:rPr>
      </w:pPr>
    </w:p>
    <w:p>
      <w:pPr>
        <w:jc w:val="center"/>
        <w:rPr>
          <w:sz w:val="24"/>
        </w:rPr>
      </w:pPr>
    </w:p>
    <w:p>
      <w:pPr>
        <w:jc w:val="center"/>
        <w:rPr>
          <w:sz w:val="24"/>
        </w:rPr>
      </w:pPr>
    </w:p>
    <w:p>
      <w:pPr>
        <w:jc w:val="center"/>
        <w:rPr>
          <w:rFonts w:ascii="黑体" w:hAnsi="黑体" w:eastAsia="黑体" w:cs="黑体"/>
          <w:b/>
          <w:kern w:val="0"/>
          <w:sz w:val="44"/>
          <w:szCs w:val="44"/>
        </w:rPr>
      </w:pPr>
      <w:r>
        <w:rPr>
          <w:rFonts w:hint="eastAsia" w:ascii="黑体" w:hAnsi="黑体" w:eastAsia="黑体" w:cs="黑体"/>
          <w:b/>
          <w:kern w:val="0"/>
          <w:sz w:val="44"/>
          <w:szCs w:val="44"/>
        </w:rPr>
        <w:t>中山大学孙逸仙纪念医院</w:t>
      </w:r>
    </w:p>
    <w:p>
      <w:pPr>
        <w:spacing w:line="480" w:lineRule="auto"/>
        <w:jc w:val="center"/>
        <w:rPr>
          <w:rFonts w:hint="eastAsia" w:ascii="黑体" w:hAnsi="黑体" w:eastAsia="黑体" w:cs="黑体"/>
          <w:b/>
          <w:kern w:val="0"/>
          <w:sz w:val="44"/>
          <w:szCs w:val="44"/>
        </w:rPr>
      </w:pPr>
      <w:r>
        <w:rPr>
          <w:rFonts w:hint="eastAsia" w:ascii="黑体" w:hAnsi="黑体" w:eastAsia="黑体" w:cs="黑体"/>
          <w:b/>
          <w:kern w:val="0"/>
          <w:sz w:val="44"/>
          <w:szCs w:val="44"/>
          <w:lang w:val="zh-CN"/>
        </w:rPr>
        <w:t>检验</w:t>
      </w:r>
      <w:r>
        <w:rPr>
          <w:rFonts w:hint="eastAsia" w:ascii="黑体" w:hAnsi="黑体" w:eastAsia="黑体" w:cs="黑体"/>
          <w:b/>
          <w:kern w:val="0"/>
          <w:sz w:val="44"/>
          <w:szCs w:val="44"/>
        </w:rPr>
        <w:t>系统维保及</w:t>
      </w:r>
      <w:r>
        <w:rPr>
          <w:rFonts w:hint="eastAsia" w:ascii="黑体" w:hAnsi="黑体" w:eastAsia="黑体" w:cs="黑体"/>
          <w:b/>
          <w:kern w:val="0"/>
          <w:sz w:val="44"/>
          <w:szCs w:val="44"/>
          <w:lang w:val="zh-CN"/>
        </w:rPr>
        <w:t>检验系统南校园扩容</w:t>
      </w:r>
      <w:r>
        <w:rPr>
          <w:rFonts w:hint="eastAsia" w:ascii="黑体" w:hAnsi="黑体" w:eastAsia="黑体" w:cs="黑体"/>
          <w:b/>
          <w:kern w:val="0"/>
          <w:sz w:val="44"/>
          <w:szCs w:val="44"/>
        </w:rPr>
        <w:t>项目</w:t>
      </w:r>
    </w:p>
    <w:p>
      <w:pPr>
        <w:spacing w:line="480" w:lineRule="auto"/>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pPr>
        <w:pStyle w:val="17"/>
      </w:pPr>
    </w:p>
    <w:p>
      <w:pPr>
        <w:pStyle w:val="17"/>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rPr>
        <w:t>ZCB-</w:t>
      </w:r>
      <w:r>
        <w:rPr>
          <w:rFonts w:hint="eastAsia" w:ascii="仿宋" w:hAnsi="仿宋" w:eastAsia="仿宋" w:cs="仿宋"/>
          <w:b/>
          <w:bCs/>
          <w:color w:val="0000FF"/>
          <w:sz w:val="32"/>
          <w:szCs w:val="32"/>
        </w:rPr>
        <w:t>20240</w:t>
      </w:r>
      <w:r>
        <w:rPr>
          <w:rFonts w:hint="eastAsia" w:ascii="仿宋" w:hAnsi="仿宋" w:eastAsia="仿宋" w:cs="仿宋"/>
          <w:b/>
          <w:bCs/>
          <w:color w:val="0000FF"/>
          <w:sz w:val="32"/>
          <w:szCs w:val="32"/>
          <w:lang w:val="en-US" w:eastAsia="zh-CN"/>
        </w:rPr>
        <w:t>33</w:t>
      </w:r>
    </w:p>
    <w:p>
      <w:pPr>
        <w:adjustRightInd w:val="0"/>
        <w:snapToGrid w:val="0"/>
        <w:spacing w:line="360" w:lineRule="auto"/>
        <w:jc w:val="center"/>
        <w:rPr>
          <w:rFonts w:ascii="仿宋" w:hAnsi="仿宋" w:eastAsia="仿宋" w:cs="仿宋"/>
          <w:b/>
          <w:bCs/>
          <w:sz w:val="36"/>
          <w:szCs w:val="36"/>
        </w:rPr>
      </w:pPr>
    </w:p>
    <w:p>
      <w:pPr>
        <w:pStyle w:val="17"/>
        <w:rPr>
          <w:rFonts w:ascii="仿宋" w:hAnsi="仿宋" w:eastAsia="仿宋" w:cs="仿宋"/>
          <w:b/>
          <w:bCs/>
          <w:sz w:val="36"/>
          <w:szCs w:val="36"/>
        </w:rPr>
      </w:pPr>
    </w:p>
    <w:p>
      <w:pPr>
        <w:pStyle w:val="17"/>
        <w:rPr>
          <w:rFonts w:ascii="仿宋" w:hAnsi="仿宋" w:eastAsia="仿宋" w:cs="仿宋"/>
          <w:b/>
          <w:bCs/>
          <w:sz w:val="36"/>
          <w:szCs w:val="36"/>
        </w:rPr>
      </w:pPr>
    </w:p>
    <w:p>
      <w:pPr>
        <w:spacing w:line="360" w:lineRule="auto"/>
        <w:jc w:val="center"/>
        <w:rPr>
          <w:rFonts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期：2024</w:t>
      </w:r>
      <w:r>
        <w:rPr>
          <w:rFonts w:hint="eastAsia" w:ascii="仿宋" w:hAnsi="仿宋" w:eastAsia="仿宋" w:cs="仿宋"/>
          <w:b/>
          <w:bCs/>
          <w:color w:val="0000FF"/>
          <w:sz w:val="32"/>
          <w:szCs w:val="32"/>
        </w:rPr>
        <w:t>年</w:t>
      </w:r>
      <w:r>
        <w:rPr>
          <w:rFonts w:hint="eastAsia" w:ascii="仿宋" w:hAnsi="仿宋" w:eastAsia="仿宋" w:cs="仿宋"/>
          <w:b/>
          <w:bCs/>
          <w:color w:val="0000FF"/>
          <w:sz w:val="32"/>
          <w:szCs w:val="32"/>
          <w:lang w:val="en-US" w:eastAsia="zh-CN"/>
        </w:rPr>
        <w:t>4</w:t>
      </w:r>
      <w:r>
        <w:rPr>
          <w:rFonts w:hint="eastAsia" w:ascii="仿宋" w:hAnsi="仿宋" w:eastAsia="仿宋" w:cs="仿宋"/>
          <w:b/>
          <w:bCs/>
          <w:sz w:val="32"/>
          <w:szCs w:val="32"/>
        </w:rPr>
        <w:t>月</w:t>
      </w:r>
    </w:p>
    <w:p>
      <w:pPr>
        <w:jc w:val="center"/>
        <w:rPr>
          <w:rFonts w:ascii="仿宋" w:hAnsi="仿宋" w:eastAsia="仿宋" w:cs="仿宋"/>
          <w:b/>
          <w:bCs/>
          <w:sz w:val="32"/>
          <w:szCs w:val="32"/>
        </w:rPr>
      </w:pPr>
      <w:r>
        <w:rPr>
          <w:rFonts w:hint="eastAsia" w:ascii="仿宋" w:hAnsi="仿宋" w:eastAsia="仿宋" w:cs="仿宋"/>
          <w:b/>
          <w:bCs/>
          <w:sz w:val="32"/>
          <w:szCs w:val="32"/>
        </w:rPr>
        <w:t>目  录</w:t>
      </w:r>
    </w:p>
    <w:p>
      <w:pPr>
        <w:pStyle w:val="28"/>
        <w:tabs>
          <w:tab w:val="right" w:leader="dot" w:pos="9070"/>
        </w:tabs>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fldChar w:fldCharType="begin"/>
      </w:r>
      <w:r>
        <w:instrText xml:space="preserve"> HYPERLINK \l "_Toc18135" </w:instrText>
      </w:r>
      <w: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第三部分 报名格式文件模板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pPr>
        <w:pStyle w:val="28"/>
        <w:tabs>
          <w:tab w:val="right" w:leader="dot" w:pos="9070"/>
        </w:tabs>
        <w:rPr>
          <w:rFonts w:ascii="仿宋" w:hAnsi="仿宋" w:eastAsia="仿宋" w:cs="仿宋"/>
          <w:b/>
          <w:bCs/>
          <w:sz w:val="28"/>
          <w:szCs w:val="28"/>
        </w:rPr>
      </w:pPr>
    </w:p>
    <w:p>
      <w:pPr>
        <w:pStyle w:val="18"/>
        <w:rPr>
          <w:rFonts w:ascii="宋体" w:hAnsi="宋体"/>
          <w:bCs/>
          <w:szCs w:val="28"/>
        </w:rPr>
      </w:pPr>
      <w:r>
        <w:rPr>
          <w:rFonts w:hint="eastAsia" w:ascii="仿宋" w:hAnsi="仿宋" w:eastAsia="仿宋" w:cs="仿宋"/>
          <w:b/>
          <w:bCs/>
          <w:sz w:val="28"/>
          <w:szCs w:val="28"/>
        </w:rPr>
        <w:fldChar w:fldCharType="end"/>
      </w:r>
    </w:p>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一、请在报名截止时间前完成电子邮件报名，以便做好采购评审前的准备工作。电子邮件报名需提供完整的盖章版PDF报名资料：</w:t>
      </w:r>
    </w:p>
    <w:p>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b/>
          <w:bCs/>
          <w:kern w:val="0"/>
          <w:sz w:val="24"/>
        </w:rPr>
        <w:t>1.报名资料按相关格式要求整理，加盖公章后扫描成PDF版。</w:t>
      </w:r>
    </w:p>
    <w:p>
      <w:pPr>
        <w:pStyle w:val="17"/>
        <w:adjustRightInd w:val="0"/>
        <w:snapToGrid w:val="0"/>
        <w:spacing w:line="360" w:lineRule="auto"/>
        <w:ind w:firstLine="480" w:firstLineChars="200"/>
        <w:rPr>
          <w:rFonts w:ascii="仿宋" w:hAnsi="仿宋" w:eastAsia="仿宋" w:cs="仿宋"/>
          <w:color w:val="0000FF"/>
          <w:kern w:val="0"/>
          <w:sz w:val="24"/>
        </w:rPr>
      </w:pPr>
      <w:r>
        <w:rPr>
          <w:rFonts w:hint="eastAsia" w:ascii="仿宋" w:hAnsi="仿宋" w:eastAsia="仿宋" w:cs="仿宋"/>
          <w:kern w:val="0"/>
          <w:sz w:val="24"/>
        </w:rPr>
        <w:t>2.报名邮箱地址：</w:t>
      </w:r>
      <w:r>
        <w:rPr>
          <w:rFonts w:hint="eastAsia" w:ascii="仿宋" w:hAnsi="仿宋" w:eastAsia="仿宋" w:cs="仿宋"/>
          <w:color w:val="0000FF"/>
          <w:kern w:val="0"/>
          <w:sz w:val="24"/>
        </w:rPr>
        <w:t>canghj@mail.sysu.edu.cn</w:t>
      </w:r>
    </w:p>
    <w:p>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3.邮件主题：</w:t>
      </w:r>
      <w:r>
        <w:rPr>
          <w:rFonts w:hint="eastAsia" w:ascii="仿宋" w:hAnsi="仿宋" w:eastAsia="仿宋" w:cs="仿宋"/>
          <w:kern w:val="0"/>
          <w:sz w:val="24"/>
          <w:lang w:val="zh-CN" w:eastAsia="zh-CN"/>
        </w:rPr>
        <w:t>检验</w:t>
      </w:r>
      <w:r>
        <w:rPr>
          <w:rFonts w:hint="eastAsia" w:ascii="仿宋" w:hAnsi="仿宋" w:eastAsia="仿宋" w:cs="仿宋"/>
          <w:kern w:val="0"/>
          <w:sz w:val="24"/>
          <w:lang w:val="en-US" w:eastAsia="zh-CN"/>
        </w:rPr>
        <w:t>系统维保及</w:t>
      </w:r>
      <w:r>
        <w:rPr>
          <w:rFonts w:hint="eastAsia" w:ascii="仿宋" w:hAnsi="仿宋" w:eastAsia="仿宋" w:cs="仿宋"/>
          <w:kern w:val="0"/>
          <w:sz w:val="24"/>
          <w:lang w:val="zh-CN" w:eastAsia="zh-CN"/>
        </w:rPr>
        <w:t>检验系统南校园扩容</w:t>
      </w:r>
      <w:r>
        <w:rPr>
          <w:rFonts w:hint="eastAsia" w:ascii="仿宋" w:hAnsi="仿宋" w:eastAsia="仿宋" w:cs="仿宋"/>
          <w:kern w:val="0"/>
          <w:sz w:val="24"/>
          <w:lang w:val="en-US" w:eastAsia="zh-CN"/>
        </w:rPr>
        <w:t>项目</w:t>
      </w:r>
      <w:r>
        <w:rPr>
          <w:rFonts w:hint="eastAsia" w:ascii="仿宋" w:hAnsi="仿宋" w:eastAsia="仿宋" w:cs="仿宋"/>
          <w:kern w:val="0"/>
          <w:sz w:val="24"/>
        </w:rPr>
        <w:t>-某某公司</w:t>
      </w:r>
    </w:p>
    <w:p>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4.邮件正文：公司名称全称、项目联系人、联系电话（手机号码）</w:t>
      </w:r>
    </w:p>
    <w:p>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5.报名截止时间：2024</w:t>
      </w:r>
      <w:r>
        <w:rPr>
          <w:rFonts w:hint="eastAsia" w:ascii="仿宋" w:hAnsi="仿宋" w:eastAsia="仿宋" w:cs="仿宋"/>
          <w:color w:val="0000FF"/>
          <w:kern w:val="0"/>
          <w:sz w:val="24"/>
        </w:rPr>
        <w:t>年</w:t>
      </w:r>
      <w:r>
        <w:rPr>
          <w:rFonts w:hint="eastAsia" w:ascii="仿宋" w:hAnsi="仿宋" w:eastAsia="仿宋" w:cs="仿宋"/>
          <w:color w:val="0000FF"/>
          <w:kern w:val="0"/>
          <w:sz w:val="24"/>
          <w:lang w:val="en-US" w:eastAsia="zh-CN"/>
        </w:rPr>
        <w:t>4</w:t>
      </w:r>
      <w:r>
        <w:rPr>
          <w:rFonts w:hint="eastAsia" w:ascii="仿宋" w:hAnsi="仿宋" w:eastAsia="仿宋" w:cs="仿宋"/>
          <w:color w:val="0000FF"/>
          <w:kern w:val="0"/>
          <w:sz w:val="24"/>
        </w:rPr>
        <w:t>月</w:t>
      </w:r>
      <w:r>
        <w:rPr>
          <w:rFonts w:hint="eastAsia" w:ascii="仿宋" w:hAnsi="仿宋" w:eastAsia="仿宋" w:cs="仿宋"/>
          <w:color w:val="0000FF"/>
          <w:kern w:val="0"/>
          <w:sz w:val="24"/>
          <w:lang w:val="en-US" w:eastAsia="zh-CN"/>
        </w:rPr>
        <w:t>16</w:t>
      </w:r>
      <w:bookmarkStart w:id="134" w:name="_GoBack"/>
      <w:bookmarkEnd w:id="134"/>
      <w:r>
        <w:rPr>
          <w:rFonts w:hint="eastAsia" w:ascii="仿宋" w:hAnsi="仿宋" w:eastAsia="仿宋" w:cs="仿宋"/>
          <w:color w:val="0000FF"/>
          <w:kern w:val="0"/>
          <w:sz w:val="24"/>
        </w:rPr>
        <w:t>日下午17:00</w:t>
      </w:r>
      <w:r>
        <w:rPr>
          <w:rFonts w:hint="eastAsia" w:ascii="仿宋" w:hAnsi="仿宋" w:eastAsia="仿宋" w:cs="仿宋"/>
          <w:kern w:val="0"/>
          <w:sz w:val="24"/>
        </w:rPr>
        <w:t>，以邮件接收时间为准，超时视为无效报名。</w:t>
      </w:r>
    </w:p>
    <w:p>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6.若供应商于报名后两个工作日内仍未收到我院回复邮件的，请主动联系我院招投标与采购管理办公室联系人。</w:t>
      </w:r>
    </w:p>
    <w:p>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7.供应商的报名邮箱视为我院采购过程中比选文件、成交通知书及相关答疑回复的电子送达地址；电子文书成功发送至供应商提供的电子送达地址时，视为已送达。</w:t>
      </w:r>
    </w:p>
    <w:p>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三、供应商应如约响应我院采购评审会议，如因特殊情况未能响应需提前告知，无故临时退出将被记入我院供应商不良信用档案。</w:t>
      </w:r>
    </w:p>
    <w:p>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五、报名资料盖章后扫描成PDF版，各报名供应商应确保所提供报名资料一定要</w:t>
      </w:r>
      <w:r>
        <w:rPr>
          <w:rFonts w:hint="eastAsia" w:ascii="仿宋" w:hAnsi="仿宋" w:eastAsia="仿宋" w:cs="仿宋"/>
          <w:b/>
          <w:bCs/>
          <w:color w:val="FF0000"/>
          <w:sz w:val="24"/>
        </w:rPr>
        <w:t>真实、完整、清晰可辨</w:t>
      </w:r>
      <w:r>
        <w:rPr>
          <w:rFonts w:hint="eastAsia" w:ascii="仿宋" w:hAnsi="仿宋" w:eastAsia="仿宋" w:cs="仿宋"/>
          <w:b/>
          <w:bCs/>
          <w:sz w:val="24"/>
        </w:rPr>
        <w:t>，报名资料模糊不清、难以</w:t>
      </w:r>
      <w:r>
        <w:rPr>
          <w:rFonts w:hint="eastAsia" w:ascii="仿宋" w:hAnsi="仿宋" w:eastAsia="仿宋" w:cs="仿宋"/>
          <w:b/>
          <w:bCs/>
          <w:color w:val="FF0000"/>
          <w:sz w:val="24"/>
        </w:rPr>
        <w:t>辨认，</w:t>
      </w:r>
      <w:r>
        <w:rPr>
          <w:rFonts w:hint="eastAsia" w:ascii="仿宋" w:hAnsi="仿宋" w:eastAsia="仿宋" w:cs="仿宋"/>
          <w:b/>
          <w:bCs/>
          <w:sz w:val="24"/>
        </w:rPr>
        <w:t>视为未提供处理，由此造成报名不成功、不能进入评审环节等严重后果由供应商自行负责。</w:t>
      </w:r>
    </w:p>
    <w:p>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六、</w:t>
      </w:r>
      <w:r>
        <w:rPr>
          <w:rFonts w:hint="eastAsia" w:ascii="仿宋" w:hAnsi="仿宋" w:eastAsia="仿宋" w:cs="仿宋"/>
          <w:b/>
          <w:bCs/>
          <w:color w:val="FF0000"/>
          <w:sz w:val="24"/>
        </w:rPr>
        <w:t>完整的</w:t>
      </w:r>
      <w:r>
        <w:rPr>
          <w:rFonts w:hint="eastAsia" w:ascii="仿宋" w:hAnsi="仿宋" w:eastAsia="仿宋" w:cs="仿宋"/>
          <w:b/>
          <w:bCs/>
          <w:sz w:val="24"/>
        </w:rPr>
        <w:t>报名资料在</w:t>
      </w:r>
      <w:r>
        <w:rPr>
          <w:rFonts w:hint="eastAsia" w:ascii="仿宋" w:hAnsi="仿宋" w:eastAsia="仿宋" w:cs="仿宋"/>
          <w:b/>
          <w:bCs/>
          <w:color w:val="FF0000"/>
          <w:sz w:val="24"/>
        </w:rPr>
        <w:t>报名截止时间后</w:t>
      </w:r>
      <w:r>
        <w:rPr>
          <w:rFonts w:hint="eastAsia" w:ascii="仿宋" w:hAnsi="仿宋" w:eastAsia="仿宋" w:cs="仿宋"/>
          <w:b/>
          <w:bCs/>
          <w:sz w:val="24"/>
        </w:rPr>
        <w:t>提交，自动视为报名不成功，不能进入评审环节。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8"/>
      </w:pPr>
    </w:p>
    <w:p>
      <w:pPr>
        <w:pStyle w:val="4"/>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2"/>
        </w:numPr>
        <w:spacing w:line="360" w:lineRule="auto"/>
        <w:ind w:left="420" w:hangingChars="175"/>
        <w:rPr>
          <w:rFonts w:ascii="仿宋" w:hAnsi="仿宋" w:eastAsia="仿宋" w:cs="仿宋"/>
          <w:bCs/>
          <w:sz w:val="24"/>
          <w:szCs w:val="24"/>
        </w:rPr>
      </w:pPr>
      <w:r>
        <w:rPr>
          <w:rFonts w:hint="eastAsia" w:ascii="仿宋" w:hAnsi="仿宋" w:eastAsia="仿宋" w:cs="仿宋"/>
          <w:sz w:val="24"/>
        </w:rPr>
        <w:t>封面（详见报名格式文件模板）</w:t>
      </w:r>
    </w:p>
    <w:p>
      <w:pPr>
        <w:pStyle w:val="24"/>
        <w:numPr>
          <w:ilvl w:val="0"/>
          <w:numId w:val="2"/>
        </w:numPr>
        <w:spacing w:line="360" w:lineRule="auto"/>
        <w:ind w:left="0" w:firstLine="0" w:firstLineChars="0"/>
        <w:rPr>
          <w:rFonts w:ascii="仿宋" w:hAnsi="仿宋" w:eastAsia="仿宋" w:cs="仿宋"/>
          <w:sz w:val="24"/>
        </w:rPr>
      </w:pPr>
      <w:r>
        <w:rPr>
          <w:rFonts w:hint="eastAsia" w:ascii="仿宋" w:hAnsi="仿宋" w:eastAsia="仿宋" w:cs="仿宋"/>
          <w:sz w:val="24"/>
        </w:rPr>
        <w:t>报名资质要求（详见报名格式文件模板）</w:t>
      </w:r>
    </w:p>
    <w:p>
      <w:pPr>
        <w:pStyle w:val="7"/>
        <w:spacing w:line="360" w:lineRule="auto"/>
        <w:rPr>
          <w:rFonts w:ascii="仿宋" w:hAnsi="仿宋" w:eastAsia="仿宋" w:cs="仿宋"/>
          <w:sz w:val="24"/>
          <w:szCs w:val="24"/>
        </w:rPr>
      </w:pPr>
      <w:r>
        <w:rPr>
          <w:rFonts w:hint="eastAsia" w:ascii="仿宋" w:hAnsi="仿宋" w:eastAsia="仿宋" w:cs="仿宋"/>
          <w:sz w:val="24"/>
          <w:szCs w:val="24"/>
        </w:rPr>
        <w:t>（1）供应商应具备以下条件：</w:t>
      </w:r>
    </w:p>
    <w:p>
      <w:pPr>
        <w:pStyle w:val="7"/>
        <w:spacing w:line="360" w:lineRule="auto"/>
        <w:rPr>
          <w:rFonts w:ascii="仿宋" w:hAnsi="仿宋" w:eastAsia="仿宋" w:cs="仿宋"/>
          <w:sz w:val="24"/>
          <w:szCs w:val="24"/>
        </w:rPr>
      </w:pPr>
      <w:r>
        <w:rPr>
          <w:rFonts w:hint="eastAsia" w:ascii="仿宋" w:hAnsi="仿宋" w:eastAsia="仿宋" w:cs="仿宋"/>
          <w:sz w:val="24"/>
          <w:szCs w:val="24"/>
        </w:rPr>
        <w:t>①具有良好的商业信誉和健全的财务会计制度；</w:t>
      </w:r>
    </w:p>
    <w:p>
      <w:pPr>
        <w:pStyle w:val="7"/>
        <w:spacing w:line="360" w:lineRule="auto"/>
        <w:rPr>
          <w:rFonts w:ascii="仿宋" w:hAnsi="仿宋" w:eastAsia="仿宋" w:cs="仿宋"/>
          <w:sz w:val="24"/>
          <w:szCs w:val="24"/>
        </w:rPr>
      </w:pPr>
      <w:r>
        <w:rPr>
          <w:rFonts w:hint="eastAsia" w:ascii="仿宋" w:hAnsi="仿宋" w:eastAsia="仿宋" w:cs="仿宋"/>
          <w:sz w:val="24"/>
          <w:szCs w:val="24"/>
        </w:rPr>
        <w:t>②有依法缴纳税收和社会保障资金的良好记录；</w:t>
      </w:r>
    </w:p>
    <w:p>
      <w:pPr>
        <w:pStyle w:val="7"/>
        <w:spacing w:line="360" w:lineRule="auto"/>
        <w:rPr>
          <w:rFonts w:ascii="仿宋" w:hAnsi="仿宋" w:eastAsia="仿宋" w:cs="仿宋"/>
          <w:sz w:val="24"/>
          <w:szCs w:val="24"/>
        </w:rPr>
      </w:pPr>
      <w:r>
        <w:rPr>
          <w:rFonts w:hint="eastAsia" w:ascii="仿宋" w:hAnsi="仿宋" w:eastAsia="仿宋" w:cs="仿宋"/>
          <w:sz w:val="24"/>
          <w:szCs w:val="24"/>
        </w:rPr>
        <w:t>③具备履行合同所必需的设备和专业技术能力；</w:t>
      </w:r>
    </w:p>
    <w:p>
      <w:pPr>
        <w:pStyle w:val="7"/>
        <w:spacing w:line="360" w:lineRule="auto"/>
        <w:rPr>
          <w:rFonts w:ascii="仿宋" w:hAnsi="仿宋" w:eastAsia="仿宋" w:cs="仿宋"/>
          <w:sz w:val="24"/>
          <w:szCs w:val="24"/>
        </w:rPr>
      </w:pPr>
      <w:r>
        <w:rPr>
          <w:rFonts w:hint="eastAsia" w:ascii="仿宋" w:hAnsi="仿宋" w:eastAsia="仿宋" w:cs="仿宋"/>
          <w:sz w:val="24"/>
          <w:szCs w:val="24"/>
        </w:rPr>
        <w:t>④参加本次采购活动前三年内，在经营活动中没有重大违法记录。</w:t>
      </w:r>
    </w:p>
    <w:p>
      <w:pPr>
        <w:pStyle w:val="7"/>
        <w:spacing w:line="360" w:lineRule="auto"/>
        <w:rPr>
          <w:rFonts w:ascii="仿宋" w:hAnsi="仿宋" w:eastAsia="仿宋" w:cs="仿宋"/>
          <w:sz w:val="24"/>
          <w:szCs w:val="24"/>
        </w:rPr>
      </w:pPr>
      <w:r>
        <w:rPr>
          <w:rFonts w:hint="eastAsia" w:ascii="仿宋" w:hAnsi="仿宋" w:eastAsia="仿宋" w:cs="仿宋"/>
          <w:sz w:val="24"/>
          <w:szCs w:val="24"/>
        </w:rPr>
        <w:t>（2）被“信用中国”网站列入失信被执行人和重大税收违法失信主体的、被“中国政府采购网”网站列入政府采购严重违法失信行为记录名单（处罚期限尚未届满的）的供应商，不得参与本项目的采购活动。</w:t>
      </w:r>
    </w:p>
    <w:p>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（3）法定代表人或单位负责人为同一人或者存在直接控股、管理关系的不同响应单位，不得参加同一合同项下的采购活动。</w:t>
      </w:r>
    </w:p>
    <w:p>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（4）为本采购项目提供过整体设计、规范编制或者项目管理、监理、检测等服务的供应商及其附属机构，不得再参加本采购项目的响应。</w:t>
      </w:r>
    </w:p>
    <w:p>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（5）本项目不接受联合体报名，成交供应商不得分包、转包。</w:t>
      </w:r>
    </w:p>
    <w:p>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（6）供应商营业执照（提供复印件,并加盖供应商公司公章。如为分公司报名，必须同时提供总公司的营业执照副本复印件及总公司针对本项目响应的授权书。）</w:t>
      </w: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4"/>
        <w:jc w:val="center"/>
      </w:pPr>
    </w:p>
    <w:p>
      <w:pPr>
        <w:pStyle w:val="4"/>
      </w:pPr>
    </w:p>
    <w:p>
      <w:pPr>
        <w:pStyle w:val="4"/>
        <w:jc w:val="center"/>
      </w:pPr>
    </w:p>
    <w:p>
      <w:pPr>
        <w:pStyle w:val="4"/>
        <w:jc w:val="center"/>
      </w:pPr>
    </w:p>
    <w:p>
      <w:pPr>
        <w:pStyle w:val="4"/>
        <w:jc w:val="center"/>
      </w:pPr>
    </w:p>
    <w:p>
      <w:pPr>
        <w:pStyle w:val="4"/>
        <w:jc w:val="center"/>
      </w:pPr>
      <w:r>
        <w:rPr>
          <w:rFonts w:hint="eastAsia"/>
        </w:rPr>
        <w:t>第三部分 报名格式文件模板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ascii="宋体" w:hAnsi="宋体" w:cs="宋体"/>
          <w:b/>
          <w:kern w:val="0"/>
          <w:sz w:val="40"/>
          <w:szCs w:val="27"/>
        </w:rPr>
      </w:pPr>
      <w:bookmarkStart w:id="12" w:name="_Toc24"/>
      <w:bookmarkStart w:id="13" w:name="_Toc14488"/>
      <w:bookmarkStart w:id="14" w:name="_Toc31740"/>
      <w:bookmarkStart w:id="15" w:name="_Toc25869"/>
      <w:bookmarkStart w:id="16" w:name="_Toc31053"/>
      <w:bookmarkStart w:id="17" w:name="_Toc6408"/>
      <w:bookmarkStart w:id="18" w:name="_Toc17375"/>
      <w:bookmarkStart w:id="19" w:name="_Toc6151"/>
      <w:bookmarkStart w:id="20" w:name="_Toc28528"/>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ascii="宋体" w:hAnsi="宋体" w:cs="宋体"/>
          <w:b/>
          <w:kern w:val="0"/>
          <w:sz w:val="52"/>
          <w:szCs w:val="52"/>
        </w:rPr>
      </w:pPr>
    </w:p>
    <w:p>
      <w:pPr>
        <w:jc w:val="center"/>
        <w:rPr>
          <w:rFonts w:ascii="宋体" w:hAnsi="宋体" w:cs="宋体"/>
          <w:b/>
          <w:kern w:val="0"/>
          <w:sz w:val="52"/>
          <w:szCs w:val="52"/>
        </w:rPr>
      </w:pPr>
    </w:p>
    <w:p>
      <w:pPr>
        <w:jc w:val="center"/>
        <w:rPr>
          <w:rFonts w:ascii="宋体" w:hAnsi="宋体" w:cs="宋体"/>
          <w:b/>
          <w:kern w:val="0"/>
          <w:sz w:val="52"/>
          <w:szCs w:val="52"/>
        </w:rPr>
      </w:pPr>
    </w:p>
    <w:p>
      <w:pPr>
        <w:jc w:val="center"/>
        <w:rPr>
          <w:rFonts w:ascii="仿宋" w:hAnsi="仿宋" w:eastAsia="仿宋" w:cs="仿宋"/>
          <w:b/>
          <w:kern w:val="0"/>
          <w:sz w:val="28"/>
          <w:szCs w:val="28"/>
        </w:rPr>
      </w:pPr>
      <w:r>
        <w:rPr>
          <w:rFonts w:hint="eastAsia" w:ascii="仿宋" w:hAnsi="仿宋" w:eastAsia="仿宋" w:cs="仿宋"/>
          <w:b/>
          <w:kern w:val="0"/>
          <w:sz w:val="52"/>
          <w:szCs w:val="52"/>
        </w:rPr>
        <w:t>中山大学孙逸仙纪念医院</w:t>
      </w:r>
    </w:p>
    <w:p>
      <w:pPr>
        <w:pStyle w:val="3"/>
        <w:spacing w:before="0" w:beforeAutospacing="0" w:after="0" w:afterAutospacing="0"/>
        <w:jc w:val="center"/>
        <w:rPr>
          <w:rFonts w:ascii="仿宋" w:hAnsi="仿宋" w:eastAsia="仿宋" w:cs="仿宋"/>
          <w:bCs w:val="0"/>
          <w:kern w:val="0"/>
          <w:sz w:val="52"/>
          <w:szCs w:val="52"/>
        </w:rPr>
      </w:pPr>
      <w:r>
        <w:rPr>
          <w:rFonts w:hint="eastAsia" w:ascii="仿宋" w:hAnsi="仿宋" w:eastAsia="仿宋" w:cs="仿宋"/>
          <w:bCs w:val="0"/>
          <w:kern w:val="0"/>
          <w:sz w:val="52"/>
          <w:szCs w:val="52"/>
          <w:lang w:val="zh-CN"/>
        </w:rPr>
        <w:t>采购</w:t>
      </w:r>
      <w:r>
        <w:rPr>
          <w:rFonts w:hint="eastAsia" w:ascii="仿宋" w:hAnsi="仿宋" w:eastAsia="仿宋" w:cs="仿宋"/>
          <w:bCs w:val="0"/>
          <w:kern w:val="0"/>
          <w:sz w:val="52"/>
          <w:szCs w:val="52"/>
        </w:rPr>
        <w:t>检验系统维保及检验系统南校园扩容项目</w:t>
      </w:r>
    </w:p>
    <w:p>
      <w:pPr>
        <w:spacing w:line="480" w:lineRule="auto"/>
        <w:jc w:val="center"/>
        <w:rPr>
          <w:rFonts w:ascii="宋体" w:hAnsi="宋体"/>
          <w:b/>
          <w:bCs/>
          <w:sz w:val="72"/>
          <w:szCs w:val="72"/>
        </w:rPr>
      </w:pPr>
    </w:p>
    <w:p>
      <w:pPr>
        <w:widowControl/>
        <w:spacing w:line="360" w:lineRule="auto"/>
        <w:jc w:val="center"/>
        <w:outlineLvl w:val="0"/>
        <w:rPr>
          <w:rFonts w:ascii="仿宋" w:hAnsi="仿宋" w:eastAsia="仿宋" w:cs="仿宋"/>
          <w:kern w:val="0"/>
          <w:sz w:val="72"/>
          <w:szCs w:val="72"/>
        </w:rPr>
      </w:pPr>
      <w:bookmarkStart w:id="21" w:name="_Toc12520"/>
      <w:bookmarkStart w:id="22" w:name="_Toc28703"/>
      <w:bookmarkStart w:id="23" w:name="_Toc7291"/>
      <w:bookmarkStart w:id="24" w:name="_Toc1994"/>
      <w:bookmarkStart w:id="25" w:name="_Toc15870"/>
      <w:bookmarkStart w:id="26" w:name="_Toc3471"/>
      <w:bookmarkStart w:id="27" w:name="_Toc435"/>
      <w:bookmarkStart w:id="28" w:name="_Toc8364"/>
      <w:bookmarkStart w:id="29" w:name="_Toc6547"/>
      <w:bookmarkStart w:id="30" w:name="_Toc21249"/>
      <w:bookmarkStart w:id="31" w:name="_Toc40776111"/>
      <w:bookmarkStart w:id="32" w:name="_Toc40346375"/>
      <w:bookmarkStart w:id="33" w:name="_Toc11305"/>
      <w:bookmarkStart w:id="34" w:name="_Toc11075"/>
      <w:bookmarkStart w:id="35" w:name="_Toc29113"/>
      <w:bookmarkStart w:id="36" w:name="_Toc40346216"/>
      <w:bookmarkStart w:id="37" w:name="_Toc26267"/>
      <w:r>
        <w:rPr>
          <w:rFonts w:hint="eastAsia" w:ascii="仿宋" w:hAnsi="仿宋" w:eastAsia="仿宋" w:cs="仿宋"/>
          <w:b/>
          <w:bCs/>
          <w:sz w:val="72"/>
          <w:szCs w:val="72"/>
        </w:rPr>
        <w:t>报名资料</w:t>
      </w:r>
    </w:p>
    <w:p>
      <w:pPr>
        <w:widowControl/>
        <w:spacing w:line="360" w:lineRule="auto"/>
        <w:ind w:firstLine="600"/>
        <w:outlineLvl w:val="0"/>
        <w:rPr>
          <w:rFonts w:ascii="仿宋" w:hAnsi="仿宋" w:eastAsia="仿宋" w:cs="仿宋"/>
          <w:kern w:val="0"/>
          <w:sz w:val="30"/>
          <w:szCs w:val="30"/>
        </w:rPr>
      </w:pPr>
    </w:p>
    <w:p>
      <w:pPr>
        <w:widowControl/>
        <w:spacing w:line="360" w:lineRule="auto"/>
        <w:ind w:firstLine="600"/>
        <w:outlineLvl w:val="0"/>
        <w:rPr>
          <w:rFonts w:ascii="仿宋" w:hAnsi="仿宋" w:eastAsia="仿宋" w:cs="仿宋"/>
          <w:kern w:val="0"/>
          <w:sz w:val="30"/>
          <w:szCs w:val="30"/>
        </w:rPr>
      </w:pPr>
    </w:p>
    <w:p>
      <w:pPr>
        <w:widowControl/>
        <w:spacing w:line="360" w:lineRule="auto"/>
        <w:ind w:firstLine="600" w:firstLineChars="200"/>
        <w:outlineLvl w:val="0"/>
        <w:rPr>
          <w:rFonts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709"/>
      <w:bookmarkStart w:id="39" w:name="_Toc1743"/>
      <w:bookmarkStart w:id="40" w:name="_Toc20884"/>
      <w:bookmarkStart w:id="41" w:name="_Toc2916"/>
      <w:bookmarkStart w:id="42" w:name="_Toc27997"/>
      <w:bookmarkStart w:id="43" w:name="_Toc40346376"/>
      <w:bookmarkStart w:id="44" w:name="_Toc40346217"/>
      <w:bookmarkStart w:id="45" w:name="_Toc40776112"/>
    </w:p>
    <w:p>
      <w:pPr>
        <w:widowControl/>
        <w:spacing w:line="360" w:lineRule="auto"/>
        <w:ind w:firstLine="600"/>
        <w:outlineLvl w:val="0"/>
        <w:rPr>
          <w:rFonts w:ascii="仿宋" w:hAnsi="仿宋" w:eastAsia="仿宋" w:cs="仿宋"/>
          <w:kern w:val="0"/>
          <w:sz w:val="30"/>
          <w:szCs w:val="30"/>
        </w:rPr>
      </w:pPr>
      <w:bookmarkStart w:id="46" w:name="_Toc11485"/>
      <w:bookmarkStart w:id="47" w:name="_Toc23097"/>
      <w:bookmarkStart w:id="48" w:name="_Toc2012"/>
      <w:bookmarkStart w:id="49" w:name="_Toc31538"/>
      <w:bookmarkStart w:id="50" w:name="_Toc30979"/>
      <w:bookmarkStart w:id="51" w:name="_Toc5238"/>
      <w:bookmarkStart w:id="52" w:name="_Toc19699"/>
      <w:bookmarkStart w:id="53" w:name="_Toc2029"/>
      <w:bookmarkStart w:id="54" w:name="_Toc29102"/>
      <w:r>
        <w:rPr>
          <w:rFonts w:hint="eastAsia" w:ascii="仿宋" w:hAnsi="仿宋" w:eastAsia="仿宋" w:cs="仿宋"/>
          <w:kern w:val="0"/>
          <w:sz w:val="30"/>
          <w:szCs w:val="30"/>
        </w:rPr>
        <w:t>公司名称（加盖公章）：</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ascii="仿宋" w:hAnsi="仿宋" w:eastAsia="仿宋" w:cs="仿宋"/>
          <w:kern w:val="0"/>
          <w:sz w:val="30"/>
          <w:szCs w:val="30"/>
        </w:rPr>
      </w:pPr>
      <w:bookmarkStart w:id="55" w:name="_Toc11141"/>
      <w:bookmarkStart w:id="56" w:name="_Toc14824"/>
      <w:bookmarkStart w:id="57" w:name="_Toc7052"/>
      <w:bookmarkStart w:id="58" w:name="_Toc28064"/>
      <w:bookmarkStart w:id="59" w:name="_Toc40346377"/>
      <w:bookmarkStart w:id="60" w:name="_Toc21483"/>
      <w:bookmarkStart w:id="61" w:name="_Toc16794"/>
      <w:bookmarkStart w:id="62" w:name="_Toc40346218"/>
      <w:bookmarkStart w:id="63" w:name="_Toc17930"/>
      <w:bookmarkStart w:id="64" w:name="_Toc11558"/>
      <w:bookmarkStart w:id="65" w:name="_Toc31993"/>
      <w:bookmarkStart w:id="66" w:name="_Toc4013"/>
      <w:bookmarkStart w:id="67" w:name="_Toc40776113"/>
      <w:bookmarkStart w:id="68" w:name="_Toc29767"/>
      <w:bookmarkStart w:id="69" w:name="_Toc12645"/>
      <w:bookmarkStart w:id="70" w:name="_Toc27867"/>
      <w:bookmarkStart w:id="71" w:name="_Toc24763"/>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ascii="仿宋" w:hAnsi="仿宋" w:eastAsia="仿宋" w:cs="仿宋"/>
          <w:kern w:val="0"/>
          <w:sz w:val="30"/>
          <w:szCs w:val="30"/>
        </w:rPr>
      </w:pPr>
      <w:bookmarkStart w:id="72" w:name="_Toc40346378"/>
      <w:bookmarkStart w:id="73" w:name="_Toc14287"/>
      <w:bookmarkStart w:id="74" w:name="_Toc31197"/>
      <w:bookmarkStart w:id="75" w:name="_Toc16813"/>
      <w:bookmarkStart w:id="76" w:name="_Toc1324"/>
      <w:bookmarkStart w:id="77" w:name="_Toc24651"/>
      <w:bookmarkStart w:id="78" w:name="_Toc32709"/>
      <w:bookmarkStart w:id="79" w:name="_Toc40346219"/>
      <w:bookmarkStart w:id="80" w:name="_Toc19831"/>
      <w:bookmarkStart w:id="81" w:name="_Toc6438"/>
      <w:bookmarkStart w:id="82" w:name="_Toc26029"/>
      <w:bookmarkStart w:id="83" w:name="_Toc9883"/>
      <w:bookmarkStart w:id="84" w:name="_Toc17537"/>
      <w:bookmarkStart w:id="85" w:name="_Toc27771"/>
      <w:bookmarkStart w:id="86" w:name="_Toc40776114"/>
      <w:bookmarkStart w:id="87" w:name="_Toc11334"/>
      <w:bookmarkStart w:id="88" w:name="_Toc4563"/>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ascii="仿宋" w:hAnsi="仿宋" w:eastAsia="仿宋" w:cs="仿宋"/>
          <w:kern w:val="0"/>
          <w:sz w:val="30"/>
          <w:szCs w:val="30"/>
        </w:rPr>
      </w:pPr>
      <w:bookmarkStart w:id="89" w:name="_Toc21686"/>
      <w:bookmarkStart w:id="90" w:name="_Toc12650"/>
      <w:bookmarkStart w:id="91" w:name="_Toc18353"/>
      <w:bookmarkStart w:id="92" w:name="_Toc13222"/>
      <w:bookmarkStart w:id="93" w:name="_Toc30336"/>
      <w:bookmarkStart w:id="94" w:name="_Toc3895"/>
      <w:bookmarkStart w:id="95" w:name="_Toc17483"/>
      <w:bookmarkStart w:id="96" w:name="_Toc21940"/>
      <w:bookmarkStart w:id="97" w:name="_Toc14586"/>
      <w:bookmarkStart w:id="98" w:name="_Toc40776115"/>
      <w:bookmarkStart w:id="99" w:name="_Toc5189"/>
      <w:bookmarkStart w:id="100" w:name="_Toc40346220"/>
      <w:bookmarkStart w:id="101" w:name="_Toc5634"/>
      <w:bookmarkStart w:id="102" w:name="_Toc40346379"/>
      <w:bookmarkStart w:id="103" w:name="_Toc27206"/>
      <w:bookmarkStart w:id="104" w:name="_Toc20994"/>
      <w:bookmarkStart w:id="105" w:name="_Toc27868"/>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ascii="仿宋" w:hAnsi="仿宋" w:eastAsia="仿宋" w:cs="仿宋"/>
          <w:kern w:val="0"/>
          <w:sz w:val="30"/>
          <w:szCs w:val="30"/>
        </w:rPr>
      </w:pPr>
      <w:bookmarkStart w:id="106" w:name="_Toc12127"/>
      <w:bookmarkStart w:id="107" w:name="_Toc14462"/>
      <w:bookmarkStart w:id="108" w:name="_Toc5220"/>
      <w:bookmarkStart w:id="109" w:name="_Toc30904"/>
      <w:bookmarkStart w:id="110" w:name="_Toc21449"/>
      <w:bookmarkStart w:id="111" w:name="_Toc40346380"/>
      <w:bookmarkStart w:id="112" w:name="_Toc9282"/>
      <w:bookmarkStart w:id="113" w:name="_Toc27646"/>
      <w:bookmarkStart w:id="114" w:name="_Toc11547"/>
      <w:bookmarkStart w:id="115" w:name="_Toc3498"/>
      <w:bookmarkStart w:id="116" w:name="_Toc27009"/>
      <w:bookmarkStart w:id="117" w:name="_Toc32371"/>
      <w:bookmarkStart w:id="118" w:name="_Toc30856"/>
      <w:bookmarkStart w:id="119" w:name="_Toc10454"/>
      <w:bookmarkStart w:id="120" w:name="_Toc40776116"/>
      <w:bookmarkStart w:id="121" w:name="_Toc8526"/>
      <w:bookmarkStart w:id="122" w:name="_Toc40346221"/>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8"/>
      </w:pPr>
    </w:p>
    <w:p>
      <w:pPr>
        <w:pStyle w:val="18"/>
      </w:pPr>
    </w:p>
    <w:p>
      <w:pPr>
        <w:pStyle w:val="24"/>
        <w:spacing w:line="360" w:lineRule="auto"/>
        <w:ind w:firstLine="0" w:firstLineChars="0"/>
        <w:rPr>
          <w:rFonts w:ascii="宋体" w:hAnsi="宋体"/>
          <w:bCs/>
          <w:color w:val="FF0000"/>
          <w:sz w:val="24"/>
          <w:szCs w:val="24"/>
        </w:rPr>
      </w:pPr>
      <w:bookmarkStart w:id="123" w:name="_Toc10399"/>
      <w:bookmarkStart w:id="124" w:name="_Toc9697"/>
      <w:bookmarkStart w:id="125" w:name="_Toc28747"/>
      <w:bookmarkStart w:id="126" w:name="_Toc15539"/>
      <w:bookmarkStart w:id="127" w:name="_Toc6691"/>
      <w:bookmarkStart w:id="128" w:name="_Toc16728"/>
      <w:bookmarkStart w:id="129" w:name="_Toc21213"/>
      <w:bookmarkStart w:id="130" w:name="_Toc16608"/>
      <w:bookmarkStart w:id="131" w:name="_Toc13184"/>
      <w:bookmarkStart w:id="132" w:name="_Toc31077"/>
      <w:bookmarkStart w:id="133" w:name="_Toc8637"/>
    </w:p>
    <w:p>
      <w:pPr>
        <w:pStyle w:val="24"/>
        <w:spacing w:line="360" w:lineRule="auto"/>
        <w:ind w:firstLine="0" w:firstLineChars="0"/>
        <w:rPr>
          <w:rFonts w:ascii="宋体" w:hAnsi="宋体"/>
          <w:bCs/>
          <w:color w:val="FF0000"/>
          <w:sz w:val="24"/>
          <w:szCs w:val="24"/>
        </w:rPr>
      </w:pPr>
    </w:p>
    <w:p>
      <w:pPr>
        <w:widowControl/>
        <w:jc w:val="center"/>
        <w:rPr>
          <w:rFonts w:ascii="宋体" w:hAnsi="宋体" w:cs="宋体"/>
          <w:b/>
          <w:bCs/>
          <w:color w:val="000000"/>
          <w:kern w:val="0"/>
          <w:sz w:val="32"/>
          <w:szCs w:val="32"/>
        </w:rPr>
      </w:pPr>
    </w:p>
    <w:p>
      <w:pPr>
        <w:widowControl/>
        <w:jc w:val="center"/>
        <w:rPr>
          <w:rFonts w:ascii="宋体" w:hAnsi="宋体" w:cs="宋体"/>
          <w:b/>
          <w:bCs/>
          <w:color w:val="000000"/>
          <w:kern w:val="0"/>
          <w:sz w:val="32"/>
          <w:szCs w:val="32"/>
        </w:rPr>
      </w:pPr>
    </w:p>
    <w:p>
      <w:pPr>
        <w:pStyle w:val="3"/>
      </w:pPr>
    </w:p>
    <w:p>
      <w:pPr>
        <w:pStyle w:val="2"/>
      </w:pPr>
    </w:p>
    <w:p>
      <w:pPr>
        <w:pStyle w:val="2"/>
        <w:rPr>
          <w:rFonts w:ascii="宋体" w:hAnsi="宋体" w:cs="宋体"/>
          <w:b/>
          <w:bCs/>
          <w:color w:val="000000"/>
          <w:kern w:val="0"/>
          <w:sz w:val="32"/>
          <w:szCs w:val="32"/>
        </w:rPr>
      </w:pPr>
    </w:p>
    <w:p>
      <w:pPr>
        <w:widowControl/>
        <w:jc w:val="center"/>
        <w:rPr>
          <w:rFonts w:ascii="仿宋" w:hAnsi="仿宋" w:eastAsia="仿宋" w:cs="仿宋"/>
          <w:color w:val="000000"/>
          <w:sz w:val="24"/>
        </w:rPr>
      </w:pPr>
      <w:r>
        <w:rPr>
          <w:rFonts w:hint="eastAsia" w:ascii="仿宋" w:hAnsi="仿宋" w:eastAsia="仿宋" w:cs="仿宋"/>
          <w:b/>
          <w:bCs/>
          <w:color w:val="000000"/>
          <w:kern w:val="0"/>
          <w:sz w:val="32"/>
          <w:szCs w:val="32"/>
        </w:rPr>
        <w:t>一、资格声明函</w:t>
      </w:r>
    </w:p>
    <w:p>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检验系统维保及检验系统南校园扩容</w:t>
      </w:r>
      <w:r>
        <w:rPr>
          <w:rFonts w:hint="eastAsia" w:ascii="仿宋" w:hAnsi="仿宋" w:eastAsia="仿宋" w:cs="仿宋"/>
          <w:bCs/>
          <w:color w:val="000000" w:themeColor="text1"/>
          <w:sz w:val="24"/>
          <w:u w:val="single"/>
          <w14:textFill>
            <w14:solidFill>
              <w14:schemeClr w14:val="tx1"/>
            </w14:solidFill>
          </w14:textFill>
        </w:rPr>
        <w:t>项目</w:t>
      </w:r>
      <w:r>
        <w:rPr>
          <w:rFonts w:hint="eastAsia" w:ascii="仿宋" w:hAnsi="仿宋" w:eastAsia="仿宋" w:cs="仿宋"/>
          <w:sz w:val="24"/>
        </w:rPr>
        <w:t>的比选邀请，本单位（企业）自愿参加报名响应，现声明如下：</w:t>
      </w:r>
    </w:p>
    <w:p>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(1)本单位</w:t>
      </w:r>
      <w:r>
        <w:rPr>
          <w:rFonts w:hint="eastAsia" w:ascii="仿宋" w:hAnsi="仿宋" w:eastAsia="仿宋" w:cs="仿宋"/>
          <w:sz w:val="24"/>
        </w:rPr>
        <w:t>（企业）</w:t>
      </w:r>
      <w:r>
        <w:rPr>
          <w:rFonts w:hint="eastAsia" w:ascii="仿宋" w:hAnsi="仿宋" w:eastAsia="仿宋" w:cs="仿宋"/>
          <w:sz w:val="24"/>
          <w:szCs w:val="24"/>
        </w:rPr>
        <w:t>已完全清楚本项目比选文件的内容和要求。</w:t>
      </w:r>
    </w:p>
    <w:p>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(2)本单位（企业）具有履行合同所必需的设备和专业技术能力，且参加本次采购活动前</w:t>
      </w:r>
      <w:r>
        <w:rPr>
          <w:rFonts w:hint="eastAsia" w:ascii="仿宋" w:hAnsi="仿宋" w:eastAsia="仿宋" w:cs="仿宋"/>
          <w:sz w:val="24"/>
          <w:szCs w:val="24"/>
          <w:u w:val="single"/>
        </w:rPr>
        <w:t>三</w:t>
      </w:r>
      <w:r>
        <w:rPr>
          <w:rFonts w:hint="eastAsia" w:ascii="仿宋" w:hAnsi="仿宋" w:eastAsia="仿宋" w:cs="仿宋"/>
          <w:sz w:val="24"/>
          <w:szCs w:val="24"/>
        </w:rPr>
        <w:t>年内在经营活动中没有重大违法记录。否则，由此所造成的损失、不良后果及法律责任，一律由我单位承担。</w:t>
      </w:r>
    </w:p>
    <w:p>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(3)本公司（企业）具有良好的商业信誉和健全的财务会计制度、具有依法缴纳税收和社会保障资金的良好记录。</w:t>
      </w:r>
    </w:p>
    <w:p>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(4)本公司（企业）承诺绝不存在“法定代表人或单位负责人为同一人或者存在直接控股、管理关系的不同响应单位，参加同一合同项下的采购活动”的情况。</w:t>
      </w:r>
    </w:p>
    <w:p>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(5)本公司（企业）参加本次采购活动，具备独立实施能力，属于非联合体响应。</w:t>
      </w:r>
    </w:p>
    <w:p>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(6)本公司（企业）承诺绝不存在“为本采购项目提供过整体设计、规范编制或者项目管理、监理、检测等服务”的情况。</w:t>
      </w:r>
    </w:p>
    <w:p>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(7)本公司（企业）承诺如若成交，绝不分包、转包本项目。</w:t>
      </w:r>
    </w:p>
    <w:p>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18"/>
        <w:adjustRightInd w:val="0"/>
        <w:snapToGrid w:val="0"/>
        <w:spacing w:line="360" w:lineRule="auto"/>
        <w:ind w:firstLine="420" w:firstLineChars="175"/>
        <w:rPr>
          <w:rFonts w:ascii="仿宋" w:hAnsi="仿宋" w:eastAsia="仿宋" w:cs="仿宋"/>
          <w:sz w:val="24"/>
        </w:rPr>
      </w:pPr>
      <w:r>
        <w:rPr>
          <w:rFonts w:hint="eastAsia" w:ascii="仿宋" w:hAnsi="仿宋" w:eastAsia="仿宋" w:cs="仿宋"/>
          <w:sz w:val="24"/>
          <w:szCs w:val="24"/>
        </w:rPr>
        <w:t xml:space="preserve">(9)本次采购活动中，如有违法、违规、弄虚作假行为，所造成的损失、不良后果及法律责任，一律由我单位承担。 </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pPr>
        <w:adjustRightInd w:val="0"/>
        <w:snapToGrid w:val="0"/>
        <w:spacing w:line="360" w:lineRule="auto"/>
        <w:ind w:firstLine="480" w:firstLineChars="200"/>
        <w:rPr>
          <w:rFonts w:ascii="仿宋" w:hAnsi="仿宋" w:eastAsia="仿宋" w:cs="仿宋"/>
        </w:rPr>
      </w:pPr>
      <w:r>
        <w:rPr>
          <w:rFonts w:hint="eastAsia" w:ascii="仿宋" w:hAnsi="仿宋" w:eastAsia="仿宋" w:cs="仿宋"/>
          <w:b/>
          <w:sz w:val="24"/>
        </w:rPr>
        <w:t>（注：本资格声明函内容不得擅自删改）</w:t>
      </w:r>
    </w:p>
    <w:p>
      <w:pPr>
        <w:pStyle w:val="29"/>
        <w:rPr>
          <w:rFonts w:ascii="仿宋" w:hAnsi="仿宋" w:eastAsia="仿宋" w:cs="仿宋"/>
          <w:color w:val="000000"/>
        </w:rPr>
      </w:pPr>
    </w:p>
    <w:p>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pPr>
        <w:pStyle w:val="25"/>
        <w:tabs>
          <w:tab w:val="left" w:pos="1050"/>
          <w:tab w:val="center" w:pos="4535"/>
        </w:tabs>
        <w:spacing w:line="360" w:lineRule="auto"/>
        <w:jc w:val="center"/>
        <w:outlineLvl w:val="0"/>
        <w:rPr>
          <w:rFonts w:ascii="仿宋" w:hAnsi="仿宋" w:eastAsia="仿宋" w:cs="仿宋"/>
          <w:b/>
          <w:bCs/>
          <w:color w:val="000000"/>
          <w:sz w:val="32"/>
          <w:szCs w:val="32"/>
        </w:rPr>
      </w:pPr>
    </w:p>
    <w:p>
      <w:pPr>
        <w:pStyle w:val="25"/>
        <w:tabs>
          <w:tab w:val="left" w:pos="1050"/>
          <w:tab w:val="center" w:pos="4535"/>
        </w:tabs>
        <w:spacing w:line="360" w:lineRule="auto"/>
        <w:jc w:val="center"/>
        <w:outlineLvl w:val="0"/>
        <w:rPr>
          <w:rFonts w:ascii="仿宋" w:hAnsi="仿宋" w:eastAsia="仿宋" w:cs="仿宋"/>
          <w:b/>
          <w:bCs/>
          <w:color w:val="000000"/>
          <w:sz w:val="32"/>
          <w:szCs w:val="32"/>
        </w:rPr>
      </w:pPr>
    </w:p>
    <w:p>
      <w:pPr>
        <w:pStyle w:val="25"/>
        <w:tabs>
          <w:tab w:val="left" w:pos="1050"/>
          <w:tab w:val="center" w:pos="4535"/>
        </w:tabs>
        <w:spacing w:line="360" w:lineRule="auto"/>
        <w:jc w:val="center"/>
        <w:outlineLvl w:val="0"/>
        <w:rPr>
          <w:rFonts w:ascii="仿宋" w:hAnsi="仿宋" w:eastAsia="仿宋" w:cs="仿宋"/>
          <w:b/>
          <w:bCs/>
          <w:color w:val="000000"/>
          <w:sz w:val="32"/>
          <w:szCs w:val="32"/>
        </w:rPr>
      </w:pPr>
      <w:r>
        <w:rPr>
          <w:rFonts w:hint="eastAsia" w:ascii="仿宋" w:hAnsi="仿宋" w:eastAsia="仿宋" w:cs="仿宋"/>
          <w:b/>
          <w:bCs/>
          <w:color w:val="000000"/>
          <w:sz w:val="32"/>
          <w:szCs w:val="32"/>
        </w:rPr>
        <w:t>二、供应商营业执照</w:t>
      </w:r>
    </w:p>
    <w:p>
      <w:pPr>
        <w:pStyle w:val="25"/>
        <w:tabs>
          <w:tab w:val="left" w:pos="1050"/>
          <w:tab w:val="center" w:pos="4535"/>
        </w:tabs>
        <w:spacing w:line="360" w:lineRule="auto"/>
        <w:jc w:val="center"/>
        <w:outlineLvl w:val="0"/>
        <w:rPr>
          <w:rFonts w:ascii="仿宋" w:hAnsi="仿宋" w:eastAsia="仿宋" w:cs="仿宋"/>
          <w:b/>
          <w:bCs/>
          <w:sz w:val="32"/>
          <w:szCs w:val="32"/>
        </w:rPr>
      </w:pPr>
      <w:r>
        <w:rPr>
          <w:rFonts w:hint="eastAsia" w:ascii="仿宋" w:hAnsi="仿宋" w:eastAsia="仿宋" w:cs="仿宋"/>
          <w:bCs/>
          <w:color w:val="0070C0"/>
        </w:rPr>
        <w:t>（提供复印件,并</w:t>
      </w:r>
      <w:r>
        <w:rPr>
          <w:rFonts w:hint="eastAsia" w:ascii="仿宋" w:hAnsi="仿宋" w:eastAsia="仿宋" w:cs="仿宋"/>
          <w:b/>
          <w:color w:val="0070C0"/>
          <w:u w:val="single"/>
        </w:rPr>
        <w:t>加盖供应商公司公章</w:t>
      </w:r>
      <w:r>
        <w:rPr>
          <w:rFonts w:hint="eastAsia" w:ascii="仿宋" w:hAnsi="仿宋" w:eastAsia="仿宋" w:cs="仿宋"/>
          <w:bCs/>
          <w:color w:val="0070C0"/>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v:textbox>
            </v:rect>
          </w:pict>
        </mc:Fallback>
      </mc:AlternateContent>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C0F5A9F"/>
    <w:multiLevelType w:val="singleLevel"/>
    <w:tmpl w:val="6C0F5A9F"/>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s>
  <w:rsids>
    <w:rsidRoot w:val="006F7FC2"/>
    <w:rsid w:val="001018A3"/>
    <w:rsid w:val="005B1322"/>
    <w:rsid w:val="006F13C5"/>
    <w:rsid w:val="006F7FC2"/>
    <w:rsid w:val="00914E66"/>
    <w:rsid w:val="00916404"/>
    <w:rsid w:val="009C70E6"/>
    <w:rsid w:val="00CE0E27"/>
    <w:rsid w:val="00F60D38"/>
    <w:rsid w:val="03404493"/>
    <w:rsid w:val="03A441BF"/>
    <w:rsid w:val="07762B7A"/>
    <w:rsid w:val="07D87C6E"/>
    <w:rsid w:val="0A8F3F52"/>
    <w:rsid w:val="0F024CF3"/>
    <w:rsid w:val="10172A20"/>
    <w:rsid w:val="1045758D"/>
    <w:rsid w:val="12C16C73"/>
    <w:rsid w:val="18F23D41"/>
    <w:rsid w:val="19F2453D"/>
    <w:rsid w:val="19F45BB5"/>
    <w:rsid w:val="1B182259"/>
    <w:rsid w:val="1FCA53B9"/>
    <w:rsid w:val="22001566"/>
    <w:rsid w:val="28CA6AB3"/>
    <w:rsid w:val="29C028C2"/>
    <w:rsid w:val="323668DE"/>
    <w:rsid w:val="32496611"/>
    <w:rsid w:val="3ACC61BC"/>
    <w:rsid w:val="42F73E67"/>
    <w:rsid w:val="43782F65"/>
    <w:rsid w:val="470152B5"/>
    <w:rsid w:val="4B944126"/>
    <w:rsid w:val="503E1327"/>
    <w:rsid w:val="51BD627C"/>
    <w:rsid w:val="51CD2963"/>
    <w:rsid w:val="5ED846F5"/>
    <w:rsid w:val="60916043"/>
    <w:rsid w:val="6151078F"/>
    <w:rsid w:val="63041F5D"/>
    <w:rsid w:val="641C32D6"/>
    <w:rsid w:val="64C01EB3"/>
    <w:rsid w:val="66884C53"/>
    <w:rsid w:val="67EE31DB"/>
    <w:rsid w:val="68844983"/>
    <w:rsid w:val="6E5A6ED5"/>
    <w:rsid w:val="6EF27195"/>
    <w:rsid w:val="6F765F90"/>
    <w:rsid w:val="70903082"/>
    <w:rsid w:val="7477752E"/>
    <w:rsid w:val="752D7368"/>
    <w:rsid w:val="758E3908"/>
    <w:rsid w:val="75D237A5"/>
    <w:rsid w:val="767B20DE"/>
    <w:rsid w:val="77F60A56"/>
    <w:rsid w:val="79570BE0"/>
    <w:rsid w:val="7A4A24F3"/>
    <w:rsid w:val="7FBA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sz w:val="24"/>
    </w:rPr>
  </w:style>
  <w:style w:type="paragraph" w:styleId="5">
    <w:name w:val="Normal Indent"/>
    <w:basedOn w:val="1"/>
    <w:link w:val="22"/>
    <w:autoRedefine/>
    <w:qFormat/>
    <w:uiPriority w:val="0"/>
    <w:pPr>
      <w:ind w:firstLine="420"/>
    </w:pPr>
  </w:style>
  <w:style w:type="paragraph" w:styleId="6">
    <w:name w:val="List Bullet 2"/>
    <w:basedOn w:val="1"/>
    <w:autoRedefine/>
    <w:qFormat/>
    <w:uiPriority w:val="99"/>
    <w:pPr>
      <w:numPr>
        <w:ilvl w:val="0"/>
        <w:numId w:val="1"/>
      </w:numPr>
    </w:pPr>
  </w:style>
  <w:style w:type="paragraph" w:styleId="7">
    <w:name w:val="Plain Text"/>
    <w:basedOn w:val="1"/>
    <w:link w:val="23"/>
    <w:autoRedefine/>
    <w:qFormat/>
    <w:uiPriority w:val="0"/>
    <w:rPr>
      <w:rFonts w:ascii="宋体" w:hAnsi="Courier New" w:cs="Courier New"/>
      <w:szCs w:val="21"/>
    </w:rPr>
  </w:style>
  <w:style w:type="paragraph" w:styleId="8">
    <w:name w:val="Balloon Text"/>
    <w:basedOn w:val="1"/>
    <w:link w:val="27"/>
    <w:autoRedefine/>
    <w:qFormat/>
    <w:uiPriority w:val="99"/>
    <w:rPr>
      <w:sz w:val="18"/>
      <w:szCs w:val="18"/>
    </w:rPr>
  </w:style>
  <w:style w:type="paragraph" w:styleId="9">
    <w:name w:val="footer"/>
    <w:basedOn w:val="1"/>
    <w:link w:val="20"/>
    <w:autoRedefine/>
    <w:qFormat/>
    <w:uiPriority w:val="99"/>
    <w:pPr>
      <w:tabs>
        <w:tab w:val="center" w:pos="4153"/>
        <w:tab w:val="right" w:pos="8306"/>
      </w:tabs>
      <w:snapToGrid w:val="0"/>
      <w:jc w:val="left"/>
    </w:pPr>
    <w:rPr>
      <w:sz w:val="18"/>
      <w:szCs w:val="18"/>
    </w:rPr>
  </w:style>
  <w:style w:type="paragraph" w:styleId="10">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qFormat/>
    <w:uiPriority w:val="99"/>
    <w:rPr>
      <w:color w:val="0000FF"/>
      <w:u w:val="single"/>
    </w:rPr>
  </w:style>
  <w:style w:type="paragraph" w:customStyle="1" w:styleId="16">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字符"/>
    <w:basedOn w:val="13"/>
    <w:link w:val="10"/>
    <w:autoRedefine/>
    <w:qFormat/>
    <w:uiPriority w:val="99"/>
    <w:rPr>
      <w:sz w:val="18"/>
      <w:szCs w:val="18"/>
    </w:rPr>
  </w:style>
  <w:style w:type="character" w:customStyle="1" w:styleId="20">
    <w:name w:val="页脚 字符"/>
    <w:basedOn w:val="13"/>
    <w:link w:val="9"/>
    <w:autoRedefine/>
    <w:qFormat/>
    <w:uiPriority w:val="99"/>
    <w:rPr>
      <w:sz w:val="18"/>
      <w:szCs w:val="18"/>
    </w:rPr>
  </w:style>
  <w:style w:type="character" w:customStyle="1" w:styleId="21">
    <w:name w:val="标题 2 字符"/>
    <w:basedOn w:val="13"/>
    <w:link w:val="4"/>
    <w:autoRedefine/>
    <w:qFormat/>
    <w:uiPriority w:val="0"/>
    <w:rPr>
      <w:rFonts w:ascii="Arial" w:hAnsi="Arial" w:eastAsia="黑体" w:cs="Times New Roman"/>
      <w:b/>
      <w:bCs/>
      <w:sz w:val="32"/>
      <w:szCs w:val="32"/>
    </w:rPr>
  </w:style>
  <w:style w:type="character" w:customStyle="1" w:styleId="22">
    <w:name w:val="正文缩进 字符"/>
    <w:link w:val="5"/>
    <w:autoRedefine/>
    <w:qFormat/>
    <w:uiPriority w:val="0"/>
    <w:rPr>
      <w:rFonts w:ascii="Times New Roman" w:hAnsi="Times New Roman" w:eastAsia="宋体" w:cs="Times New Roman"/>
      <w:szCs w:val="24"/>
    </w:rPr>
  </w:style>
  <w:style w:type="character" w:customStyle="1" w:styleId="23">
    <w:name w:val="纯文本 字符"/>
    <w:basedOn w:val="13"/>
    <w:link w:val="7"/>
    <w:autoRedefine/>
    <w:qFormat/>
    <w:uiPriority w:val="0"/>
    <w:rPr>
      <w:rFonts w:ascii="宋体" w:hAnsi="Courier New" w:eastAsia="宋体" w:cs="Courier New"/>
      <w:szCs w:val="21"/>
    </w:rPr>
  </w:style>
  <w:style w:type="paragraph" w:styleId="24">
    <w:name w:val="List Paragraph"/>
    <w:basedOn w:val="1"/>
    <w:autoRedefine/>
    <w:qFormat/>
    <w:uiPriority w:val="34"/>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字符"/>
    <w:basedOn w:val="13"/>
    <w:link w:val="8"/>
    <w:autoRedefine/>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Calibri" w:hAnsi="Calibri" w:eastAsia="宋体" w:cs="宋体"/>
      <w:lang w:val="en-US" w:eastAsia="zh-CN" w:bidi="ar-SA"/>
    </w:rPr>
  </w:style>
  <w:style w:type="paragraph" w:customStyle="1" w:styleId="29">
    <w:name w:val="正文缩进1"/>
    <w:basedOn w:val="1"/>
    <w:autoRedefine/>
    <w:qFormat/>
    <w:uiPriority w:val="0"/>
    <w:pPr>
      <w:widowControl/>
      <w:ind w:firstLine="420"/>
      <w:jc w:val="left"/>
    </w:pPr>
    <w:rPr>
      <w:rFonts w:ascii="Calibri" w:hAnsi="Calibri"/>
      <w:kern w:val="0"/>
    </w:rPr>
  </w:style>
  <w:style w:type="paragraph" w:customStyle="1" w:styleId="30">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8</Pages>
  <Words>362</Words>
  <Characters>2066</Characters>
  <Lines>17</Lines>
  <Paragraphs>4</Paragraphs>
  <TotalTime>1</TotalTime>
  <ScaleCrop>false</ScaleCrop>
  <LinksUpToDate>false</LinksUpToDate>
  <CharactersWithSpaces>2424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2024-01-19T09:08:00Z</dcterms:created>
  <dc:creator>冯益彬</dc:creator>
  <cp:lastModifiedBy>Administrator</cp:lastModifiedBy>
  <cp:lastPrinted>2022-08-23T03:15:00Z</cp:lastPrinted>
  <dcterms:modified xsi:type="dcterms:W3CDTF">2024-04-10T01:02:38Z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FC8628E8E94B48A08CD5248B6FD2B6F9_13</vt:lpwstr>
  </property>
</Properties>
</file>