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r>
        <w:rPr>
          <w:rFonts w:hint="eastAsia" w:ascii="华文中宋" w:hAnsi="华文中宋" w:eastAsia="华文中宋" w:cs="华文中宋"/>
          <w:b/>
          <w:bCs/>
          <w:color w:val="000000"/>
          <w:kern w:val="44"/>
          <w:sz w:val="36"/>
          <w:szCs w:val="36"/>
          <w:highlight w:val="none"/>
          <w:lang w:val="en-US" w:eastAsia="zh-CN"/>
        </w:rPr>
        <w:t>中山大学附属仁济医院</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非120急救医疗转运服务</w:t>
      </w:r>
      <w:r>
        <w:rPr>
          <w:rFonts w:hint="eastAsia" w:ascii="华文中宋" w:hAnsi="华文中宋" w:eastAsia="华文中宋" w:cs="华文中宋"/>
          <w:b/>
          <w:bCs/>
          <w:color w:val="000000"/>
          <w:kern w:val="44"/>
          <w:sz w:val="36"/>
          <w:szCs w:val="36"/>
          <w:highlight w:val="none"/>
        </w:rPr>
        <w:t>用户需求书</w:t>
      </w:r>
    </w:p>
    <w:p>
      <w:pPr>
        <w:pStyle w:val="7"/>
        <w:rPr>
          <w:rFonts w:hint="eastAsia"/>
          <w:color w:val="000000"/>
          <w:highlight w:val="none"/>
        </w:rPr>
      </w:pPr>
      <w:bookmarkStart w:id="0" w:name="_GoBack"/>
      <w:bookmarkEnd w:id="0"/>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本项目为中山大学附属仁济医院非120急救医疗转运服务项目，包括但不限于病人、家属及医护人员医疗转运，标本/血液输送转运及院方要求的其他非医疗转运服务。</w:t>
      </w:r>
    </w:p>
    <w:tbl>
      <w:tblPr>
        <w:tblStyle w:val="5"/>
        <w:tblW w:w="43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191"/>
        <w:gridCol w:w="1387"/>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73"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94" w:type="pct"/>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925" w:type="pct"/>
            <w:tcBorders>
              <w:top w:val="single" w:color="auto" w:sz="4" w:space="0"/>
              <w:left w:val="nil"/>
              <w:bottom w:val="single" w:color="auto" w:sz="4" w:space="0"/>
              <w:right w:val="single" w:color="auto" w:sz="4" w:space="0"/>
            </w:tcBorders>
            <w:vAlign w:val="center"/>
          </w:tcPr>
          <w:p>
            <w:pPr>
              <w:spacing w:line="3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606" w:type="pct"/>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73"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非120急救医疗转运服务</w:t>
            </w:r>
          </w:p>
        </w:tc>
        <w:tc>
          <w:tcPr>
            <w:tcW w:w="794" w:type="pct"/>
            <w:tcBorders>
              <w:top w:val="single" w:color="auto" w:sz="4" w:space="0"/>
              <w:left w:val="nil"/>
              <w:bottom w:val="single" w:color="auto" w:sz="4" w:space="0"/>
              <w:right w:val="single" w:color="auto" w:sz="4" w:space="0"/>
            </w:tcBorders>
            <w:vAlign w:val="center"/>
          </w:tcPr>
          <w:p>
            <w:pPr>
              <w:spacing w:line="3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925" w:type="pct"/>
            <w:tcBorders>
              <w:top w:val="single" w:color="auto" w:sz="4" w:space="0"/>
              <w:left w:val="nil"/>
              <w:bottom w:val="single" w:color="auto" w:sz="4" w:space="0"/>
              <w:right w:val="single" w:color="auto" w:sz="4" w:space="0"/>
            </w:tcBorders>
            <w:vAlign w:val="center"/>
          </w:tcPr>
          <w:p>
            <w:pPr>
              <w:spacing w:line="3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25800元/月</w:t>
            </w:r>
          </w:p>
        </w:tc>
        <w:tc>
          <w:tcPr>
            <w:tcW w:w="1606" w:type="pct"/>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yellow"/>
                <w:lang w:val="en-US" w:eastAsia="zh-CN"/>
              </w:rPr>
              <w:t xml:space="preserve"> 92.88 </w:t>
            </w:r>
            <w:r>
              <w:rPr>
                <w:rFonts w:hint="eastAsia" w:ascii="仿宋" w:hAnsi="仿宋" w:eastAsia="仿宋" w:cs="仿宋"/>
                <w:sz w:val="24"/>
                <w:szCs w:val="24"/>
              </w:rPr>
              <w:t>万元（</w:t>
            </w:r>
            <w:r>
              <w:rPr>
                <w:rFonts w:hint="eastAsia" w:ascii="仿宋" w:hAnsi="仿宋" w:eastAsia="仿宋" w:cs="仿宋"/>
                <w:sz w:val="24"/>
                <w:szCs w:val="24"/>
                <w:lang w:val="en-US" w:eastAsia="zh-CN"/>
              </w:rPr>
              <w:t>36个月</w:t>
            </w:r>
            <w:r>
              <w:rPr>
                <w:rFonts w:hint="eastAsia" w:ascii="仿宋" w:hAnsi="仿宋" w:eastAsia="仿宋" w:cs="仿宋"/>
                <w:sz w:val="24"/>
                <w:szCs w:val="24"/>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二、转运</w:t>
      </w:r>
      <w:r>
        <w:rPr>
          <w:rFonts w:hint="eastAsia" w:ascii="仿宋" w:hAnsi="仿宋" w:eastAsia="仿宋" w:cs="仿宋"/>
          <w:b/>
          <w:color w:val="000000"/>
          <w:sz w:val="24"/>
          <w:szCs w:val="24"/>
          <w:highlight w:val="none"/>
        </w:rPr>
        <w:t>要求</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服务时间：全天24小时响应，</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负责为中山大学附属仁济医院</w:t>
      </w:r>
      <w:r>
        <w:rPr>
          <w:rFonts w:hint="eastAsia" w:ascii="仿宋" w:hAnsi="仿宋" w:eastAsia="仿宋" w:cs="仿宋"/>
          <w:b w:val="0"/>
          <w:bCs/>
          <w:color w:val="000000"/>
          <w:sz w:val="24"/>
          <w:szCs w:val="24"/>
          <w:highlight w:val="none"/>
          <w:lang w:val="en-US" w:eastAsia="zh-CN"/>
        </w:rPr>
        <w:t>提供</w:t>
      </w:r>
      <w:r>
        <w:rPr>
          <w:rFonts w:hint="eastAsia" w:ascii="仿宋" w:hAnsi="仿宋" w:eastAsia="仿宋" w:cs="仿宋"/>
          <w:b w:val="0"/>
          <w:bCs/>
          <w:color w:val="000000"/>
          <w:sz w:val="24"/>
          <w:szCs w:val="24"/>
          <w:highlight w:val="none"/>
          <w:lang w:eastAsia="zh-CN"/>
        </w:rPr>
        <w:t>常规非120急救的医疗转运服务，及院方要求的其他非医疗转运服务，相关服务按卫生行政部门要求的非120急救转运流程、标准提供。</w:t>
      </w:r>
    </w:p>
    <w:p>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供应商需提供一辆专用救护车停在院方院内指定位置，确保</w:t>
      </w:r>
      <w:r>
        <w:rPr>
          <w:rFonts w:hint="eastAsia" w:ascii="仿宋" w:hAnsi="仿宋" w:eastAsia="仿宋" w:cs="仿宋"/>
          <w:b w:val="0"/>
          <w:bCs/>
          <w:color w:val="000000"/>
          <w:sz w:val="24"/>
          <w:szCs w:val="24"/>
          <w:highlight w:val="none"/>
          <w:lang w:val="en-US" w:eastAsia="zh-CN"/>
        </w:rPr>
        <w:t>服务期内24小时</w:t>
      </w:r>
      <w:r>
        <w:rPr>
          <w:rFonts w:hint="eastAsia" w:ascii="仿宋" w:hAnsi="仿宋" w:eastAsia="仿宋" w:cs="仿宋"/>
          <w:b w:val="0"/>
          <w:bCs/>
          <w:color w:val="000000"/>
          <w:sz w:val="24"/>
          <w:szCs w:val="24"/>
          <w:highlight w:val="none"/>
          <w:lang w:eastAsia="zh-CN"/>
        </w:rPr>
        <w:t>随时可用。救护车参考品牌为奔驰、福特全顺、丰田、金龙或优于上述品牌档次。</w:t>
      </w:r>
    </w:p>
    <w:p>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供应商拟投入本项目车辆必须权属清晰，承诺无重大维修记录及重大事故记录，上牌注册时间要求在2018年及以后，车辆年审合格，符合环保要求，定时购买保险。</w:t>
      </w:r>
    </w:p>
    <w:p>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供应商需</w:t>
      </w:r>
      <w:r>
        <w:rPr>
          <w:rFonts w:hint="eastAsia" w:ascii="仿宋" w:hAnsi="仿宋" w:eastAsia="仿宋" w:cs="仿宋"/>
          <w:b w:val="0"/>
          <w:bCs/>
          <w:color w:val="000000"/>
          <w:sz w:val="24"/>
          <w:szCs w:val="24"/>
          <w:highlight w:val="none"/>
          <w:lang w:eastAsia="zh-CN"/>
        </w:rPr>
        <w:t>为本项目投入备用车辆，确保完成24小时运送任务。</w:t>
      </w:r>
    </w:p>
    <w:p>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救护车上必须配备基础的医疗设备（详见车载设备需求配置表），并确保所配备设备符合相关医疗管理规定。车载医疗设备投入使用前需向院方备案相关医疗器械注册证件资料，并确保</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期内设备技术参数与注册证件资料要求相一致。</w:t>
      </w: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5"/>
        <w:tblW w:w="6658" w:type="dxa"/>
        <w:jc w:val="center"/>
        <w:tblLayout w:type="fixed"/>
        <w:tblCellMar>
          <w:top w:w="0" w:type="dxa"/>
          <w:left w:w="108" w:type="dxa"/>
          <w:bottom w:w="0" w:type="dxa"/>
          <w:right w:w="108" w:type="dxa"/>
        </w:tblCellMar>
      </w:tblPr>
      <w:tblGrid>
        <w:gridCol w:w="5002"/>
        <w:gridCol w:w="854"/>
        <w:gridCol w:w="802"/>
      </w:tblGrid>
      <w:tr>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（6）</w:t>
      </w:r>
      <w:r>
        <w:rPr>
          <w:rFonts w:hint="eastAsia" w:ascii="仿宋" w:hAnsi="仿宋" w:eastAsia="仿宋" w:cs="仿宋"/>
          <w:b w:val="0"/>
          <w:bCs/>
          <w:color w:val="000000"/>
          <w:sz w:val="24"/>
          <w:szCs w:val="24"/>
          <w:highlight w:val="none"/>
          <w:lang w:val="en-US" w:eastAsia="zh-CN"/>
        </w:rPr>
        <w:t>供应商须购买医疗责任保险和人员意外险，来往运输安全责任全权由供应商负责。</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（7）</w:t>
      </w:r>
      <w:r>
        <w:rPr>
          <w:rFonts w:hint="eastAsia" w:ascii="仿宋" w:hAnsi="仿宋" w:eastAsia="仿宋" w:cs="仿宋"/>
          <w:b w:val="0"/>
          <w:bCs/>
          <w:color w:val="000000"/>
          <w:sz w:val="24"/>
          <w:szCs w:val="24"/>
          <w:highlight w:val="none"/>
          <w:lang w:val="en-US" w:eastAsia="zh-CN"/>
        </w:rPr>
        <w:t>医疗转运过程中的医疗安全责任由供应商负责。</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（8）</w:t>
      </w:r>
      <w:r>
        <w:rPr>
          <w:rFonts w:hint="eastAsia" w:ascii="仿宋" w:hAnsi="仿宋" w:eastAsia="仿宋" w:cs="仿宋"/>
          <w:b w:val="0"/>
          <w:bCs/>
          <w:color w:val="000000"/>
          <w:sz w:val="24"/>
          <w:szCs w:val="24"/>
          <w:highlight w:val="none"/>
          <w:lang w:val="en-US" w:eastAsia="zh-CN"/>
        </w:rPr>
        <w:t>供应商在转运过程中不得收取任何额外费用，救护车辆燃油费、维修费、保险费、路桥费等运营费用均由供应商负责。</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720" w:firstLineChars="3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3.驻点司机要求</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为本项目配备的</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w:t>
      </w:r>
      <w:r>
        <w:rPr>
          <w:rFonts w:hint="eastAsia" w:ascii="仿宋" w:hAnsi="仿宋" w:eastAsia="仿宋" w:cs="仿宋"/>
          <w:b w:val="0"/>
          <w:bCs/>
          <w:color w:val="000000"/>
          <w:sz w:val="24"/>
          <w:szCs w:val="24"/>
          <w:highlight w:val="none"/>
          <w:lang w:val="en-US" w:eastAsia="zh-CN"/>
        </w:rPr>
        <w:t>不少于1人</w:t>
      </w:r>
      <w:r>
        <w:rPr>
          <w:rFonts w:hint="eastAsia" w:ascii="仿宋" w:hAnsi="仿宋" w:eastAsia="仿宋" w:cs="仿宋"/>
          <w:b w:val="0"/>
          <w:bCs/>
          <w:color w:val="000000"/>
          <w:sz w:val="24"/>
          <w:szCs w:val="24"/>
          <w:highlight w:val="none"/>
          <w:lang w:eastAsia="zh-CN"/>
        </w:rPr>
        <w:t>），需遵照医院相关规章制度，遵从院方管理人员指挥，按时按质完成院方分派的医疗转运任务。</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自接到院方通知，驻点司机</w:t>
      </w:r>
      <w:r>
        <w:rPr>
          <w:rFonts w:hint="eastAsia" w:ascii="仿宋" w:hAnsi="仿宋" w:eastAsia="仿宋" w:cs="仿宋"/>
          <w:b w:val="0"/>
          <w:bCs/>
          <w:color w:val="000000"/>
          <w:sz w:val="24"/>
          <w:szCs w:val="24"/>
          <w:highlight w:val="none"/>
          <w:lang w:eastAsia="zh-CN"/>
        </w:rPr>
        <w:t>需在1</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lang w:eastAsia="zh-CN"/>
        </w:rPr>
        <w:t>分钟内响应并出车。</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（3）供应商须保证所派驻司机的稳定性，不得随意更换。如</w:t>
      </w:r>
      <w:r>
        <w:rPr>
          <w:rFonts w:hint="eastAsia" w:ascii="仿宋" w:hAnsi="仿宋" w:eastAsia="仿宋" w:cs="仿宋"/>
          <w:b w:val="0"/>
          <w:bCs/>
          <w:color w:val="000000"/>
          <w:sz w:val="24"/>
          <w:szCs w:val="24"/>
          <w:highlight w:val="none"/>
          <w:lang w:eastAsia="zh-CN"/>
        </w:rPr>
        <w:t>院方</w:t>
      </w:r>
      <w:r>
        <w:rPr>
          <w:rFonts w:hint="eastAsia" w:ascii="仿宋" w:hAnsi="仿宋" w:eastAsia="仿宋" w:cs="仿宋"/>
          <w:b w:val="0"/>
          <w:bCs/>
          <w:color w:val="000000"/>
          <w:sz w:val="24"/>
          <w:szCs w:val="24"/>
          <w:highlight w:val="none"/>
          <w:lang w:val="en-US" w:eastAsia="zh-CN"/>
        </w:rPr>
        <w:t>对供应商驻点司机的工作表现不满意，院方</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如需更换</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司机，需提前征得院方</w:t>
      </w:r>
      <w:r>
        <w:rPr>
          <w:rFonts w:hint="eastAsia" w:ascii="仿宋" w:hAnsi="仿宋" w:eastAsia="仿宋" w:cs="仿宋"/>
          <w:b w:val="0"/>
          <w:bCs/>
          <w:color w:val="000000"/>
          <w:sz w:val="24"/>
          <w:szCs w:val="24"/>
          <w:highlight w:val="none"/>
          <w:lang w:val="en-US" w:eastAsia="zh-CN"/>
        </w:rPr>
        <w:t>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三、服务质量考核要求</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每月考核服务质量，分为优秀、良好、合格、不合格四档。如连续两个月服务质量考核为不合格或累计四个月服务质量考核为不合格的，院方有权单方面终止合同。如本项目合同期内，</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发生重大安全生产事故，院方有权立即单方面终止合同并追究相应损失。</w:t>
      </w: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5"/>
        <w:tblW w:w="7686" w:type="dxa"/>
        <w:jc w:val="center"/>
        <w:tblLayout w:type="fixed"/>
        <w:tblCellMar>
          <w:top w:w="0" w:type="dxa"/>
          <w:left w:w="108" w:type="dxa"/>
          <w:bottom w:w="0" w:type="dxa"/>
          <w:right w:w="108" w:type="dxa"/>
        </w:tblCellMar>
      </w:tblPr>
      <w:tblGrid>
        <w:gridCol w:w="709"/>
        <w:gridCol w:w="5405"/>
        <w:gridCol w:w="743"/>
        <w:gridCol w:w="829"/>
      </w:tblGrid>
      <w:tr>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4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6114" w:type="dxa"/>
            <w:gridSpan w:val="2"/>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7686" w:type="dxa"/>
            <w:gridSpan w:val="4"/>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四、医院提供条件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院方仅提供救护车停车位，无法提供驻点司机值班休息床位，请供应商知悉。</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kern w:val="2"/>
          <w:sz w:val="24"/>
          <w:szCs w:val="24"/>
          <w:lang w:val="en-US" w:eastAsia="zh-CN" w:bidi="ar-SA"/>
        </w:rPr>
        <w:t>五、</w:t>
      </w:r>
      <w:r>
        <w:rPr>
          <w:rFonts w:hint="eastAsia" w:ascii="仿宋" w:hAnsi="仿宋" w:eastAsia="仿宋" w:cs="仿宋"/>
          <w:b/>
          <w:bCs w:val="0"/>
          <w:color w:val="000000"/>
          <w:sz w:val="24"/>
          <w:szCs w:val="24"/>
          <w:highlight w:val="none"/>
          <w:lang w:val="en-US" w:eastAsia="zh-CN"/>
        </w:rPr>
        <w:t>履约保证金</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收到成交通知书起5个工作日内向院方缴纳合同总价5%的履约保证金。履约保证金用于补偿院方因供应商不履行合同义务/不妥善履行合同义务而蒙受的损失，如无供应商不履行或不妥善履行本合同义务情形，院方于合同期满后一个月内将履约保证金无息退还给供应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供应商有违约情形的，院方有权从履约保证金中扣除相应违约金/损失赔偿款项，履约保证金如不足以支付违约赔偿的，由供应商另行承担赔偿责任。如因供应商的违约行为导致提前终止本合同的，院方除有权依据本合同约定追究供应商的违约责任外，不予退回履约保证金。</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1.供应商按每月服务费报价，报价应是比选文件所确定的采购范围内全部内容的价格表现。即包括但不限于完成本项目所需的人工、车辆、设备、保险、税费等费用。</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月支付。供应商于次月月初向采购人提交上月服务质量考核凭证等结算资料，经采购人审核确认后，供应商根据核定金额开具发票。如服务质量考核结果为优秀或良好的，费用将按月服务费的100%支付；如服务质量考核结果为合格的，费用将按月服务费的80%支付；如服务质量考核结果为不合格的，费用将按月服务费的50%支付。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在收到供应商的正规发票后20个工作日内支付合同款项。</w:t>
      </w:r>
    </w:p>
    <w:p>
      <w:pPr>
        <w:pStyle w:val="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付款方式：采用支票、银行汇付（含电汇）等形式。</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如因供应商管理不善、违反转运规程、安全生产制度而造成不良后果，由供应商承担全部法律及经济责任，且院方有权立即终止合同；</w:t>
      </w:r>
    </w:p>
    <w:p>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供应商为院方提供服务期间，因供应商或供应商员工原因造成院方或任何第三方人身、财产遭受损失的，全部责任与费用均由供应商承担；</w:t>
      </w:r>
    </w:p>
    <w:p>
      <w:pPr>
        <w:pStyle w:val="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20" w:leftChars="0" w:firstLine="400" w:firstLineChars="0"/>
        <w:textAlignment w:val="auto"/>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3">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4">
    <w:nsid w:val="31054D38"/>
    <w:multiLevelType w:val="singleLevel"/>
    <w:tmpl w:val="31054D38"/>
    <w:lvl w:ilvl="0" w:tentative="0">
      <w:start w:val="2"/>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DI4OTk3N2ZmOTdhMDllNTg2NmY1NzRkZmRmYzEifQ=="/>
  </w:docVars>
  <w:rsids>
    <w:rsidRoot w:val="061255F4"/>
    <w:rsid w:val="061255F4"/>
    <w:rsid w:val="06145236"/>
    <w:rsid w:val="0D620F4F"/>
    <w:rsid w:val="10A20470"/>
    <w:rsid w:val="20AC5498"/>
    <w:rsid w:val="31492EA1"/>
    <w:rsid w:val="32AA04CA"/>
    <w:rsid w:val="404F553D"/>
    <w:rsid w:val="46F53A28"/>
    <w:rsid w:val="53265F8B"/>
    <w:rsid w:val="61D52192"/>
    <w:rsid w:val="65E6393A"/>
    <w:rsid w:val="708964F6"/>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3">
    <w:name w:val="Normal Indent"/>
    <w:basedOn w:val="1"/>
    <w:next w:val="2"/>
    <w:qFormat/>
    <w:uiPriority w:val="99"/>
    <w:pPr>
      <w:ind w:firstLine="420"/>
    </w:pPr>
    <w:rPr>
      <w:rFonts w:ascii="Calibri" w:hAnsi="Calibri"/>
      <w:sz w:val="20"/>
      <w:szCs w:val="20"/>
    </w:rPr>
  </w:style>
  <w:style w:type="paragraph" w:styleId="4">
    <w:name w:val="Body Text First Indent"/>
    <w:basedOn w:val="2"/>
    <w:qFormat/>
    <w:uiPriority w:val="99"/>
    <w:pPr>
      <w:spacing w:after="120"/>
      <w:ind w:firstLine="420" w:firstLineChars="100"/>
    </w:pPr>
    <w:rPr>
      <w:sz w:val="21"/>
    </w:rPr>
  </w:style>
  <w:style w:type="paragraph" w:customStyle="1" w:styleId="7">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2889</Words>
  <Characters>2959</Characters>
  <Lines>0</Lines>
  <Paragraphs>0</Paragraphs>
  <TotalTime>1</TotalTime>
  <ScaleCrop>false</ScaleCrop>
  <LinksUpToDate>false</LinksUpToDate>
  <CharactersWithSpaces>3030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2023-09-06T09:05:00Z</dcterms:created>
  <dc:creator>梁凤娟</dc:creator>
  <cp:lastModifiedBy>贤～枫之霖</cp:lastModifiedBy>
  <dcterms:modified xsi:type="dcterms:W3CDTF">2024-07-31T07:07:18Z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43F4821B6F3D4378AB381C6D98AB27CC_13</vt:lpwstr>
  </property>
</Properties>
</file>