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32" w:tblpY="453"/>
        <w:tblOverlap w:val="never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7"/>
        <w:gridCol w:w="1760"/>
        <w:gridCol w:w="4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中山大学附属仁济医院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可回收物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、保密文件销毁服务预算表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可回收物品处置服务（包括一次性塑料输液瓶或袋、透析液桶、玻璃瓶、生活废品、纸皮）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公司支付给医院，要求每周收运4次。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协助医院处理不可回收处理的包装棉或泡沫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此项目由医院支付。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保密文件销毁服务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此项目双方均不支付费用。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月合计（元）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年合计（元）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tabs>
          <w:tab w:val="left" w:pos="720"/>
        </w:tabs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MDI4OTk3N2ZmOTdhMDllNTg2NmY1NzRkZmRmYzEifQ=="/>
  </w:docVars>
  <w:rsids>
    <w:rsidRoot w:val="229A57D1"/>
    <w:rsid w:val="229A57D1"/>
    <w:rsid w:val="5B5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2024-08-12T09:39:00Z</dcterms:created>
  <dc:creator>贤～枫之霖</dc:creator>
  <cp:lastModifiedBy>贤～枫之霖</cp:lastModifiedBy>
  <dcterms:modified xsi:type="dcterms:W3CDTF">2024-08-12T09:47:33Z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76DFF718089D4FA98F22A993A8EAF8ED_11</vt:lpwstr>
  </property>
</Properties>
</file>