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C7C65">
      <w:pPr>
        <w:bidi w:val="0"/>
        <w:rPr>
          <w:rFonts w:hint="eastAsia"/>
          <w:color w:val="000000"/>
          <w:highlight w:val="none"/>
          <w:lang w:val="en-US" w:eastAsia="zh-CN"/>
        </w:rPr>
      </w:pPr>
    </w:p>
    <w:p w14:paraId="0A6D3B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47B237A">
      <w:pPr>
        <w:pStyle w:val="2"/>
        <w:rPr>
          <w:rFonts w:hint="eastAsia"/>
          <w:highlight w:val="none"/>
          <w:lang w:val="en-US" w:eastAsia="zh-CN"/>
        </w:rPr>
      </w:pPr>
    </w:p>
    <w:p w14:paraId="52929142">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DE3AC4F">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D37788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8B90D11">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B62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4105</w:t>
      </w:r>
    </w:p>
    <w:p w14:paraId="0AA978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中山大学附属仁济医院</w:t>
      </w:r>
    </w:p>
    <w:p w14:paraId="12082C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u w:val="none"/>
          <w:lang w:val="en-US" w:eastAsia="zh-CN"/>
        </w:rPr>
        <w:t xml:space="preserve">         </w:t>
      </w:r>
      <w:r>
        <w:rPr>
          <w:rFonts w:hint="eastAsia" w:ascii="方正仿宋简体" w:hAnsi="方正仿宋简体" w:eastAsia="方正仿宋简体" w:cs="方正仿宋简体"/>
          <w:b/>
          <w:bCs/>
          <w:sz w:val="28"/>
          <w:szCs w:val="28"/>
          <w:highlight w:val="none"/>
          <w:u w:val="single"/>
        </w:rPr>
        <w:t>非120急救医疗转运服务项目（第二次）</w:t>
      </w:r>
      <w:bookmarkStart w:id="22" w:name="_GoBack"/>
      <w:bookmarkEnd w:id="22"/>
    </w:p>
    <w:p w14:paraId="5859493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7F7DD69">
      <w:pPr>
        <w:pStyle w:val="9"/>
        <w:rPr>
          <w:rFonts w:hint="eastAsia"/>
          <w:highlight w:val="none"/>
        </w:rPr>
      </w:pPr>
    </w:p>
    <w:p w14:paraId="2B5FD362">
      <w:pPr>
        <w:pStyle w:val="2"/>
        <w:rPr>
          <w:rFonts w:hint="eastAsia"/>
          <w:highlight w:val="none"/>
        </w:rPr>
      </w:pPr>
    </w:p>
    <w:p w14:paraId="63B49C8E">
      <w:pPr>
        <w:pStyle w:val="2"/>
        <w:rPr>
          <w:rFonts w:hint="eastAsia"/>
          <w:highlight w:val="none"/>
        </w:rPr>
      </w:pPr>
    </w:p>
    <w:p w14:paraId="44DF10A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1C646C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46189B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75ED8E9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0F1A802">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12日</w:t>
      </w:r>
    </w:p>
    <w:p w14:paraId="5301B718">
      <w:pPr>
        <w:pStyle w:val="30"/>
        <w:rPr>
          <w:rFonts w:hint="eastAsia" w:ascii="宋体" w:hAnsi="宋体" w:cs="宋体"/>
          <w:b/>
          <w:bCs/>
          <w:color w:val="000000"/>
          <w:sz w:val="28"/>
          <w:szCs w:val="28"/>
          <w:highlight w:val="none"/>
        </w:rPr>
      </w:pPr>
    </w:p>
    <w:p w14:paraId="409BA9EA">
      <w:pPr>
        <w:pStyle w:val="30"/>
        <w:rPr>
          <w:rFonts w:hint="eastAsia" w:ascii="宋体" w:hAnsi="宋体" w:cs="宋体"/>
          <w:b/>
          <w:bCs/>
          <w:color w:val="000000"/>
          <w:sz w:val="28"/>
          <w:szCs w:val="28"/>
          <w:highlight w:val="none"/>
        </w:rPr>
      </w:pPr>
    </w:p>
    <w:p w14:paraId="04E8F0C8">
      <w:pPr>
        <w:pStyle w:val="30"/>
        <w:rPr>
          <w:rFonts w:hint="eastAsia" w:ascii="宋体" w:hAnsi="宋体" w:cs="宋体"/>
          <w:b/>
          <w:bCs/>
          <w:color w:val="000000"/>
          <w:sz w:val="28"/>
          <w:szCs w:val="28"/>
          <w:highlight w:val="none"/>
        </w:rPr>
      </w:pPr>
    </w:p>
    <w:p w14:paraId="1B88A998">
      <w:pPr>
        <w:pStyle w:val="30"/>
        <w:rPr>
          <w:rFonts w:hint="eastAsia" w:ascii="宋体" w:hAnsi="宋体" w:cs="宋体"/>
          <w:b/>
          <w:bCs/>
          <w:color w:val="000000"/>
          <w:sz w:val="28"/>
          <w:szCs w:val="28"/>
          <w:highlight w:val="none"/>
        </w:rPr>
      </w:pPr>
    </w:p>
    <w:p w14:paraId="41A415CB">
      <w:pPr>
        <w:pStyle w:val="30"/>
        <w:rPr>
          <w:rFonts w:hint="eastAsia" w:ascii="宋体" w:hAnsi="宋体" w:cs="宋体"/>
          <w:b/>
          <w:bCs/>
          <w:color w:val="000000"/>
          <w:sz w:val="28"/>
          <w:szCs w:val="28"/>
          <w:highlight w:val="none"/>
        </w:rPr>
      </w:pPr>
    </w:p>
    <w:p w14:paraId="113C161D">
      <w:pPr>
        <w:pStyle w:val="30"/>
        <w:rPr>
          <w:rFonts w:hint="eastAsia" w:ascii="宋体" w:hAnsi="宋体" w:cs="宋体"/>
          <w:b/>
          <w:bCs/>
          <w:color w:val="000000"/>
          <w:sz w:val="28"/>
          <w:szCs w:val="28"/>
          <w:highlight w:val="none"/>
        </w:rPr>
      </w:pPr>
    </w:p>
    <w:p w14:paraId="0B7E2E4B">
      <w:pPr>
        <w:pStyle w:val="30"/>
        <w:rPr>
          <w:rFonts w:hint="eastAsia" w:ascii="宋体" w:hAnsi="宋体" w:cs="宋体"/>
          <w:b/>
          <w:bCs/>
          <w:color w:val="000000"/>
          <w:sz w:val="28"/>
          <w:szCs w:val="28"/>
          <w:highlight w:val="none"/>
        </w:rPr>
      </w:pPr>
    </w:p>
    <w:p w14:paraId="5421F945">
      <w:pPr>
        <w:pStyle w:val="30"/>
        <w:rPr>
          <w:rFonts w:hint="eastAsia" w:ascii="宋体" w:hAnsi="宋体" w:cs="宋体"/>
          <w:b/>
          <w:bCs/>
          <w:color w:val="000000"/>
          <w:sz w:val="28"/>
          <w:szCs w:val="28"/>
          <w:highlight w:val="none"/>
        </w:rPr>
      </w:pPr>
    </w:p>
    <w:p w14:paraId="56C65A7C">
      <w:pPr>
        <w:pStyle w:val="30"/>
        <w:rPr>
          <w:rFonts w:hint="eastAsia" w:ascii="宋体" w:hAnsi="宋体" w:cs="宋体"/>
          <w:b/>
          <w:bCs/>
          <w:color w:val="000000"/>
          <w:sz w:val="28"/>
          <w:szCs w:val="28"/>
          <w:highlight w:val="none"/>
        </w:rPr>
      </w:pPr>
    </w:p>
    <w:p w14:paraId="5CA44C55">
      <w:pPr>
        <w:pStyle w:val="30"/>
        <w:rPr>
          <w:rFonts w:hint="eastAsia" w:ascii="宋体" w:hAnsi="宋体" w:cs="宋体"/>
          <w:b/>
          <w:bCs/>
          <w:color w:val="000000"/>
          <w:sz w:val="28"/>
          <w:szCs w:val="28"/>
          <w:highlight w:val="none"/>
        </w:rPr>
      </w:pPr>
    </w:p>
    <w:p w14:paraId="6E2A97E8">
      <w:pPr>
        <w:pStyle w:val="30"/>
        <w:rPr>
          <w:rFonts w:hint="eastAsia" w:ascii="宋体" w:hAnsi="宋体" w:cs="宋体"/>
          <w:b/>
          <w:bCs/>
          <w:color w:val="000000"/>
          <w:sz w:val="28"/>
          <w:szCs w:val="28"/>
          <w:highlight w:val="none"/>
        </w:rPr>
      </w:pPr>
    </w:p>
    <w:p w14:paraId="3E2AC95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151F93B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9"/>
          <w:rFonts w:hint="eastAsia" w:ascii="仿宋" w:hAnsi="仿宋" w:eastAsia="仿宋" w:cs="仿宋"/>
          <w:b/>
          <w:color w:val="000000"/>
          <w:sz w:val="32"/>
          <w:szCs w:val="32"/>
          <w:highlight w:val="none"/>
        </w:rPr>
        <w:t>第一章</w:t>
      </w:r>
      <w:r>
        <w:rPr>
          <w:rStyle w:val="29"/>
          <w:rFonts w:hint="eastAsia" w:ascii="仿宋" w:hAnsi="仿宋" w:eastAsia="仿宋" w:cs="仿宋"/>
          <w:b/>
          <w:color w:val="000000"/>
          <w:sz w:val="32"/>
          <w:szCs w:val="32"/>
          <w:highlight w:val="none"/>
          <w:lang w:val="en-US" w:eastAsia="zh-CN"/>
        </w:rPr>
        <w:t xml:space="preserve"> 比选邀请</w:t>
      </w:r>
      <w:r>
        <w:rPr>
          <w:rStyle w:val="29"/>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9"/>
          <w:rFonts w:hint="eastAsia" w:ascii="仿宋" w:hAnsi="仿宋" w:eastAsia="仿宋" w:cs="仿宋"/>
          <w:b/>
          <w:color w:val="000000"/>
          <w:sz w:val="32"/>
          <w:szCs w:val="32"/>
          <w:highlight w:val="none"/>
        </w:rPr>
        <w:t>第二章</w:t>
      </w:r>
      <w:r>
        <w:rPr>
          <w:rStyle w:val="29"/>
          <w:rFonts w:hint="eastAsia" w:ascii="仿宋" w:hAnsi="仿宋" w:eastAsia="仿宋" w:cs="仿宋"/>
          <w:b/>
          <w:color w:val="000000"/>
          <w:sz w:val="32"/>
          <w:szCs w:val="32"/>
          <w:highlight w:val="none"/>
          <w:lang w:val="en-US" w:eastAsia="zh-CN"/>
        </w:rPr>
        <w:t xml:space="preserve"> </w:t>
      </w:r>
      <w:r>
        <w:rPr>
          <w:rStyle w:val="29"/>
          <w:rFonts w:hint="eastAsia" w:ascii="仿宋" w:hAnsi="仿宋" w:eastAsia="仿宋" w:cs="仿宋"/>
          <w:b/>
          <w:color w:val="000000"/>
          <w:sz w:val="32"/>
          <w:szCs w:val="32"/>
          <w:highlight w:val="none"/>
          <w:lang w:eastAsia="zh-CN"/>
        </w:rPr>
        <w:t>用户</w:t>
      </w:r>
      <w:r>
        <w:rPr>
          <w:rStyle w:val="29"/>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9"/>
          <w:rFonts w:hint="eastAsia" w:ascii="仿宋" w:hAnsi="仿宋" w:eastAsia="仿宋" w:cs="仿宋"/>
          <w:b/>
          <w:color w:val="000000"/>
          <w:sz w:val="32"/>
          <w:szCs w:val="32"/>
          <w:highlight w:val="none"/>
        </w:rPr>
        <w:t>第三章</w:t>
      </w:r>
      <w:r>
        <w:rPr>
          <w:rStyle w:val="29"/>
          <w:rFonts w:hint="eastAsia" w:ascii="仿宋" w:hAnsi="仿宋" w:eastAsia="仿宋" w:cs="仿宋"/>
          <w:b/>
          <w:color w:val="000000"/>
          <w:sz w:val="32"/>
          <w:szCs w:val="32"/>
          <w:highlight w:val="none"/>
          <w:lang w:val="en-US" w:eastAsia="zh-CN"/>
        </w:rPr>
        <w:t xml:space="preserve"> 响应</w:t>
      </w:r>
      <w:r>
        <w:rPr>
          <w:rStyle w:val="29"/>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0B2E53EE">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5D9E245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33754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977237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B20A19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1FE88B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BB38E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32ACEE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90E21D1">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16B07F55">
      <w:pPr>
        <w:pStyle w:val="2"/>
        <w:rPr>
          <w:rFonts w:hint="eastAsia"/>
          <w:highlight w:val="none"/>
        </w:rPr>
      </w:pPr>
    </w:p>
    <w:p w14:paraId="69D6D8DC">
      <w:pPr>
        <w:rPr>
          <w:color w:val="000000"/>
          <w:highlight w:val="none"/>
        </w:rPr>
      </w:pPr>
    </w:p>
    <w:p w14:paraId="0844E894">
      <w:pPr>
        <w:pStyle w:val="30"/>
        <w:rPr>
          <w:color w:val="000000"/>
          <w:highlight w:val="none"/>
        </w:rPr>
      </w:pPr>
    </w:p>
    <w:p w14:paraId="257E9C11">
      <w:pPr>
        <w:pStyle w:val="30"/>
        <w:rPr>
          <w:color w:val="000000"/>
          <w:highlight w:val="none"/>
        </w:rPr>
      </w:pPr>
    </w:p>
    <w:p w14:paraId="484185A9">
      <w:pPr>
        <w:pStyle w:val="30"/>
        <w:rPr>
          <w:color w:val="000000"/>
          <w:highlight w:val="none"/>
        </w:rPr>
      </w:pPr>
    </w:p>
    <w:p w14:paraId="25781AD5">
      <w:pPr>
        <w:pStyle w:val="30"/>
        <w:rPr>
          <w:color w:val="000000"/>
          <w:highlight w:val="none"/>
        </w:rPr>
      </w:pPr>
    </w:p>
    <w:p w14:paraId="5BDD560E">
      <w:pPr>
        <w:pStyle w:val="30"/>
        <w:rPr>
          <w:color w:val="000000"/>
          <w:highlight w:val="none"/>
        </w:rPr>
      </w:pPr>
    </w:p>
    <w:p w14:paraId="5DA17303">
      <w:pPr>
        <w:pStyle w:val="30"/>
        <w:rPr>
          <w:color w:val="000000"/>
          <w:highlight w:val="none"/>
        </w:rPr>
      </w:pPr>
    </w:p>
    <w:p w14:paraId="7FDF95DF">
      <w:pPr>
        <w:pStyle w:val="30"/>
        <w:rPr>
          <w:color w:val="000000"/>
          <w:highlight w:val="none"/>
        </w:rPr>
      </w:pPr>
    </w:p>
    <w:p w14:paraId="24726310">
      <w:pPr>
        <w:pStyle w:val="30"/>
        <w:rPr>
          <w:color w:val="000000"/>
          <w:highlight w:val="none"/>
        </w:rPr>
      </w:pPr>
    </w:p>
    <w:p w14:paraId="103E28CA">
      <w:pPr>
        <w:pStyle w:val="30"/>
        <w:rPr>
          <w:color w:val="000000"/>
          <w:highlight w:val="none"/>
        </w:rPr>
      </w:pPr>
    </w:p>
    <w:p w14:paraId="59889958">
      <w:pPr>
        <w:pStyle w:val="30"/>
        <w:rPr>
          <w:color w:val="000000"/>
          <w:highlight w:val="none"/>
        </w:rPr>
      </w:pPr>
    </w:p>
    <w:p w14:paraId="0BCB1126">
      <w:pPr>
        <w:pStyle w:val="30"/>
        <w:rPr>
          <w:color w:val="000000"/>
          <w:highlight w:val="none"/>
        </w:rPr>
      </w:pPr>
    </w:p>
    <w:p w14:paraId="4877ADD8">
      <w:pPr>
        <w:pStyle w:val="30"/>
        <w:rPr>
          <w:color w:val="000000"/>
          <w:highlight w:val="none"/>
        </w:rPr>
      </w:pPr>
    </w:p>
    <w:p w14:paraId="7B7E1FFA">
      <w:pPr>
        <w:pStyle w:val="30"/>
        <w:rPr>
          <w:color w:val="000000"/>
          <w:highlight w:val="none"/>
        </w:rPr>
      </w:pPr>
    </w:p>
    <w:p w14:paraId="23CD036E">
      <w:pPr>
        <w:pStyle w:val="30"/>
        <w:ind w:left="0" w:leftChars="0" w:firstLine="0" w:firstLineChars="0"/>
        <w:rPr>
          <w:color w:val="000000"/>
          <w:highlight w:val="none"/>
        </w:rPr>
      </w:pPr>
    </w:p>
    <w:p w14:paraId="696D0A22">
      <w:pPr>
        <w:pStyle w:val="30"/>
        <w:rPr>
          <w:color w:val="000000"/>
          <w:highlight w:val="none"/>
        </w:rPr>
      </w:pPr>
    </w:p>
    <w:p w14:paraId="2BF55A84">
      <w:pPr>
        <w:pStyle w:val="30"/>
        <w:rPr>
          <w:color w:val="000000"/>
          <w:highlight w:val="none"/>
        </w:rPr>
      </w:pPr>
    </w:p>
    <w:p w14:paraId="03B0C041">
      <w:pPr>
        <w:pStyle w:val="30"/>
        <w:rPr>
          <w:color w:val="000000"/>
          <w:highlight w:val="none"/>
        </w:rPr>
      </w:pPr>
    </w:p>
    <w:p w14:paraId="6CD57F8C">
      <w:pPr>
        <w:pStyle w:val="30"/>
        <w:rPr>
          <w:color w:val="000000"/>
          <w:highlight w:val="none"/>
        </w:rPr>
      </w:pPr>
    </w:p>
    <w:p w14:paraId="066664FF">
      <w:pPr>
        <w:pStyle w:val="30"/>
        <w:rPr>
          <w:color w:val="000000"/>
          <w:highlight w:val="none"/>
        </w:rPr>
      </w:pPr>
    </w:p>
    <w:p w14:paraId="6406EBA9">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317"/>
      <w:bookmarkStart w:id="1" w:name="_Toc50736465"/>
      <w:bookmarkStart w:id="2" w:name="_Toc50737285"/>
      <w:bookmarkStart w:id="3" w:name="_Toc76354913"/>
      <w:bookmarkStart w:id="4" w:name="_Toc385939527"/>
      <w:bookmarkStart w:id="5" w:name="_Toc385940868"/>
      <w:bookmarkStart w:id="6" w:name="_Toc50691018"/>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3AD43A24">
      <w:pPr>
        <w:pStyle w:val="30"/>
        <w:rPr>
          <w:color w:val="000000"/>
          <w:highlight w:val="none"/>
        </w:rPr>
      </w:pPr>
    </w:p>
    <w:p w14:paraId="32E715E1">
      <w:pPr>
        <w:pStyle w:val="30"/>
        <w:rPr>
          <w:color w:val="000000"/>
          <w:highlight w:val="none"/>
        </w:rPr>
      </w:pPr>
    </w:p>
    <w:p w14:paraId="54448988">
      <w:pPr>
        <w:pStyle w:val="30"/>
        <w:rPr>
          <w:color w:val="000000"/>
          <w:highlight w:val="none"/>
        </w:rPr>
      </w:pPr>
    </w:p>
    <w:p w14:paraId="2AEA74C1">
      <w:pPr>
        <w:pStyle w:val="30"/>
        <w:rPr>
          <w:color w:val="000000"/>
          <w:highlight w:val="none"/>
        </w:rPr>
      </w:pPr>
    </w:p>
    <w:p w14:paraId="61BE7C16">
      <w:pPr>
        <w:pStyle w:val="30"/>
        <w:rPr>
          <w:color w:val="000000"/>
          <w:highlight w:val="none"/>
        </w:rPr>
      </w:pPr>
    </w:p>
    <w:p w14:paraId="60D06DB7">
      <w:pPr>
        <w:pStyle w:val="30"/>
        <w:rPr>
          <w:color w:val="000000"/>
          <w:highlight w:val="none"/>
        </w:rPr>
      </w:pPr>
    </w:p>
    <w:p w14:paraId="70B6352E">
      <w:pPr>
        <w:pStyle w:val="30"/>
        <w:rPr>
          <w:color w:val="000000"/>
          <w:highlight w:val="none"/>
        </w:rPr>
      </w:pPr>
    </w:p>
    <w:p w14:paraId="3E73432F">
      <w:pPr>
        <w:pStyle w:val="30"/>
        <w:rPr>
          <w:color w:val="000000"/>
          <w:highlight w:val="none"/>
        </w:rPr>
      </w:pPr>
    </w:p>
    <w:p w14:paraId="777CBB49">
      <w:pPr>
        <w:pStyle w:val="30"/>
        <w:rPr>
          <w:color w:val="000000"/>
          <w:highlight w:val="none"/>
        </w:rPr>
      </w:pPr>
    </w:p>
    <w:p w14:paraId="6BC2A4F5">
      <w:pPr>
        <w:pStyle w:val="30"/>
        <w:rPr>
          <w:color w:val="000000"/>
          <w:highlight w:val="none"/>
        </w:rPr>
      </w:pPr>
    </w:p>
    <w:p w14:paraId="746ED7EA">
      <w:pPr>
        <w:pStyle w:val="30"/>
        <w:rPr>
          <w:color w:val="000000"/>
          <w:highlight w:val="none"/>
        </w:rPr>
      </w:pPr>
    </w:p>
    <w:p w14:paraId="5A501B29">
      <w:pPr>
        <w:pStyle w:val="30"/>
        <w:rPr>
          <w:color w:val="000000"/>
          <w:highlight w:val="none"/>
        </w:rPr>
      </w:pPr>
    </w:p>
    <w:p w14:paraId="2A6FF7BF">
      <w:pPr>
        <w:pStyle w:val="30"/>
        <w:rPr>
          <w:color w:val="000000"/>
          <w:highlight w:val="none"/>
        </w:rPr>
      </w:pPr>
    </w:p>
    <w:p w14:paraId="07687E97">
      <w:pPr>
        <w:pStyle w:val="30"/>
        <w:rPr>
          <w:color w:val="000000"/>
          <w:highlight w:val="none"/>
        </w:rPr>
      </w:pPr>
    </w:p>
    <w:p w14:paraId="1001E486">
      <w:pPr>
        <w:pStyle w:val="30"/>
        <w:rPr>
          <w:color w:val="000000"/>
          <w:highlight w:val="none"/>
        </w:rPr>
      </w:pPr>
    </w:p>
    <w:p w14:paraId="02CD458A">
      <w:pPr>
        <w:pStyle w:val="30"/>
        <w:rPr>
          <w:color w:val="000000"/>
          <w:highlight w:val="none"/>
        </w:rPr>
      </w:pPr>
    </w:p>
    <w:p w14:paraId="630EA551">
      <w:pPr>
        <w:pStyle w:val="30"/>
        <w:rPr>
          <w:color w:val="000000"/>
          <w:highlight w:val="none"/>
        </w:rPr>
      </w:pPr>
    </w:p>
    <w:p w14:paraId="26B6D21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F6601D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35F4FB0A">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2BC30ABE">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lang w:val="en-US" w:eastAsia="zh-CN"/>
        </w:rPr>
        <w:t>以下简称“我院”</w:t>
      </w:r>
      <w:r>
        <w:rPr>
          <w:rFonts w:hint="eastAsia" w:ascii="仿宋" w:hAnsi="仿宋" w:eastAsia="仿宋" w:cs="仿宋"/>
          <w:bCs/>
          <w:color w:val="000000"/>
          <w:sz w:val="24"/>
          <w:szCs w:val="24"/>
          <w:highlight w:val="none"/>
          <w:lang w:eastAsia="zh-CN"/>
        </w:rPr>
        <w:t>）受</w:t>
      </w:r>
      <w:r>
        <w:rPr>
          <w:rFonts w:hint="eastAsia" w:ascii="仿宋" w:hAnsi="仿宋" w:eastAsia="仿宋" w:cs="仿宋"/>
          <w:bCs/>
          <w:color w:val="000000"/>
          <w:sz w:val="24"/>
          <w:szCs w:val="24"/>
          <w:highlight w:val="none"/>
          <w:lang w:val="en-US" w:eastAsia="zh-CN"/>
        </w:rPr>
        <w:t>广州市花都区卫生健康局</w:t>
      </w:r>
      <w:r>
        <w:rPr>
          <w:rFonts w:hint="eastAsia" w:ascii="仿宋" w:hAnsi="仿宋" w:eastAsia="仿宋" w:cs="仿宋"/>
          <w:bCs/>
          <w:color w:val="000000"/>
          <w:sz w:val="24"/>
          <w:szCs w:val="24"/>
          <w:highlight w:val="none"/>
          <w:lang w:eastAsia="zh-CN"/>
        </w:rPr>
        <w:t>的委托，</w:t>
      </w:r>
      <w:r>
        <w:rPr>
          <w:rFonts w:hint="eastAsia" w:ascii="仿宋" w:hAnsi="仿宋" w:eastAsia="仿宋" w:cs="仿宋"/>
          <w:bCs/>
          <w:color w:val="000000"/>
          <w:sz w:val="24"/>
          <w:szCs w:val="24"/>
          <w:highlight w:val="none"/>
          <w:lang w:val="en-US" w:eastAsia="zh-CN"/>
        </w:rPr>
        <w:t>依据中山大学附属仁济医院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val="en-US" w:eastAsia="zh-CN"/>
        </w:rPr>
        <w:t>仁济医院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的需求，现对中山大学附属仁济医院非120急救医疗转运服务项目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971404D">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ZCB-2024105</w:t>
      </w:r>
    </w:p>
    <w:p w14:paraId="6499695A">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：中山大学附属仁济医院非120急救医疗转运服务项目（第二次）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2480463">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5"/>
        <w:tblW w:w="4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1274"/>
        <w:gridCol w:w="1981"/>
        <w:gridCol w:w="2857"/>
      </w:tblGrid>
      <w:tr w14:paraId="230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AF62EB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54" w:type="pct"/>
            <w:tcBorders>
              <w:top w:val="single" w:color="auto" w:sz="4" w:space="0"/>
              <w:left w:val="nil"/>
              <w:bottom w:val="single" w:color="auto" w:sz="4" w:space="0"/>
              <w:right w:val="single" w:color="auto" w:sz="4" w:space="0"/>
            </w:tcBorders>
            <w:vAlign w:val="center"/>
          </w:tcPr>
          <w:p w14:paraId="7F2FDEE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173" w:type="pct"/>
            <w:tcBorders>
              <w:top w:val="single" w:color="auto" w:sz="4" w:space="0"/>
              <w:left w:val="nil"/>
              <w:bottom w:val="single" w:color="auto" w:sz="4" w:space="0"/>
              <w:right w:val="single" w:color="auto" w:sz="4" w:space="0"/>
            </w:tcBorders>
            <w:vAlign w:val="center"/>
          </w:tcPr>
          <w:p w14:paraId="7301F18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技术规格、参数及要求</w:t>
            </w:r>
          </w:p>
        </w:tc>
        <w:tc>
          <w:tcPr>
            <w:tcW w:w="1691" w:type="pct"/>
            <w:tcBorders>
              <w:top w:val="single" w:color="auto" w:sz="4" w:space="0"/>
              <w:left w:val="nil"/>
              <w:bottom w:val="single" w:color="auto" w:sz="4" w:space="0"/>
              <w:right w:val="single" w:color="auto" w:sz="4" w:space="0"/>
            </w:tcBorders>
            <w:vAlign w:val="center"/>
          </w:tcPr>
          <w:p w14:paraId="1AE0B2B7">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14:paraId="51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955EA1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仁济医院非120急救医疗转运服务</w:t>
            </w:r>
          </w:p>
        </w:tc>
        <w:tc>
          <w:tcPr>
            <w:tcW w:w="754" w:type="pct"/>
            <w:tcBorders>
              <w:top w:val="single" w:color="auto" w:sz="4" w:space="0"/>
              <w:left w:val="nil"/>
              <w:bottom w:val="single" w:color="auto" w:sz="4" w:space="0"/>
              <w:right w:val="single" w:color="auto" w:sz="4" w:space="0"/>
            </w:tcBorders>
            <w:vAlign w:val="center"/>
          </w:tcPr>
          <w:p w14:paraId="2CF874F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36个月</w:t>
            </w:r>
          </w:p>
        </w:tc>
        <w:tc>
          <w:tcPr>
            <w:tcW w:w="1173" w:type="pct"/>
            <w:tcBorders>
              <w:top w:val="single" w:color="auto" w:sz="4" w:space="0"/>
              <w:left w:val="nil"/>
              <w:bottom w:val="single" w:color="auto" w:sz="4" w:space="0"/>
              <w:right w:val="single" w:color="auto" w:sz="4" w:space="0"/>
            </w:tcBorders>
            <w:vAlign w:val="center"/>
          </w:tcPr>
          <w:p w14:paraId="2CD9455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详见用户需求书</w:t>
            </w:r>
          </w:p>
        </w:tc>
        <w:tc>
          <w:tcPr>
            <w:tcW w:w="1691" w:type="pct"/>
            <w:tcBorders>
              <w:top w:val="single" w:color="auto" w:sz="4" w:space="0"/>
              <w:left w:val="nil"/>
              <w:bottom w:val="single" w:color="auto" w:sz="4" w:space="0"/>
              <w:right w:val="single" w:color="auto" w:sz="4" w:space="0"/>
            </w:tcBorders>
            <w:vAlign w:val="center"/>
          </w:tcPr>
          <w:p w14:paraId="2ED8E46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928800</w:t>
            </w:r>
            <w:r>
              <w:rPr>
                <w:rFonts w:hint="eastAsia" w:ascii="仿宋" w:hAnsi="仿宋" w:eastAsia="仿宋" w:cs="仿宋"/>
                <w:color w:val="000000" w:themeColor="text1"/>
                <w:sz w:val="24"/>
                <w:szCs w:val="24"/>
                <w14:textFill>
                  <w14:solidFill>
                    <w14:schemeClr w14:val="tx1"/>
                  </w14:solidFill>
                </w14:textFill>
              </w:rPr>
              <w:t>元</w:t>
            </w:r>
          </w:p>
        </w:tc>
      </w:tr>
    </w:tbl>
    <w:p w14:paraId="66F076F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03B88EBF">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0246D0A3">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8"/>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8"/>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3CB750F">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8"/>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8"/>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01FCFBD1">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仁济医院非120急救医疗转运（第二次）</w:t>
      </w:r>
      <w:r>
        <w:rPr>
          <w:rFonts w:hint="eastAsia" w:ascii="仿宋" w:hAnsi="仿宋" w:eastAsia="仿宋" w:cs="仿宋"/>
          <w:i w:val="0"/>
          <w:iCs w:val="0"/>
          <w:caps w:val="0"/>
          <w:color w:val="000000"/>
          <w:spacing w:val="0"/>
          <w:sz w:val="24"/>
          <w:szCs w:val="24"/>
          <w:highlight w:val="none"/>
          <w:u w:val="none"/>
          <w:vertAlign w:val="baseline"/>
        </w:rPr>
        <w:t>-某某公司</w:t>
      </w:r>
    </w:p>
    <w:p w14:paraId="61FD3434">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19</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7D3DF828">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8"/>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8"/>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8"/>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328A6FF3">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5018C2DE">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5FDEE257">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供应商必须是合法正规的非120急救医疗转运服务机构，需提供相关证明材料，如《医疗机构执业许可证》和卫生行政部门批准开展非120急救医疗转运服务的文件或证明。上述材料需为供应商实际持有，不支持通过挂靠、转让、合作等形式获得或共享相应材料与资质。（提供有效期内的证明资料，加盖公章）</w:t>
      </w:r>
    </w:p>
    <w:p w14:paraId="725B40E8">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4248F432">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3FEC3C9A">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796C2A81">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38966771">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A2CFA9D">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待定，广州市越秀区长堤大马路171号一方长堤健康产业中心（原威力斯大楼）907室。</w:t>
      </w:r>
    </w:p>
    <w:p w14:paraId="5A2623A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4587477">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5CFDD8B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1F57713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30967A6A">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6219D322">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57ED1F3">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12日</w:t>
      </w:r>
    </w:p>
    <w:p w14:paraId="55E200B0">
      <w:pPr>
        <w:pStyle w:val="30"/>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15616C93">
      <w:pPr>
        <w:pStyle w:val="30"/>
        <w:rPr>
          <w:color w:val="000000"/>
          <w:highlight w:val="none"/>
        </w:rPr>
      </w:pPr>
    </w:p>
    <w:p w14:paraId="469C16BF">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7288"/>
      <w:bookmarkStart w:id="9" w:name="_Toc76354916"/>
      <w:bookmarkStart w:id="10" w:name="_Toc50691021"/>
      <w:bookmarkStart w:id="11" w:name="_Toc50736468"/>
      <w:bookmarkStart w:id="12" w:name="_Toc50737320"/>
      <w:bookmarkStart w:id="13" w:name="_Toc385940869"/>
      <w:bookmarkStart w:id="14" w:name="_Toc385939528"/>
      <w:bookmarkStart w:id="15" w:name="_Toc417914518"/>
    </w:p>
    <w:p w14:paraId="60D97592">
      <w:pPr>
        <w:pStyle w:val="2"/>
        <w:rPr>
          <w:rFonts w:hint="eastAsia"/>
        </w:rPr>
      </w:pPr>
    </w:p>
    <w:p w14:paraId="08031A5D">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CBA4AD8">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1B53A07">
      <w:pPr>
        <w:rPr>
          <w:rFonts w:hint="eastAsia" w:ascii="微软雅黑" w:hAnsi="微软雅黑" w:eastAsia="微软雅黑" w:cs="微软雅黑"/>
          <w:color w:val="000000"/>
          <w:highlight w:val="none"/>
        </w:rPr>
      </w:pPr>
    </w:p>
    <w:p w14:paraId="4E2670FB">
      <w:pPr>
        <w:rPr>
          <w:rFonts w:hint="eastAsia" w:ascii="微软雅黑" w:hAnsi="微软雅黑" w:eastAsia="微软雅黑" w:cs="微软雅黑"/>
          <w:color w:val="000000"/>
          <w:highlight w:val="none"/>
        </w:rPr>
      </w:pPr>
    </w:p>
    <w:p w14:paraId="1B1F1100">
      <w:pPr>
        <w:rPr>
          <w:rFonts w:hint="eastAsia" w:ascii="微软雅黑" w:hAnsi="微软雅黑" w:eastAsia="微软雅黑" w:cs="微软雅黑"/>
          <w:color w:val="000000"/>
          <w:highlight w:val="none"/>
        </w:rPr>
      </w:pPr>
    </w:p>
    <w:p w14:paraId="22E95F46">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7F04BE3">
      <w:pPr>
        <w:pStyle w:val="30"/>
        <w:rPr>
          <w:color w:val="000000"/>
          <w:highlight w:val="none"/>
        </w:rPr>
      </w:pPr>
    </w:p>
    <w:p w14:paraId="2970EAC8">
      <w:pPr>
        <w:pStyle w:val="30"/>
        <w:rPr>
          <w:color w:val="000000"/>
          <w:highlight w:val="none"/>
        </w:rPr>
      </w:pPr>
    </w:p>
    <w:p w14:paraId="2BC3BC82">
      <w:pPr>
        <w:pStyle w:val="30"/>
        <w:rPr>
          <w:color w:val="000000"/>
          <w:highlight w:val="none"/>
        </w:rPr>
      </w:pPr>
    </w:p>
    <w:p w14:paraId="75580613">
      <w:pPr>
        <w:pStyle w:val="30"/>
        <w:rPr>
          <w:color w:val="000000"/>
          <w:highlight w:val="none"/>
        </w:rPr>
      </w:pPr>
    </w:p>
    <w:p w14:paraId="63094DE4">
      <w:pPr>
        <w:pStyle w:val="30"/>
        <w:rPr>
          <w:color w:val="000000"/>
          <w:highlight w:val="none"/>
        </w:rPr>
      </w:pPr>
    </w:p>
    <w:p w14:paraId="5DE5BFA6">
      <w:pPr>
        <w:pStyle w:val="30"/>
        <w:rPr>
          <w:color w:val="000000"/>
          <w:highlight w:val="none"/>
        </w:rPr>
      </w:pPr>
    </w:p>
    <w:p w14:paraId="6BB78249">
      <w:pPr>
        <w:pStyle w:val="30"/>
        <w:rPr>
          <w:color w:val="000000"/>
          <w:highlight w:val="none"/>
        </w:rPr>
      </w:pPr>
    </w:p>
    <w:p w14:paraId="77100BE0">
      <w:pPr>
        <w:pStyle w:val="30"/>
        <w:rPr>
          <w:color w:val="000000"/>
          <w:highlight w:val="none"/>
        </w:rPr>
      </w:pPr>
    </w:p>
    <w:p w14:paraId="31FE32FD">
      <w:pPr>
        <w:pStyle w:val="30"/>
        <w:rPr>
          <w:color w:val="000000"/>
          <w:highlight w:val="none"/>
        </w:rPr>
      </w:pPr>
    </w:p>
    <w:p w14:paraId="6F3FB45B">
      <w:pPr>
        <w:pStyle w:val="30"/>
        <w:rPr>
          <w:color w:val="000000"/>
          <w:highlight w:val="none"/>
        </w:rPr>
      </w:pPr>
    </w:p>
    <w:p w14:paraId="52E1B1E4">
      <w:pPr>
        <w:pStyle w:val="30"/>
        <w:rPr>
          <w:color w:val="000000"/>
          <w:highlight w:val="none"/>
        </w:rPr>
      </w:pPr>
    </w:p>
    <w:p w14:paraId="0C4906CE">
      <w:pPr>
        <w:pStyle w:val="30"/>
        <w:rPr>
          <w:color w:val="000000"/>
          <w:highlight w:val="none"/>
        </w:rPr>
      </w:pPr>
    </w:p>
    <w:p w14:paraId="0499B7B7">
      <w:pPr>
        <w:pStyle w:val="30"/>
        <w:rPr>
          <w:color w:val="000000"/>
          <w:highlight w:val="none"/>
        </w:rPr>
      </w:pPr>
    </w:p>
    <w:p w14:paraId="4AC295E9">
      <w:pPr>
        <w:pStyle w:val="30"/>
        <w:rPr>
          <w:color w:val="000000"/>
          <w:highlight w:val="none"/>
        </w:rPr>
      </w:pPr>
    </w:p>
    <w:p w14:paraId="4100EAFF">
      <w:pPr>
        <w:pStyle w:val="30"/>
        <w:rPr>
          <w:color w:val="000000"/>
          <w:highlight w:val="none"/>
        </w:rPr>
      </w:pPr>
    </w:p>
    <w:p w14:paraId="36927FAC">
      <w:pPr>
        <w:pStyle w:val="30"/>
        <w:rPr>
          <w:color w:val="000000"/>
          <w:highlight w:val="none"/>
        </w:rPr>
      </w:pPr>
    </w:p>
    <w:p w14:paraId="306FD583">
      <w:pPr>
        <w:pStyle w:val="30"/>
        <w:rPr>
          <w:color w:val="000000"/>
          <w:highlight w:val="none"/>
        </w:rPr>
      </w:pPr>
    </w:p>
    <w:p w14:paraId="25B4571C">
      <w:pPr>
        <w:pStyle w:val="30"/>
        <w:rPr>
          <w:color w:val="000000"/>
          <w:highlight w:val="none"/>
        </w:rPr>
      </w:pPr>
    </w:p>
    <w:p w14:paraId="02457180">
      <w:pPr>
        <w:pStyle w:val="30"/>
        <w:rPr>
          <w:color w:val="000000"/>
          <w:highlight w:val="none"/>
        </w:rPr>
      </w:pPr>
    </w:p>
    <w:p w14:paraId="0C01F081">
      <w:pPr>
        <w:pStyle w:val="30"/>
        <w:rPr>
          <w:color w:val="000000"/>
          <w:highlight w:val="none"/>
        </w:rPr>
      </w:pPr>
    </w:p>
    <w:p w14:paraId="108919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7A2E659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5E478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华文中宋" w:hAnsi="华文中宋" w:eastAsia="华文中宋" w:cs="华文中宋"/>
          <w:b/>
          <w:bCs/>
          <w:color w:val="000000" w:themeColor="text1"/>
          <w:kern w:val="44"/>
          <w:sz w:val="36"/>
          <w:szCs w:val="36"/>
          <w:highlight w:val="none"/>
          <w14:textFill>
            <w14:solidFill>
              <w14:schemeClr w14:val="tx1"/>
            </w14:solidFill>
          </w14:textFill>
        </w:rPr>
        <w:t>用户需求书</w:t>
      </w:r>
    </w:p>
    <w:p w14:paraId="380E2F55">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bookmarkStart w:id="16" w:name="_Toc417914519"/>
      <w:bookmarkStart w:id="17" w:name="_Toc385939529"/>
      <w:bookmarkStart w:id="18" w:name="_Toc385940875"/>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说明： </w:t>
      </w:r>
    </w:p>
    <w:p w14:paraId="06CFEFD2">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人须对本项目所有标的物进行整体</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，任何只对其中一部分内容进行的</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都被视为无效</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 </w:t>
      </w:r>
    </w:p>
    <w:p w14:paraId="22BC7574">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4.响应人在响应详细内容中必须列出具体数值或作出具体承诺。如果响应人只注明“正偏离”或“无偏离”，将可能被视为“负偏离”，从而可能导致严重影响评分结果。</w:t>
      </w:r>
    </w:p>
    <w:p w14:paraId="6D05D344">
      <w:pPr>
        <w:keepNext w:val="0"/>
        <w:keepLines w:val="0"/>
        <w:widowControl/>
        <w:suppressLineNumbers w:val="0"/>
        <w:jc w:val="left"/>
        <w:rPr>
          <w:b/>
          <w:bCs/>
          <w:color w:val="000000" w:themeColor="text1"/>
          <w:highlight w:val="none"/>
          <w14:textFill>
            <w14:solidFill>
              <w14:schemeClr w14:val="tx1"/>
            </w14:solidFill>
          </w14:textFill>
        </w:rPr>
      </w:pPr>
    </w:p>
    <w:p w14:paraId="39B772F5">
      <w:pPr>
        <w:pStyle w:val="30"/>
        <w:rPr>
          <w:rFonts w:hint="eastAsia"/>
          <w:color w:val="000000" w:themeColor="text1"/>
          <w:highlight w:val="none"/>
          <w14:textFill>
            <w14:solidFill>
              <w14:schemeClr w14:val="tx1"/>
            </w14:solidFill>
          </w14:textFill>
        </w:rPr>
      </w:pPr>
    </w:p>
    <w:p w14:paraId="18F8E2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中山大学附属仁济医院选址位于广州市花都区新雅街，在广州空港经济区范围内，总用地面积约8.06万平方米(一期建设用地约120.92亩)，总建筑面积约17万平方米，按三级甲等综合医院标准建设，床位数1000床。目前，仁济医院已基本完成建设，拟于今年内投入使用。</w:t>
      </w:r>
    </w:p>
    <w:p w14:paraId="0F4B3724">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p w14:paraId="77E82DE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本项目为中山大学附属仁济医院非120急救医疗转运服务项目，包括但不限于病人、家属及医护人员医疗转运、标本/血液输送转运及院方要求的其他非医疗转运服务。</w:t>
      </w:r>
    </w:p>
    <w:tbl>
      <w:tblPr>
        <w:tblStyle w:val="25"/>
        <w:tblW w:w="4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5"/>
        <w:gridCol w:w="2083"/>
        <w:gridCol w:w="2709"/>
      </w:tblGrid>
      <w:tr w14:paraId="0A99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16" w:type="pct"/>
            <w:tcBorders>
              <w:top w:val="single" w:color="auto" w:sz="4" w:space="0"/>
              <w:left w:val="single" w:color="auto" w:sz="4" w:space="0"/>
              <w:bottom w:val="single" w:color="auto" w:sz="4" w:space="0"/>
              <w:right w:val="single" w:color="auto" w:sz="4" w:space="0"/>
            </w:tcBorders>
            <w:vAlign w:val="center"/>
          </w:tcPr>
          <w:p w14:paraId="6B5CC45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67" w:type="pct"/>
            <w:tcBorders>
              <w:top w:val="single" w:color="auto" w:sz="4" w:space="0"/>
              <w:left w:val="nil"/>
              <w:bottom w:val="single" w:color="auto" w:sz="4" w:space="0"/>
              <w:right w:val="single" w:color="auto" w:sz="4" w:space="0"/>
            </w:tcBorders>
            <w:vAlign w:val="center"/>
          </w:tcPr>
          <w:p w14:paraId="72A9BCA0">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137" w:type="pct"/>
            <w:tcBorders>
              <w:top w:val="single" w:color="auto" w:sz="4" w:space="0"/>
              <w:left w:val="nil"/>
              <w:bottom w:val="single" w:color="auto" w:sz="4" w:space="0"/>
              <w:right w:val="single" w:color="auto" w:sz="4" w:space="0"/>
            </w:tcBorders>
            <w:vAlign w:val="center"/>
          </w:tcPr>
          <w:p w14:paraId="1ED9FC8B">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单价最高限价</w:t>
            </w:r>
          </w:p>
        </w:tc>
        <w:tc>
          <w:tcPr>
            <w:tcW w:w="1479" w:type="pct"/>
            <w:tcBorders>
              <w:top w:val="single" w:color="auto" w:sz="4" w:space="0"/>
              <w:left w:val="nil"/>
              <w:bottom w:val="single" w:color="auto" w:sz="4" w:space="0"/>
              <w:right w:val="single" w:color="auto" w:sz="4" w:space="0"/>
            </w:tcBorders>
            <w:vAlign w:val="center"/>
          </w:tcPr>
          <w:p w14:paraId="27997CD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14:paraId="497A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16" w:type="pct"/>
            <w:tcBorders>
              <w:top w:val="single" w:color="auto" w:sz="4" w:space="0"/>
              <w:left w:val="single" w:color="auto" w:sz="4" w:space="0"/>
              <w:bottom w:val="single" w:color="auto" w:sz="4" w:space="0"/>
              <w:right w:val="single" w:color="auto" w:sz="4" w:space="0"/>
            </w:tcBorders>
            <w:vAlign w:val="center"/>
          </w:tcPr>
          <w:p w14:paraId="5F925463">
            <w:pPr>
              <w:keepNext w:val="0"/>
              <w:keepLines w:val="0"/>
              <w:suppressLineNumbers w:val="0"/>
              <w:spacing w:before="0" w:beforeAutospacing="0" w:after="0" w:afterAutospacing="0" w:line="340" w:lineRule="exact"/>
              <w:ind w:left="0" w:right="0"/>
              <w:jc w:val="center"/>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仁济医院非120急救医疗转运服务</w:t>
            </w:r>
          </w:p>
        </w:tc>
        <w:tc>
          <w:tcPr>
            <w:tcW w:w="767" w:type="pct"/>
            <w:tcBorders>
              <w:top w:val="single" w:color="auto" w:sz="4" w:space="0"/>
              <w:left w:val="nil"/>
              <w:bottom w:val="single" w:color="auto" w:sz="4" w:space="0"/>
              <w:right w:val="single" w:color="auto" w:sz="4" w:space="0"/>
            </w:tcBorders>
            <w:vAlign w:val="center"/>
          </w:tcPr>
          <w:p w14:paraId="6AB9B68B">
            <w:pPr>
              <w:keepNext w:val="0"/>
              <w:keepLines w:val="0"/>
              <w:suppressLineNumbers w:val="0"/>
              <w:spacing w:before="0" w:beforeAutospacing="0" w:after="0" w:afterAutospacing="0" w:line="340" w:lineRule="exact"/>
              <w:ind w:left="0" w:right="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36个月</w:t>
            </w:r>
          </w:p>
        </w:tc>
        <w:tc>
          <w:tcPr>
            <w:tcW w:w="1137" w:type="pct"/>
            <w:tcBorders>
              <w:top w:val="single" w:color="auto" w:sz="4" w:space="0"/>
              <w:left w:val="nil"/>
              <w:bottom w:val="single" w:color="auto" w:sz="4" w:space="0"/>
              <w:right w:val="single" w:color="auto" w:sz="4" w:space="0"/>
            </w:tcBorders>
            <w:vAlign w:val="center"/>
          </w:tcPr>
          <w:p w14:paraId="56A905E1">
            <w:pPr>
              <w:keepNext w:val="0"/>
              <w:keepLines w:val="0"/>
              <w:suppressLineNumbers w:val="0"/>
              <w:spacing w:before="0" w:beforeAutospacing="0" w:after="0" w:afterAutospacing="0" w:line="340" w:lineRule="exact"/>
              <w:ind w:left="0" w:leftChars="0" w:right="0" w:righ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25800元/月</w:t>
            </w:r>
          </w:p>
        </w:tc>
        <w:tc>
          <w:tcPr>
            <w:tcW w:w="1479" w:type="pct"/>
            <w:tcBorders>
              <w:top w:val="single" w:color="auto" w:sz="4" w:space="0"/>
              <w:left w:val="nil"/>
              <w:bottom w:val="single" w:color="auto" w:sz="4" w:space="0"/>
              <w:right w:val="single" w:color="auto" w:sz="4" w:space="0"/>
            </w:tcBorders>
            <w:vAlign w:val="center"/>
          </w:tcPr>
          <w:p w14:paraId="6729E5F6">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928800</w:t>
            </w:r>
            <w:r>
              <w:rPr>
                <w:rFonts w:hint="eastAsia" w:ascii="仿宋" w:hAnsi="仿宋" w:eastAsia="仿宋" w:cs="仿宋"/>
                <w:color w:val="000000" w:themeColor="text1"/>
                <w:sz w:val="24"/>
                <w:szCs w:val="24"/>
                <w14:textFill>
                  <w14:solidFill>
                    <w14:schemeClr w14:val="tx1"/>
                  </w14:solidFill>
                </w14:textFill>
              </w:rPr>
              <w:t>元</w:t>
            </w:r>
          </w:p>
        </w:tc>
      </w:tr>
    </w:tbl>
    <w:p w14:paraId="4A516D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单价最高限价/采购预算</w:t>
      </w:r>
      <w:r>
        <w:rPr>
          <w:rFonts w:hint="eastAsia" w:ascii="仿宋" w:hAnsi="仿宋" w:eastAsia="仿宋" w:cs="仿宋"/>
          <w:color w:val="000000" w:themeColor="text1"/>
          <w:sz w:val="24"/>
          <w:szCs w:val="24"/>
          <w:highlight w:val="none"/>
          <w14:textFill>
            <w14:solidFill>
              <w14:schemeClr w14:val="tx1"/>
            </w14:solidFill>
          </w14:textFill>
        </w:rPr>
        <w:t>，将导致响应无效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B49D81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二、转运</w:t>
      </w:r>
      <w:r>
        <w:rPr>
          <w:rFonts w:hint="eastAsia" w:ascii="仿宋" w:hAnsi="仿宋" w:eastAsia="仿宋" w:cs="仿宋"/>
          <w:b/>
          <w:color w:val="000000"/>
          <w:sz w:val="24"/>
          <w:szCs w:val="24"/>
          <w:highlight w:val="none"/>
        </w:rPr>
        <w:t>要求</w:t>
      </w:r>
    </w:p>
    <w:p w14:paraId="278FA86B">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服务时间：全天24小时响应，</w:t>
      </w:r>
      <w:r>
        <w:rPr>
          <w:rFonts w:hint="eastAsia" w:ascii="仿宋" w:hAnsi="仿宋" w:eastAsia="仿宋" w:cs="仿宋"/>
          <w:b w:val="0"/>
          <w:bCs/>
          <w:color w:val="000000"/>
          <w:sz w:val="24"/>
          <w:szCs w:val="24"/>
          <w:highlight w:val="none"/>
          <w:lang w:val="en-US" w:eastAsia="zh-CN"/>
        </w:rPr>
        <w:t>含</w:t>
      </w:r>
      <w:r>
        <w:rPr>
          <w:rFonts w:hint="eastAsia" w:ascii="仿宋" w:hAnsi="仿宋" w:eastAsia="仿宋" w:cs="仿宋"/>
          <w:b w:val="0"/>
          <w:bCs/>
          <w:color w:val="000000"/>
          <w:sz w:val="24"/>
          <w:szCs w:val="24"/>
          <w:highlight w:val="none"/>
          <w:lang w:eastAsia="zh-CN"/>
        </w:rPr>
        <w:t>工作日、</w:t>
      </w:r>
      <w:r>
        <w:rPr>
          <w:rFonts w:hint="eastAsia" w:ascii="仿宋" w:hAnsi="仿宋" w:eastAsia="仿宋" w:cs="仿宋"/>
          <w:b w:val="0"/>
          <w:bCs/>
          <w:color w:val="000000"/>
          <w:sz w:val="24"/>
          <w:szCs w:val="24"/>
          <w:highlight w:val="none"/>
          <w:lang w:val="en-US" w:eastAsia="zh-CN"/>
        </w:rPr>
        <w:t>法定节假日。</w:t>
      </w:r>
    </w:p>
    <w:p w14:paraId="60675487">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★服务内容</w:t>
      </w:r>
    </w:p>
    <w:p w14:paraId="3D37B05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负责</w:t>
      </w:r>
      <w:r>
        <w:rPr>
          <w:rFonts w:hint="eastAsia" w:ascii="仿宋" w:hAnsi="仿宋" w:eastAsia="仿宋" w:cs="仿宋"/>
          <w:b w:val="0"/>
          <w:bCs/>
          <w:color w:val="000000"/>
          <w:sz w:val="24"/>
          <w:szCs w:val="24"/>
          <w:highlight w:val="none"/>
          <w:lang w:val="en-US" w:eastAsia="zh-CN"/>
        </w:rPr>
        <w:t>提供</w:t>
      </w:r>
      <w:r>
        <w:rPr>
          <w:rFonts w:hint="eastAsia" w:ascii="仿宋" w:hAnsi="仿宋" w:eastAsia="仿宋" w:cs="仿宋"/>
          <w:b w:val="0"/>
          <w:bCs/>
          <w:color w:val="000000"/>
          <w:sz w:val="24"/>
          <w:szCs w:val="24"/>
          <w:highlight w:val="none"/>
          <w:lang w:eastAsia="zh-CN"/>
        </w:rPr>
        <w:t>常规非120急救的医疗转运服务，及院方要求的其他非医疗转运服务，相关服务按卫生行政部门要求的非120急救转运流程、标准提供。</w:t>
      </w:r>
    </w:p>
    <w:p w14:paraId="3D9F98AA">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供应商需提供一辆专用救护车停在院方院内指定位置，确保</w:t>
      </w:r>
      <w:r>
        <w:rPr>
          <w:rFonts w:hint="eastAsia" w:ascii="仿宋" w:hAnsi="仿宋" w:eastAsia="仿宋" w:cs="仿宋"/>
          <w:b w:val="0"/>
          <w:bCs/>
          <w:color w:val="000000"/>
          <w:sz w:val="24"/>
          <w:szCs w:val="24"/>
          <w:highlight w:val="none"/>
          <w:lang w:val="en-US" w:eastAsia="zh-CN"/>
        </w:rPr>
        <w:t>服务期内24小时</w:t>
      </w:r>
      <w:r>
        <w:rPr>
          <w:rFonts w:hint="eastAsia" w:ascii="仿宋" w:hAnsi="仿宋" w:eastAsia="仿宋" w:cs="仿宋"/>
          <w:b w:val="0"/>
          <w:bCs/>
          <w:color w:val="000000"/>
          <w:sz w:val="24"/>
          <w:szCs w:val="24"/>
          <w:highlight w:val="none"/>
          <w:lang w:eastAsia="zh-CN"/>
        </w:rPr>
        <w:t>随时可用。救护车参考品牌为奔驰、福特全顺、丰田、金龙或优于上述品牌档次。</w:t>
      </w:r>
    </w:p>
    <w:p w14:paraId="1CF5832C">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供应商拟投入本项目车辆必须权属清晰，承诺无重大维修记录及重大事故记录，上牌注册时间要求在201</w:t>
      </w:r>
      <w:r>
        <w:rPr>
          <w:rFonts w:hint="eastAsia" w:ascii="仿宋" w:hAnsi="仿宋" w:eastAsia="仿宋" w:cs="仿宋"/>
          <w:b w:val="0"/>
          <w:bCs/>
          <w:color w:val="000000"/>
          <w:sz w:val="24"/>
          <w:szCs w:val="24"/>
          <w:highlight w:val="none"/>
          <w:lang w:val="en-US" w:eastAsia="zh-CN"/>
        </w:rPr>
        <w:t>9</w:t>
      </w:r>
      <w:r>
        <w:rPr>
          <w:rFonts w:hint="eastAsia" w:ascii="仿宋" w:hAnsi="仿宋" w:eastAsia="仿宋" w:cs="仿宋"/>
          <w:b w:val="0"/>
          <w:bCs/>
          <w:color w:val="000000"/>
          <w:sz w:val="24"/>
          <w:szCs w:val="24"/>
          <w:highlight w:val="none"/>
          <w:lang w:eastAsia="zh-CN"/>
        </w:rPr>
        <w:t>年及以后，车辆年审合格，符合环保要求，定时购买交强险、商业保险</w:t>
      </w:r>
      <w:r>
        <w:rPr>
          <w:rFonts w:hint="eastAsia" w:ascii="仿宋" w:hAnsi="仿宋" w:eastAsia="仿宋" w:cs="仿宋"/>
          <w:b w:val="0"/>
          <w:bCs/>
          <w:color w:val="000000"/>
          <w:sz w:val="24"/>
          <w:szCs w:val="24"/>
          <w:highlight w:val="none"/>
          <w:lang w:val="en-US" w:eastAsia="zh-CN"/>
        </w:rPr>
        <w:t>等车辆保险</w:t>
      </w:r>
      <w:r>
        <w:rPr>
          <w:rFonts w:hint="eastAsia" w:ascii="仿宋" w:hAnsi="仿宋" w:eastAsia="仿宋" w:cs="仿宋"/>
          <w:b w:val="0"/>
          <w:bCs/>
          <w:color w:val="000000"/>
          <w:sz w:val="24"/>
          <w:szCs w:val="24"/>
          <w:highlight w:val="none"/>
          <w:lang w:eastAsia="zh-CN"/>
        </w:rPr>
        <w:t>。</w:t>
      </w:r>
    </w:p>
    <w:p w14:paraId="2C1E4083">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供应商需</w:t>
      </w:r>
      <w:r>
        <w:rPr>
          <w:rFonts w:hint="eastAsia" w:ascii="仿宋" w:hAnsi="仿宋" w:eastAsia="仿宋" w:cs="仿宋"/>
          <w:b w:val="0"/>
          <w:bCs/>
          <w:color w:val="000000"/>
          <w:sz w:val="24"/>
          <w:szCs w:val="24"/>
          <w:highlight w:val="none"/>
          <w:lang w:eastAsia="zh-CN"/>
        </w:rPr>
        <w:t>为本项目投入备用车辆，确保完成24小时运送任务。</w:t>
      </w:r>
    </w:p>
    <w:p w14:paraId="44EF30CC">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负责车辆的日常检查、清洁、车况记录，保障车辆满足转运需要。</w:t>
      </w:r>
    </w:p>
    <w:p w14:paraId="15E1728C">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救护车上必须配备基础的医疗设备（详见车载设备需求配置表），并确保所配备设备符合相关医疗管理规定。车载医疗设备投入使用前需向院方备案</w:t>
      </w:r>
      <w:r>
        <w:rPr>
          <w:rFonts w:hint="eastAsia" w:ascii="仿宋" w:hAnsi="仿宋" w:eastAsia="仿宋" w:cs="仿宋"/>
          <w:b w:val="0"/>
          <w:bCs/>
          <w:color w:val="000000"/>
          <w:sz w:val="24"/>
          <w:szCs w:val="24"/>
          <w:highlight w:val="none"/>
          <w:lang w:val="en-US" w:eastAsia="zh-CN"/>
        </w:rPr>
        <w:t>有效的</w:t>
      </w:r>
      <w:r>
        <w:rPr>
          <w:rFonts w:hint="eastAsia" w:ascii="仿宋" w:hAnsi="仿宋" w:eastAsia="仿宋" w:cs="仿宋"/>
          <w:b w:val="0"/>
          <w:bCs/>
          <w:color w:val="000000"/>
          <w:sz w:val="24"/>
          <w:szCs w:val="24"/>
          <w:highlight w:val="none"/>
          <w:lang w:eastAsia="zh-CN"/>
        </w:rPr>
        <w:t>相关医疗器械注册证件资料，并确保</w:t>
      </w:r>
      <w:r>
        <w:rPr>
          <w:rFonts w:hint="eastAsia" w:ascii="仿宋" w:hAnsi="仿宋" w:eastAsia="仿宋" w:cs="仿宋"/>
          <w:b w:val="0"/>
          <w:bCs/>
          <w:color w:val="000000"/>
          <w:sz w:val="24"/>
          <w:szCs w:val="24"/>
          <w:highlight w:val="none"/>
          <w:lang w:val="en-US" w:eastAsia="zh-CN"/>
        </w:rPr>
        <w:t>服务</w:t>
      </w:r>
      <w:r>
        <w:rPr>
          <w:rFonts w:hint="eastAsia" w:ascii="仿宋" w:hAnsi="仿宋" w:eastAsia="仿宋" w:cs="仿宋"/>
          <w:b w:val="0"/>
          <w:bCs/>
          <w:color w:val="000000"/>
          <w:sz w:val="24"/>
          <w:szCs w:val="24"/>
          <w:highlight w:val="none"/>
          <w:lang w:eastAsia="zh-CN"/>
        </w:rPr>
        <w:t>期内设备技术参数与注册证件资料要求相一致。</w:t>
      </w:r>
    </w:p>
    <w:p w14:paraId="144E10DE">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车载设备需求配置表</w:t>
      </w:r>
    </w:p>
    <w:tbl>
      <w:tblPr>
        <w:tblStyle w:val="25"/>
        <w:tblW w:w="6658" w:type="dxa"/>
        <w:jc w:val="center"/>
        <w:tblLayout w:type="fixed"/>
        <w:tblCellMar>
          <w:top w:w="0" w:type="dxa"/>
          <w:left w:w="108" w:type="dxa"/>
          <w:bottom w:w="0" w:type="dxa"/>
          <w:right w:w="108" w:type="dxa"/>
        </w:tblCellMar>
      </w:tblPr>
      <w:tblGrid>
        <w:gridCol w:w="5002"/>
        <w:gridCol w:w="854"/>
        <w:gridCol w:w="802"/>
      </w:tblGrid>
      <w:tr w14:paraId="7AC66408">
        <w:tblPrEx>
          <w:tblCellMar>
            <w:top w:w="0" w:type="dxa"/>
            <w:left w:w="108" w:type="dxa"/>
            <w:bottom w:w="0" w:type="dxa"/>
            <w:right w:w="108" w:type="dxa"/>
          </w:tblCellMar>
        </w:tblPrEx>
        <w:trPr>
          <w:jc w:val="center"/>
        </w:trPr>
        <w:tc>
          <w:tcPr>
            <w:tcW w:w="5002" w:type="dxa"/>
            <w:tcBorders>
              <w:top w:val="single" w:color="auto" w:sz="4" w:space="0"/>
              <w:left w:val="single" w:color="auto" w:sz="4" w:space="0"/>
              <w:bottom w:val="single" w:color="auto" w:sz="4" w:space="0"/>
              <w:right w:val="single" w:color="auto" w:sz="4" w:space="0"/>
            </w:tcBorders>
            <w:vAlign w:val="center"/>
          </w:tcPr>
          <w:p w14:paraId="1212705B">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物品器械名称</w:t>
            </w:r>
          </w:p>
        </w:tc>
        <w:tc>
          <w:tcPr>
            <w:tcW w:w="854" w:type="dxa"/>
            <w:tcBorders>
              <w:top w:val="single" w:color="auto" w:sz="4" w:space="0"/>
              <w:left w:val="nil"/>
              <w:bottom w:val="single" w:color="auto" w:sz="4" w:space="0"/>
              <w:right w:val="single" w:color="auto" w:sz="4" w:space="0"/>
            </w:tcBorders>
            <w:vAlign w:val="center"/>
          </w:tcPr>
          <w:p w14:paraId="13E48E01">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802" w:type="dxa"/>
            <w:tcBorders>
              <w:top w:val="single" w:color="auto" w:sz="4" w:space="0"/>
              <w:left w:val="nil"/>
              <w:bottom w:val="single" w:color="auto" w:sz="4" w:space="0"/>
              <w:right w:val="single" w:color="auto" w:sz="4" w:space="0"/>
            </w:tcBorders>
            <w:vAlign w:val="center"/>
          </w:tcPr>
          <w:p w14:paraId="455B2C8F">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14:paraId="21762F62">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4BA01972">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转运担架床</w:t>
            </w:r>
          </w:p>
        </w:tc>
        <w:tc>
          <w:tcPr>
            <w:tcW w:w="854" w:type="dxa"/>
            <w:tcBorders>
              <w:top w:val="nil"/>
              <w:left w:val="nil"/>
              <w:bottom w:val="single" w:color="auto" w:sz="4" w:space="0"/>
              <w:right w:val="single" w:color="auto" w:sz="4" w:space="0"/>
            </w:tcBorders>
            <w:vAlign w:val="center"/>
          </w:tcPr>
          <w:p w14:paraId="2C844B7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0D28409F">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4AE3CF1E">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77A192D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铲式担架</w:t>
            </w:r>
          </w:p>
        </w:tc>
        <w:tc>
          <w:tcPr>
            <w:tcW w:w="854" w:type="dxa"/>
            <w:tcBorders>
              <w:top w:val="nil"/>
              <w:left w:val="nil"/>
              <w:bottom w:val="single" w:color="auto" w:sz="4" w:space="0"/>
              <w:right w:val="single" w:color="auto" w:sz="4" w:space="0"/>
            </w:tcBorders>
            <w:vAlign w:val="center"/>
          </w:tcPr>
          <w:p w14:paraId="3B7D0015">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0039723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62E15662">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2F958C11">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楼梯担架</w:t>
            </w:r>
          </w:p>
        </w:tc>
        <w:tc>
          <w:tcPr>
            <w:tcW w:w="854" w:type="dxa"/>
            <w:tcBorders>
              <w:top w:val="nil"/>
              <w:left w:val="nil"/>
              <w:bottom w:val="single" w:color="auto" w:sz="4" w:space="0"/>
              <w:right w:val="single" w:color="auto" w:sz="4" w:space="0"/>
            </w:tcBorders>
            <w:vAlign w:val="center"/>
          </w:tcPr>
          <w:p w14:paraId="6720DF2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52CFD1C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20C88507">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7284EB3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lang w:val="zh-CN"/>
              </w:rPr>
            </w:pPr>
            <w:r>
              <w:rPr>
                <w:rFonts w:hint="eastAsia" w:ascii="仿宋" w:hAnsi="仿宋" w:eastAsia="仿宋" w:cs="仿宋"/>
                <w:b w:val="0"/>
                <w:bCs w:val="0"/>
                <w:kern w:val="0"/>
                <w:sz w:val="22"/>
                <w:szCs w:val="22"/>
              </w:rPr>
              <w:t>2升氧气瓶（带流量计）（配合转运呼吸机使用）</w:t>
            </w:r>
          </w:p>
        </w:tc>
        <w:tc>
          <w:tcPr>
            <w:tcW w:w="854" w:type="dxa"/>
            <w:tcBorders>
              <w:top w:val="nil"/>
              <w:left w:val="nil"/>
              <w:bottom w:val="single" w:color="auto" w:sz="4" w:space="0"/>
              <w:right w:val="single" w:color="auto" w:sz="4" w:space="0"/>
            </w:tcBorders>
            <w:vAlign w:val="center"/>
          </w:tcPr>
          <w:p w14:paraId="4671902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瓶</w:t>
            </w:r>
          </w:p>
        </w:tc>
        <w:tc>
          <w:tcPr>
            <w:tcW w:w="802" w:type="dxa"/>
            <w:tcBorders>
              <w:top w:val="nil"/>
              <w:left w:val="nil"/>
              <w:bottom w:val="single" w:color="auto" w:sz="4" w:space="0"/>
              <w:right w:val="single" w:color="auto" w:sz="4" w:space="0"/>
            </w:tcBorders>
            <w:vAlign w:val="center"/>
          </w:tcPr>
          <w:p w14:paraId="0438122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029AB1D7">
        <w:tblPrEx>
          <w:tblCellMar>
            <w:top w:w="0" w:type="dxa"/>
            <w:left w:w="108" w:type="dxa"/>
            <w:bottom w:w="0" w:type="dxa"/>
            <w:right w:w="108" w:type="dxa"/>
          </w:tblCellMar>
        </w:tblPrEx>
        <w:trPr>
          <w:jc w:val="center"/>
        </w:trPr>
        <w:tc>
          <w:tcPr>
            <w:tcW w:w="6658" w:type="dxa"/>
            <w:gridSpan w:val="3"/>
            <w:tcBorders>
              <w:top w:val="nil"/>
              <w:left w:val="single" w:color="auto" w:sz="4" w:space="0"/>
              <w:bottom w:val="single" w:color="auto" w:sz="4" w:space="0"/>
              <w:right w:val="single" w:color="auto" w:sz="4" w:space="0"/>
            </w:tcBorders>
            <w:vAlign w:val="center"/>
          </w:tcPr>
          <w:p w14:paraId="00611F11">
            <w:pPr>
              <w:keepNext w:val="0"/>
              <w:keepLines w:val="0"/>
              <w:widowControl/>
              <w:suppressLineNumbers w:val="0"/>
              <w:spacing w:before="0" w:beforeAutospacing="0" w:after="0" w:afterAutospacing="0"/>
              <w:ind w:left="0" w:right="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备注:用后及时补充，保持规定的基数。</w:t>
            </w:r>
          </w:p>
        </w:tc>
      </w:tr>
    </w:tbl>
    <w:p w14:paraId="761995F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（6）</w:t>
      </w:r>
      <w:r>
        <w:rPr>
          <w:rFonts w:hint="eastAsia" w:ascii="仿宋" w:hAnsi="仿宋" w:eastAsia="仿宋" w:cs="仿宋"/>
          <w:b w:val="0"/>
          <w:bCs/>
          <w:color w:val="000000"/>
          <w:sz w:val="24"/>
          <w:szCs w:val="24"/>
          <w:highlight w:val="none"/>
          <w:lang w:val="en-US" w:eastAsia="zh-CN"/>
        </w:rPr>
        <w:t>供应商须购买医疗责任保险和人员意外险，来往运输安全责任全权由供应商负责。</w:t>
      </w:r>
    </w:p>
    <w:p w14:paraId="69E259F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（7）</w:t>
      </w:r>
      <w:r>
        <w:rPr>
          <w:rFonts w:hint="eastAsia" w:ascii="仿宋" w:hAnsi="仿宋" w:eastAsia="仿宋" w:cs="仿宋"/>
          <w:b w:val="0"/>
          <w:bCs/>
          <w:color w:val="000000"/>
          <w:sz w:val="24"/>
          <w:szCs w:val="24"/>
          <w:highlight w:val="none"/>
          <w:lang w:val="en-US" w:eastAsia="zh-CN"/>
        </w:rPr>
        <w:t>医疗转运过程中的医疗安全责任由供应商负责。</w:t>
      </w:r>
    </w:p>
    <w:p w14:paraId="07E951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（8）</w:t>
      </w:r>
      <w:r>
        <w:rPr>
          <w:rFonts w:hint="eastAsia" w:ascii="仿宋" w:hAnsi="仿宋" w:eastAsia="仿宋" w:cs="仿宋"/>
          <w:b w:val="0"/>
          <w:bCs/>
          <w:color w:val="000000"/>
          <w:sz w:val="24"/>
          <w:szCs w:val="24"/>
          <w:highlight w:val="none"/>
          <w:lang w:val="en-US" w:eastAsia="zh-CN"/>
        </w:rPr>
        <w:t>供应商在转运过程中不得收取任何额外费用，救护车辆燃油费、维修费、保险费、路桥费等运营费用均由供应商负责。</w:t>
      </w:r>
    </w:p>
    <w:p w14:paraId="7374323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720" w:firstLineChars="3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3.驻点司机要求</w:t>
      </w:r>
    </w:p>
    <w:p w14:paraId="7ABC991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供应商应当</w:t>
      </w:r>
      <w:r>
        <w:rPr>
          <w:rFonts w:hint="eastAsia" w:ascii="仿宋" w:hAnsi="仿宋" w:eastAsia="仿宋" w:cs="仿宋"/>
          <w:b w:val="0"/>
          <w:bCs/>
          <w:color w:val="000000"/>
          <w:sz w:val="24"/>
          <w:szCs w:val="24"/>
          <w:highlight w:val="none"/>
          <w:lang w:eastAsia="zh-CN"/>
        </w:rPr>
        <w:t>配备足够的司机随时响应转运需要，</w:t>
      </w:r>
      <w:r>
        <w:rPr>
          <w:rFonts w:hint="eastAsia" w:ascii="仿宋" w:hAnsi="仿宋" w:eastAsia="仿宋" w:cs="仿宋"/>
          <w:b w:val="0"/>
          <w:bCs/>
          <w:color w:val="000000"/>
          <w:sz w:val="24"/>
          <w:szCs w:val="24"/>
          <w:highlight w:val="none"/>
          <w:lang w:val="en-US" w:eastAsia="zh-CN"/>
        </w:rPr>
        <w:t>服务人员</w:t>
      </w:r>
      <w:r>
        <w:rPr>
          <w:rFonts w:hint="eastAsia" w:ascii="仿宋" w:hAnsi="仿宋" w:eastAsia="仿宋" w:cs="仿宋"/>
          <w:b w:val="0"/>
          <w:bCs/>
          <w:color w:val="000000"/>
          <w:sz w:val="24"/>
          <w:szCs w:val="24"/>
          <w:highlight w:val="none"/>
          <w:lang w:eastAsia="zh-CN"/>
        </w:rPr>
        <w:t>需遵照医院相关规章制度，遵从院方管理人员指挥，按时按质完成院方分派的医疗转运任务。</w:t>
      </w:r>
    </w:p>
    <w:p w14:paraId="3D3FD59A">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）为本项目配备的</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驻点</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司机（</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不少于2人，轮班制，必须保证至少1人在岗值班</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必须具有B照或以上驾驶证（提供证书复印件、自2024年1月以来任意一个月在供应商缴纳社保的证明材料复印件，证明资料加盖公章）。</w:t>
      </w:r>
    </w:p>
    <w:p w14:paraId="1B018C6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（3）自接到院方通知，驻点司机</w:t>
      </w:r>
      <w:r>
        <w:rPr>
          <w:rFonts w:hint="eastAsia" w:ascii="仿宋" w:hAnsi="仿宋" w:eastAsia="仿宋" w:cs="仿宋"/>
          <w:b w:val="0"/>
          <w:bCs/>
          <w:color w:val="000000"/>
          <w:sz w:val="24"/>
          <w:szCs w:val="24"/>
          <w:highlight w:val="none"/>
          <w:lang w:eastAsia="zh-CN"/>
        </w:rPr>
        <w:t>需在1</w:t>
      </w:r>
      <w:r>
        <w:rPr>
          <w:rFonts w:hint="eastAsia" w:ascii="仿宋" w:hAnsi="仿宋" w:eastAsia="仿宋" w:cs="仿宋"/>
          <w:b w:val="0"/>
          <w:bCs/>
          <w:color w:val="000000"/>
          <w:sz w:val="24"/>
          <w:szCs w:val="24"/>
          <w:highlight w:val="none"/>
          <w:lang w:val="en-US" w:eastAsia="zh-CN"/>
        </w:rPr>
        <w:t>5</w:t>
      </w:r>
      <w:r>
        <w:rPr>
          <w:rFonts w:hint="eastAsia" w:ascii="仿宋" w:hAnsi="仿宋" w:eastAsia="仿宋" w:cs="仿宋"/>
          <w:b w:val="0"/>
          <w:bCs/>
          <w:color w:val="000000"/>
          <w:sz w:val="24"/>
          <w:szCs w:val="24"/>
          <w:highlight w:val="none"/>
          <w:lang w:eastAsia="zh-CN"/>
        </w:rPr>
        <w:t>分钟内响应并出车。</w:t>
      </w:r>
    </w:p>
    <w:p w14:paraId="3E397B4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（4）供应商须保证所派驻司机的稳定性，不得随意更换。如</w:t>
      </w:r>
      <w:r>
        <w:rPr>
          <w:rFonts w:hint="eastAsia" w:ascii="仿宋" w:hAnsi="仿宋" w:eastAsia="仿宋" w:cs="仿宋"/>
          <w:b w:val="0"/>
          <w:bCs/>
          <w:color w:val="000000"/>
          <w:sz w:val="24"/>
          <w:szCs w:val="24"/>
          <w:highlight w:val="none"/>
          <w:lang w:eastAsia="zh-CN"/>
        </w:rPr>
        <w:t>院方</w:t>
      </w:r>
      <w:r>
        <w:rPr>
          <w:rFonts w:hint="eastAsia" w:ascii="仿宋" w:hAnsi="仿宋" w:eastAsia="仿宋" w:cs="仿宋"/>
          <w:b w:val="0"/>
          <w:bCs/>
          <w:color w:val="000000"/>
          <w:sz w:val="24"/>
          <w:szCs w:val="24"/>
          <w:highlight w:val="none"/>
          <w:lang w:val="en-US" w:eastAsia="zh-CN"/>
        </w:rPr>
        <w:t>对供应商驻点司机的工作表现不满意，院方</w:t>
      </w:r>
      <w:r>
        <w:rPr>
          <w:rFonts w:hint="eastAsia" w:ascii="仿宋" w:hAnsi="仿宋" w:eastAsia="仿宋" w:cs="仿宋"/>
          <w:b w:val="0"/>
          <w:bCs/>
          <w:color w:val="000000"/>
          <w:sz w:val="24"/>
          <w:szCs w:val="24"/>
          <w:highlight w:val="none"/>
          <w:lang w:eastAsia="zh-CN"/>
        </w:rPr>
        <w:t>有权提出更换</w:t>
      </w:r>
      <w:r>
        <w:rPr>
          <w:rFonts w:hint="eastAsia" w:ascii="仿宋" w:hAnsi="仿宋" w:eastAsia="仿宋" w:cs="仿宋"/>
          <w:b w:val="0"/>
          <w:bCs/>
          <w:color w:val="000000"/>
          <w:sz w:val="24"/>
          <w:szCs w:val="24"/>
          <w:highlight w:val="none"/>
          <w:lang w:val="en-US" w:eastAsia="zh-CN"/>
        </w:rPr>
        <w:t>人员</w:t>
      </w:r>
      <w:r>
        <w:rPr>
          <w:rFonts w:hint="eastAsia" w:ascii="仿宋" w:hAnsi="仿宋" w:eastAsia="仿宋" w:cs="仿宋"/>
          <w:b w:val="0"/>
          <w:bCs/>
          <w:color w:val="000000"/>
          <w:sz w:val="24"/>
          <w:szCs w:val="24"/>
          <w:highlight w:val="none"/>
          <w:lang w:eastAsia="zh-CN"/>
        </w:rPr>
        <w:t>或整改要求，</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应予配合。</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如需更换</w:t>
      </w:r>
      <w:r>
        <w:rPr>
          <w:rFonts w:hint="eastAsia" w:ascii="仿宋" w:hAnsi="仿宋" w:eastAsia="仿宋" w:cs="仿宋"/>
          <w:b w:val="0"/>
          <w:bCs/>
          <w:color w:val="000000"/>
          <w:sz w:val="24"/>
          <w:szCs w:val="24"/>
          <w:highlight w:val="none"/>
          <w:lang w:val="en-US" w:eastAsia="zh-CN"/>
        </w:rPr>
        <w:t>驻点</w:t>
      </w:r>
      <w:r>
        <w:rPr>
          <w:rFonts w:hint="eastAsia" w:ascii="仿宋" w:hAnsi="仿宋" w:eastAsia="仿宋" w:cs="仿宋"/>
          <w:b w:val="0"/>
          <w:bCs/>
          <w:color w:val="000000"/>
          <w:sz w:val="24"/>
          <w:szCs w:val="24"/>
          <w:highlight w:val="none"/>
          <w:lang w:eastAsia="zh-CN"/>
        </w:rPr>
        <w:t>司机，需提前征得院方</w:t>
      </w:r>
      <w:r>
        <w:rPr>
          <w:rFonts w:hint="eastAsia" w:ascii="仿宋" w:hAnsi="仿宋" w:eastAsia="仿宋" w:cs="仿宋"/>
          <w:b w:val="0"/>
          <w:bCs/>
          <w:color w:val="000000"/>
          <w:sz w:val="24"/>
          <w:szCs w:val="24"/>
          <w:highlight w:val="none"/>
          <w:lang w:val="en-US" w:eastAsia="zh-CN"/>
        </w:rPr>
        <w:t>书面</w:t>
      </w:r>
      <w:r>
        <w:rPr>
          <w:rFonts w:hint="eastAsia" w:ascii="仿宋" w:hAnsi="仿宋" w:eastAsia="仿宋" w:cs="仿宋"/>
          <w:b w:val="0"/>
          <w:bCs/>
          <w:color w:val="000000"/>
          <w:sz w:val="24"/>
          <w:szCs w:val="24"/>
          <w:highlight w:val="none"/>
          <w:lang w:eastAsia="zh-CN"/>
        </w:rPr>
        <w:t>同意</w:t>
      </w:r>
      <w:r>
        <w:rPr>
          <w:rFonts w:hint="eastAsia" w:ascii="仿宋" w:hAnsi="仿宋" w:eastAsia="仿宋" w:cs="仿宋"/>
          <w:b w:val="0"/>
          <w:bCs/>
          <w:color w:val="000000"/>
          <w:sz w:val="24"/>
          <w:szCs w:val="24"/>
          <w:highlight w:val="none"/>
          <w:lang w:val="en-US" w:eastAsia="zh-CN"/>
        </w:rPr>
        <w:t>后</w:t>
      </w:r>
      <w:r>
        <w:rPr>
          <w:rFonts w:hint="eastAsia" w:ascii="仿宋" w:hAnsi="仿宋" w:eastAsia="仿宋" w:cs="仿宋"/>
          <w:b w:val="0"/>
          <w:bCs/>
          <w:color w:val="000000"/>
          <w:sz w:val="24"/>
          <w:szCs w:val="24"/>
          <w:highlight w:val="none"/>
          <w:lang w:eastAsia="zh-CN"/>
        </w:rPr>
        <w:t>方可更换。</w:t>
      </w:r>
    </w:p>
    <w:p w14:paraId="3E947A7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val="en-US" w:eastAsia="zh-CN"/>
        </w:rPr>
        <w:t>三、服务质量考核要求</w:t>
      </w:r>
    </w:p>
    <w:p w14:paraId="07D1539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每月考核服务质量，分为优秀、良好、合格、不合格四档。如连续两个月服务质量考核为不合格或累计四个月服务质量考核为不合格的，院方有权单方面终止合同。如本项目合同期内，</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发生重大安全生产事故，院方有权立即单方面终止合同并追究相应损失，</w:t>
      </w:r>
      <w:r>
        <w:rPr>
          <w:rFonts w:hint="eastAsia" w:ascii="仿宋" w:hAnsi="仿宋" w:eastAsia="仿宋" w:cs="仿宋"/>
          <w:b w:val="0"/>
          <w:bCs/>
          <w:color w:val="000000"/>
          <w:sz w:val="24"/>
          <w:szCs w:val="24"/>
          <w:highlight w:val="none"/>
          <w:lang w:val="en-US" w:eastAsia="zh-CN"/>
        </w:rPr>
        <w:t>且履约保证金不退还</w:t>
      </w:r>
      <w:r>
        <w:rPr>
          <w:rFonts w:hint="eastAsia" w:ascii="仿宋" w:hAnsi="仿宋" w:eastAsia="仿宋" w:cs="仿宋"/>
          <w:b w:val="0"/>
          <w:bCs/>
          <w:color w:val="000000"/>
          <w:sz w:val="24"/>
          <w:szCs w:val="24"/>
          <w:highlight w:val="none"/>
          <w:lang w:eastAsia="zh-CN"/>
        </w:rPr>
        <w:t>。</w:t>
      </w:r>
    </w:p>
    <w:p w14:paraId="1C645C91">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非120急救医疗转运服务质量考核表</w:t>
      </w:r>
    </w:p>
    <w:tbl>
      <w:tblPr>
        <w:tblStyle w:val="25"/>
        <w:tblW w:w="7686" w:type="dxa"/>
        <w:jc w:val="center"/>
        <w:tblLayout w:type="fixed"/>
        <w:tblCellMar>
          <w:top w:w="0" w:type="dxa"/>
          <w:left w:w="108" w:type="dxa"/>
          <w:bottom w:w="0" w:type="dxa"/>
          <w:right w:w="108" w:type="dxa"/>
        </w:tblCellMar>
      </w:tblPr>
      <w:tblGrid>
        <w:gridCol w:w="709"/>
        <w:gridCol w:w="5405"/>
        <w:gridCol w:w="743"/>
        <w:gridCol w:w="829"/>
      </w:tblGrid>
      <w:tr w14:paraId="19D88EE8">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tcPr>
          <w:p w14:paraId="7CD3F38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5405" w:type="dxa"/>
            <w:tcBorders>
              <w:top w:val="single" w:color="auto" w:sz="4" w:space="0"/>
              <w:left w:val="single" w:color="auto" w:sz="4" w:space="0"/>
              <w:bottom w:val="single" w:color="auto" w:sz="4" w:space="0"/>
              <w:right w:val="single" w:color="auto" w:sz="4" w:space="0"/>
            </w:tcBorders>
            <w:vAlign w:val="center"/>
          </w:tcPr>
          <w:p w14:paraId="149642A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服务评价项目</w:t>
            </w:r>
          </w:p>
        </w:tc>
        <w:tc>
          <w:tcPr>
            <w:tcW w:w="743" w:type="dxa"/>
            <w:tcBorders>
              <w:top w:val="single" w:color="auto" w:sz="4" w:space="0"/>
              <w:left w:val="nil"/>
              <w:bottom w:val="single" w:color="auto" w:sz="4" w:space="0"/>
              <w:right w:val="single" w:color="auto" w:sz="4" w:space="0"/>
            </w:tcBorders>
            <w:vAlign w:val="center"/>
          </w:tcPr>
          <w:p w14:paraId="60C60AC6">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分值</w:t>
            </w:r>
          </w:p>
        </w:tc>
        <w:tc>
          <w:tcPr>
            <w:tcW w:w="829" w:type="dxa"/>
            <w:tcBorders>
              <w:top w:val="single" w:color="auto" w:sz="4" w:space="0"/>
              <w:left w:val="nil"/>
              <w:bottom w:val="single" w:color="auto" w:sz="4" w:space="0"/>
              <w:right w:val="single" w:color="auto" w:sz="4" w:space="0"/>
            </w:tcBorders>
            <w:vAlign w:val="center"/>
          </w:tcPr>
          <w:p w14:paraId="08845651">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得分</w:t>
            </w:r>
          </w:p>
        </w:tc>
      </w:tr>
      <w:tr w14:paraId="4B91D527">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3202B06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4CB0B40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w:t>
            </w:r>
          </w:p>
        </w:tc>
        <w:tc>
          <w:tcPr>
            <w:tcW w:w="5405" w:type="dxa"/>
            <w:tcBorders>
              <w:top w:val="nil"/>
              <w:left w:val="single" w:color="auto" w:sz="4" w:space="0"/>
              <w:bottom w:val="single" w:color="auto" w:sz="4" w:space="0"/>
              <w:right w:val="single" w:color="auto" w:sz="4" w:space="0"/>
            </w:tcBorders>
            <w:vAlign w:val="center"/>
          </w:tcPr>
          <w:p w14:paraId="4C17CE4A">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救护车是否停放在院内</w:t>
            </w:r>
            <w:r>
              <w:rPr>
                <w:rFonts w:hint="eastAsia" w:ascii="仿宋" w:hAnsi="仿宋" w:eastAsia="仿宋" w:cs="仿宋"/>
                <w:b w:val="0"/>
                <w:bCs w:val="0"/>
                <w:kern w:val="0"/>
                <w:szCs w:val="21"/>
                <w:lang w:eastAsia="zh-CN"/>
              </w:rPr>
              <w:t>的</w:t>
            </w:r>
            <w:r>
              <w:rPr>
                <w:rFonts w:hint="eastAsia" w:ascii="仿宋" w:hAnsi="仿宋" w:eastAsia="仿宋" w:cs="仿宋"/>
                <w:b w:val="0"/>
                <w:bCs w:val="0"/>
                <w:kern w:val="0"/>
                <w:szCs w:val="21"/>
              </w:rPr>
              <w:t>指定区域。</w:t>
            </w:r>
          </w:p>
          <w:p w14:paraId="32263FD6">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评价明细：①救护车不按时停放在院内，每发现一次扣1分；②救护车不按院方指定区域停放，每发现一次扣1分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4A569BD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14:paraId="69CE071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5D0BEECC">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3A9563D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32799AA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w:t>
            </w:r>
          </w:p>
        </w:tc>
        <w:tc>
          <w:tcPr>
            <w:tcW w:w="5405" w:type="dxa"/>
            <w:tcBorders>
              <w:top w:val="nil"/>
              <w:left w:val="single" w:color="auto" w:sz="4" w:space="0"/>
              <w:bottom w:val="single" w:color="auto" w:sz="4" w:space="0"/>
              <w:right w:val="single" w:color="auto" w:sz="4" w:space="0"/>
            </w:tcBorders>
            <w:vAlign w:val="center"/>
          </w:tcPr>
          <w:p w14:paraId="0025DC7C">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救护车是否保持完好备用状态。</w:t>
            </w:r>
          </w:p>
          <w:p w14:paraId="21B70873">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评价明细：①救护车上设备不齐全，每发现一次扣1分；②救护车上设备处于故障/不可用状态，每发现一次扣1分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14:paraId="74AF16D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14:paraId="352E58FA">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0983BEAA">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6A39389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7F3E609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w:t>
            </w:r>
          </w:p>
        </w:tc>
        <w:tc>
          <w:tcPr>
            <w:tcW w:w="5405" w:type="dxa"/>
            <w:tcBorders>
              <w:top w:val="nil"/>
              <w:left w:val="single" w:color="auto" w:sz="4" w:space="0"/>
              <w:bottom w:val="single" w:color="auto" w:sz="4" w:space="0"/>
              <w:right w:val="single" w:color="auto" w:sz="4" w:space="0"/>
            </w:tcBorders>
            <w:vAlign w:val="center"/>
          </w:tcPr>
          <w:p w14:paraId="38FDE3C9">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救护车是否影响院方工作。</w:t>
            </w:r>
          </w:p>
          <w:p w14:paraId="1EB886E6">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评价明细：①工作时间内，因救护车故障导致无法出车，每发生一次扣5分；②工作时间内，因司机或救护车原因导致轻微或小型交通事故，每发生一次扣5分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3EDF87C5">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14:paraId="68D162D8">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7AD070B">
        <w:trPr>
          <w:jc w:val="center"/>
        </w:trPr>
        <w:tc>
          <w:tcPr>
            <w:tcW w:w="709" w:type="dxa"/>
            <w:tcBorders>
              <w:top w:val="nil"/>
              <w:left w:val="single" w:color="auto" w:sz="4" w:space="0"/>
              <w:bottom w:val="single" w:color="auto" w:sz="4" w:space="0"/>
              <w:right w:val="single" w:color="auto" w:sz="4" w:space="0"/>
            </w:tcBorders>
          </w:tcPr>
          <w:p w14:paraId="5139C20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18DDC7A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25DFB8C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4</w:t>
            </w:r>
          </w:p>
        </w:tc>
        <w:tc>
          <w:tcPr>
            <w:tcW w:w="5405" w:type="dxa"/>
            <w:tcBorders>
              <w:top w:val="nil"/>
              <w:left w:val="single" w:color="auto" w:sz="4" w:space="0"/>
              <w:bottom w:val="single" w:color="auto" w:sz="4" w:space="0"/>
              <w:right w:val="single" w:color="auto" w:sz="4" w:space="0"/>
            </w:tcBorders>
            <w:vAlign w:val="center"/>
          </w:tcPr>
          <w:p w14:paraId="466D8592">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驻点司机是否形象态度端正。</w:t>
            </w:r>
          </w:p>
          <w:p w14:paraId="2F627874">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工作时间内，驻点司机无正规着装/形象不雅，每发现一次扣1分；②工作时间内，驻点司机与院方工作人员发生激烈争吵，每发现一次扣3分；③工作时间内，驻点司机与院方工作人员发生肢体以上冲突，每发现一次扣10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14:paraId="6A058748">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14:paraId="1E679D8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4B595143">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2C972F6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2697BEAA">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05F5516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5</w:t>
            </w:r>
          </w:p>
        </w:tc>
        <w:tc>
          <w:tcPr>
            <w:tcW w:w="5405" w:type="dxa"/>
            <w:tcBorders>
              <w:top w:val="nil"/>
              <w:left w:val="single" w:color="auto" w:sz="4" w:space="0"/>
              <w:bottom w:val="single" w:color="auto" w:sz="4" w:space="0"/>
              <w:right w:val="single" w:color="auto" w:sz="4" w:space="0"/>
            </w:tcBorders>
            <w:vAlign w:val="center"/>
          </w:tcPr>
          <w:p w14:paraId="6E25A36F">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驻点司机是否服从院方工作安排。</w:t>
            </w:r>
          </w:p>
          <w:p w14:paraId="5CE11918">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驻点司机无故拒绝出车任务，每发现一次扣10分；②工作时间内，驻点司机态度懒散，延误出车影响工作，造成不良影响，每发现一次扣10分；③驻点司机各种场合散播院方各类工作信息（出车任务、出车数量等），造成不良影响，每发现一次扣10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09B06DE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30</w:t>
            </w:r>
          </w:p>
        </w:tc>
        <w:tc>
          <w:tcPr>
            <w:tcW w:w="829" w:type="dxa"/>
            <w:tcBorders>
              <w:top w:val="nil"/>
              <w:left w:val="nil"/>
              <w:bottom w:val="single" w:color="auto" w:sz="4" w:space="0"/>
              <w:right w:val="single" w:color="auto" w:sz="4" w:space="0"/>
            </w:tcBorders>
            <w:vAlign w:val="center"/>
          </w:tcPr>
          <w:p w14:paraId="7DE38B0F">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11E9940E">
        <w:tblPrEx>
          <w:tblCellMar>
            <w:top w:w="0" w:type="dxa"/>
            <w:left w:w="108" w:type="dxa"/>
            <w:bottom w:w="0" w:type="dxa"/>
            <w:right w:w="108" w:type="dxa"/>
          </w:tblCellMar>
        </w:tblPrEx>
        <w:trPr>
          <w:trHeight w:val="534" w:hRule="atLeast"/>
          <w:jc w:val="center"/>
        </w:trPr>
        <w:tc>
          <w:tcPr>
            <w:tcW w:w="6114" w:type="dxa"/>
            <w:gridSpan w:val="2"/>
            <w:tcBorders>
              <w:top w:val="nil"/>
              <w:left w:val="single" w:color="auto" w:sz="4" w:space="0"/>
              <w:bottom w:val="single" w:color="auto" w:sz="4" w:space="0"/>
              <w:right w:val="single" w:color="auto" w:sz="4" w:space="0"/>
            </w:tcBorders>
          </w:tcPr>
          <w:p w14:paraId="1EEDF9ED">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备注：90-100属于优秀，80-89属于良好，60-79属于合格，0-59属于不合格</w:t>
            </w:r>
          </w:p>
        </w:tc>
        <w:tc>
          <w:tcPr>
            <w:tcW w:w="743" w:type="dxa"/>
            <w:tcBorders>
              <w:top w:val="nil"/>
              <w:left w:val="nil"/>
              <w:bottom w:val="single" w:color="auto" w:sz="4" w:space="0"/>
              <w:right w:val="single" w:color="auto" w:sz="4" w:space="0"/>
            </w:tcBorders>
            <w:vAlign w:val="center"/>
          </w:tcPr>
          <w:p w14:paraId="328DCDF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100</w:t>
            </w:r>
          </w:p>
        </w:tc>
        <w:tc>
          <w:tcPr>
            <w:tcW w:w="829" w:type="dxa"/>
            <w:tcBorders>
              <w:top w:val="nil"/>
              <w:left w:val="nil"/>
              <w:bottom w:val="single" w:color="auto" w:sz="4" w:space="0"/>
              <w:right w:val="single" w:color="auto" w:sz="4" w:space="0"/>
            </w:tcBorders>
            <w:vAlign w:val="center"/>
          </w:tcPr>
          <w:p w14:paraId="3959841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7F94A749">
        <w:tblPrEx>
          <w:tblCellMar>
            <w:top w:w="0" w:type="dxa"/>
            <w:left w:w="108" w:type="dxa"/>
            <w:bottom w:w="0" w:type="dxa"/>
            <w:right w:w="108" w:type="dxa"/>
          </w:tblCellMar>
        </w:tblPrEx>
        <w:trPr>
          <w:trHeight w:val="534" w:hRule="atLeast"/>
          <w:jc w:val="center"/>
        </w:trPr>
        <w:tc>
          <w:tcPr>
            <w:tcW w:w="7686" w:type="dxa"/>
            <w:gridSpan w:val="4"/>
            <w:tcBorders>
              <w:top w:val="nil"/>
              <w:left w:val="single" w:color="auto" w:sz="4" w:space="0"/>
              <w:bottom w:val="single" w:color="auto" w:sz="4" w:space="0"/>
              <w:right w:val="single" w:color="auto" w:sz="4" w:space="0"/>
            </w:tcBorders>
          </w:tcPr>
          <w:p w14:paraId="0A94C061">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经审核确认，</w:t>
            </w: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年</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月</w:t>
            </w:r>
            <w:r>
              <w:rPr>
                <w:rFonts w:hint="eastAsia" w:ascii="仿宋" w:hAnsi="仿宋" w:eastAsia="仿宋" w:cs="仿宋"/>
                <w:b w:val="0"/>
                <w:bCs w:val="0"/>
                <w:kern w:val="0"/>
                <w:szCs w:val="21"/>
              </w:rPr>
              <w:t>服务质量考核评价为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，同意支付月度服务费用</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元。</w:t>
            </w:r>
          </w:p>
          <w:p w14:paraId="4C4840D0">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p>
          <w:p w14:paraId="08DC0A4D">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证明人：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科室负责人:</w:t>
            </w:r>
            <w:r>
              <w:rPr>
                <w:rFonts w:hint="eastAsia" w:ascii="仿宋" w:hAnsi="仿宋" w:eastAsia="仿宋" w:cs="仿宋"/>
                <w:b w:val="0"/>
                <w:bCs w:val="0"/>
                <w:kern w:val="0"/>
                <w:szCs w:val="21"/>
                <w:u w:val="single"/>
              </w:rPr>
              <w:t xml:space="preserve">            </w:t>
            </w:r>
          </w:p>
        </w:tc>
      </w:tr>
    </w:tbl>
    <w:p w14:paraId="1B97E6A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四、医院提供条件</w:t>
      </w:r>
    </w:p>
    <w:p w14:paraId="594C4D9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院方仅提供救护车停车位，无法提供驻点司机值班休息床位，请供应商知悉。</w:t>
      </w:r>
    </w:p>
    <w:p w14:paraId="28BEE0F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kern w:val="2"/>
          <w:sz w:val="24"/>
          <w:szCs w:val="24"/>
          <w:lang w:val="en-US" w:eastAsia="zh-CN" w:bidi="ar-SA"/>
        </w:rPr>
        <w:t>五、</w:t>
      </w:r>
      <w:r>
        <w:rPr>
          <w:rFonts w:hint="eastAsia" w:ascii="仿宋" w:hAnsi="仿宋" w:eastAsia="仿宋" w:cs="仿宋"/>
          <w:b/>
          <w:bCs w:val="0"/>
          <w:color w:val="000000"/>
          <w:sz w:val="24"/>
          <w:szCs w:val="24"/>
          <w:highlight w:val="none"/>
          <w:lang w:val="en-US" w:eastAsia="zh-CN"/>
        </w:rPr>
        <w:t>履约保证金</w:t>
      </w:r>
    </w:p>
    <w:p w14:paraId="07929E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自合同生效之日起5个工作日内向院方缴纳合同总价5%的履约保证金。履约保证金用于补偿院方因供应商不履行合同义务/不妥善履行合同义务而蒙受的损失，如无供应商不履行或不妥善履行本合同义务情形，院方于合同期满后一个月内将履约保证金无息退还给供应商。</w:t>
      </w:r>
    </w:p>
    <w:p w14:paraId="40C101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供应商有违约情形的，院方有权从履约保证金中扣除相应违约金/损失赔偿款项，履约保证金如不足以支付违约赔偿的，由供应商另行承担赔偿责任。如因供应商的违约行为导致提前终止本合同的，院方除有权依据本合同约定追究供应商的违约责任外，不予退回履约保证金。</w:t>
      </w:r>
    </w:p>
    <w:p w14:paraId="08EFD2D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六、报价要求</w:t>
      </w:r>
    </w:p>
    <w:p w14:paraId="197D242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1.供应商按每月服务费报价，报价应是比选文件所确定的采购范围内全部内容的价格表现。即包括但不限于完成本项目所需的人工、车辆、车辆保养、设备、保险、燃油、税费等费用。</w:t>
      </w:r>
    </w:p>
    <w:p w14:paraId="416ADEA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14:paraId="479709D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七、结算方式</w:t>
      </w:r>
    </w:p>
    <w:p w14:paraId="31DE934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按月支付。供应商于次月月初向采购人提交上月服务质量考核凭证等结算资料，经采购人审核确认后，供应商根据核定金额开具发票。如服务质量考核结果为优秀或良好的，费用将按月服务费的100%支付；如服务质量考核结果为合格的，费用将按月服务费的80%支付；如服务质量考核结果为不合格的，费用将按月服务费的50%支付。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在收到供应商的正规发票后20个工作日内支付合同款项。</w:t>
      </w:r>
    </w:p>
    <w:p w14:paraId="63B61EF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八、违约责任</w:t>
      </w:r>
    </w:p>
    <w:p w14:paraId="2792C3E5">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履约保证金不退还；</w:t>
      </w:r>
    </w:p>
    <w:p w14:paraId="0EECB168">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如合同期内累计3次服务质量考核结果为不合格的，采购人有权终止合同，且履约保证金不退还；</w:t>
      </w:r>
    </w:p>
    <w:p w14:paraId="07A3EFBA">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如因供应商管理不善、违反转运规程、安全生产制度而造成不良后果，由供应商承担全部法律及经济责任，且院方有权立即终止合同，履约保证金不退还；</w:t>
      </w:r>
    </w:p>
    <w:p w14:paraId="60B04CAE">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因不可抗力所造成的损失，双方互不追究违约责任，如任何一方因不可抗力无法继续履行合同的，应及时通知对方，本合同自动终止；</w:t>
      </w:r>
    </w:p>
    <w:p w14:paraId="6B0C7F6A">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供应商为院方提供服务期间，因供应商或供应商员工原因造成院方或任何第三方人身、财产遭受损失的，全部责任与费用均由供应商承担；</w:t>
      </w:r>
    </w:p>
    <w:p w14:paraId="2C26EC79">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highlight w:val="none"/>
        </w:rPr>
      </w:pPr>
      <w:r>
        <w:rPr>
          <w:rFonts w:hint="eastAsia" w:ascii="仿宋" w:hAnsi="仿宋" w:eastAsia="仿宋" w:cs="仿宋"/>
          <w:b w:val="0"/>
          <w:bCs/>
          <w:color w:val="000000"/>
          <w:sz w:val="24"/>
          <w:szCs w:val="24"/>
          <w:highlight w:val="none"/>
          <w:lang w:val="en-US" w:eastAsia="zh-CN"/>
        </w:rPr>
        <w:t>其它违约责任按合同其他条款约定及《中华人民共和国民法典》规定处理。</w:t>
      </w:r>
    </w:p>
    <w:p w14:paraId="06313F0A">
      <w:pPr>
        <w:pStyle w:val="2"/>
        <w:rPr>
          <w:rFonts w:hint="eastAsia"/>
          <w:highlight w:val="none"/>
        </w:rPr>
      </w:pPr>
    </w:p>
    <w:p w14:paraId="04C0DA00">
      <w:pPr>
        <w:pStyle w:val="2"/>
        <w:rPr>
          <w:rFonts w:hint="eastAsia"/>
          <w:highlight w:val="none"/>
        </w:rPr>
      </w:pPr>
    </w:p>
    <w:p w14:paraId="600F1031">
      <w:pPr>
        <w:pStyle w:val="2"/>
        <w:rPr>
          <w:rFonts w:hint="eastAsia"/>
          <w:highlight w:val="none"/>
        </w:rPr>
      </w:pPr>
    </w:p>
    <w:p w14:paraId="538B39E8">
      <w:pPr>
        <w:pStyle w:val="2"/>
        <w:rPr>
          <w:rFonts w:hint="eastAsia"/>
          <w:highlight w:val="none"/>
        </w:rPr>
      </w:pPr>
    </w:p>
    <w:p w14:paraId="61B73134">
      <w:pPr>
        <w:pStyle w:val="2"/>
        <w:rPr>
          <w:rFonts w:hint="eastAsia"/>
          <w:highlight w:val="none"/>
        </w:rPr>
      </w:pPr>
    </w:p>
    <w:p w14:paraId="704AB32E">
      <w:pPr>
        <w:pStyle w:val="2"/>
        <w:rPr>
          <w:rFonts w:hint="eastAsia"/>
          <w:highlight w:val="none"/>
        </w:rPr>
      </w:pPr>
    </w:p>
    <w:p w14:paraId="25CE66EE">
      <w:pPr>
        <w:pStyle w:val="2"/>
        <w:rPr>
          <w:rFonts w:hint="eastAsia"/>
          <w:highlight w:val="none"/>
        </w:rPr>
      </w:pPr>
    </w:p>
    <w:p w14:paraId="51B7A43D">
      <w:pPr>
        <w:pStyle w:val="2"/>
        <w:rPr>
          <w:rFonts w:hint="eastAsia"/>
          <w:highlight w:val="none"/>
        </w:rPr>
      </w:pPr>
    </w:p>
    <w:p w14:paraId="6E59920C">
      <w:pPr>
        <w:pStyle w:val="2"/>
        <w:rPr>
          <w:rFonts w:hint="eastAsia"/>
          <w:highlight w:val="none"/>
        </w:rPr>
      </w:pPr>
    </w:p>
    <w:p w14:paraId="5F5FAEDB">
      <w:pPr>
        <w:pStyle w:val="2"/>
        <w:rPr>
          <w:rFonts w:hint="eastAsia"/>
          <w:highlight w:val="none"/>
        </w:rPr>
      </w:pPr>
    </w:p>
    <w:p w14:paraId="166DFF15">
      <w:pPr>
        <w:pStyle w:val="2"/>
        <w:rPr>
          <w:rFonts w:hint="eastAsia"/>
          <w:highlight w:val="none"/>
        </w:rPr>
      </w:pPr>
    </w:p>
    <w:p w14:paraId="396CE78E">
      <w:pPr>
        <w:pStyle w:val="2"/>
        <w:rPr>
          <w:rFonts w:hint="eastAsia"/>
          <w:highlight w:val="none"/>
        </w:rPr>
      </w:pPr>
    </w:p>
    <w:p w14:paraId="0CAC95C3">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D21A602">
      <w:pPr>
        <w:rPr>
          <w:rFonts w:hint="eastAsia" w:ascii="微软雅黑" w:hAnsi="微软雅黑" w:eastAsia="微软雅黑" w:cs="微软雅黑"/>
          <w:color w:val="000000"/>
          <w:highlight w:val="none"/>
        </w:rPr>
      </w:pPr>
    </w:p>
    <w:p w14:paraId="6A011529">
      <w:pPr>
        <w:pStyle w:val="2"/>
        <w:rPr>
          <w:rFonts w:hint="eastAsia" w:ascii="微软雅黑" w:hAnsi="微软雅黑" w:eastAsia="微软雅黑" w:cs="微软雅黑"/>
          <w:color w:val="000000"/>
          <w:highlight w:val="none"/>
        </w:rPr>
      </w:pPr>
    </w:p>
    <w:p w14:paraId="1C879C6E">
      <w:pPr>
        <w:pStyle w:val="2"/>
        <w:rPr>
          <w:rFonts w:hint="eastAsia" w:ascii="微软雅黑" w:hAnsi="微软雅黑" w:eastAsia="微软雅黑" w:cs="微软雅黑"/>
          <w:color w:val="000000"/>
          <w:highlight w:val="none"/>
        </w:rPr>
      </w:pPr>
    </w:p>
    <w:p w14:paraId="2D6A865B">
      <w:pPr>
        <w:pStyle w:val="2"/>
        <w:rPr>
          <w:rFonts w:hint="eastAsia" w:ascii="微软雅黑" w:hAnsi="微软雅黑" w:eastAsia="微软雅黑" w:cs="微软雅黑"/>
          <w:color w:val="000000"/>
          <w:highlight w:val="none"/>
        </w:rPr>
      </w:pPr>
    </w:p>
    <w:p w14:paraId="5F3865FB">
      <w:pPr>
        <w:pStyle w:val="2"/>
        <w:rPr>
          <w:rFonts w:hint="eastAsia" w:ascii="微软雅黑" w:hAnsi="微软雅黑" w:eastAsia="微软雅黑" w:cs="微软雅黑"/>
          <w:color w:val="000000"/>
          <w:highlight w:val="none"/>
        </w:rPr>
      </w:pPr>
    </w:p>
    <w:p w14:paraId="07D97EB2">
      <w:pPr>
        <w:pStyle w:val="2"/>
        <w:rPr>
          <w:rFonts w:hint="eastAsia" w:ascii="微软雅黑" w:hAnsi="微软雅黑" w:eastAsia="微软雅黑" w:cs="微软雅黑"/>
          <w:color w:val="000000"/>
          <w:highlight w:val="none"/>
        </w:rPr>
      </w:pPr>
    </w:p>
    <w:p w14:paraId="1AFCDE90">
      <w:pPr>
        <w:pStyle w:val="2"/>
        <w:rPr>
          <w:rFonts w:hint="eastAsia" w:ascii="微软雅黑" w:hAnsi="微软雅黑" w:eastAsia="微软雅黑" w:cs="微软雅黑"/>
          <w:color w:val="000000"/>
          <w:highlight w:val="none"/>
        </w:rPr>
      </w:pPr>
    </w:p>
    <w:p w14:paraId="1EAF7387">
      <w:pPr>
        <w:pStyle w:val="2"/>
        <w:rPr>
          <w:rFonts w:hint="eastAsia" w:ascii="微软雅黑" w:hAnsi="微软雅黑" w:eastAsia="微软雅黑" w:cs="微软雅黑"/>
          <w:color w:val="000000"/>
          <w:highlight w:val="none"/>
        </w:rPr>
      </w:pPr>
    </w:p>
    <w:p w14:paraId="31A74BBC">
      <w:pPr>
        <w:pStyle w:val="2"/>
        <w:rPr>
          <w:rFonts w:hint="eastAsia" w:ascii="微软雅黑" w:hAnsi="微软雅黑" w:eastAsia="微软雅黑" w:cs="微软雅黑"/>
          <w:color w:val="000000"/>
          <w:highlight w:val="none"/>
        </w:rPr>
      </w:pPr>
    </w:p>
    <w:p w14:paraId="60A952AC">
      <w:pPr>
        <w:pStyle w:val="2"/>
        <w:rPr>
          <w:rFonts w:hint="eastAsia" w:ascii="微软雅黑" w:hAnsi="微软雅黑" w:eastAsia="微软雅黑" w:cs="微软雅黑"/>
          <w:color w:val="000000"/>
          <w:highlight w:val="none"/>
        </w:rPr>
      </w:pPr>
    </w:p>
    <w:p w14:paraId="17326BB0">
      <w:pPr>
        <w:pStyle w:val="2"/>
        <w:rPr>
          <w:rFonts w:hint="eastAsia" w:ascii="微软雅黑" w:hAnsi="微软雅黑" w:eastAsia="微软雅黑" w:cs="微软雅黑"/>
          <w:color w:val="000000"/>
          <w:highlight w:val="none"/>
        </w:rPr>
      </w:pPr>
    </w:p>
    <w:p w14:paraId="32600838">
      <w:pPr>
        <w:pStyle w:val="2"/>
        <w:rPr>
          <w:rFonts w:hint="eastAsia" w:ascii="微软雅黑" w:hAnsi="微软雅黑" w:eastAsia="微软雅黑" w:cs="微软雅黑"/>
          <w:color w:val="000000"/>
          <w:highlight w:val="none"/>
        </w:rPr>
      </w:pPr>
    </w:p>
    <w:p w14:paraId="114ADE39">
      <w:pPr>
        <w:pStyle w:val="2"/>
        <w:rPr>
          <w:rFonts w:hint="eastAsia" w:ascii="微软雅黑" w:hAnsi="微软雅黑" w:eastAsia="微软雅黑" w:cs="微软雅黑"/>
          <w:color w:val="000000"/>
          <w:highlight w:val="none"/>
        </w:rPr>
      </w:pPr>
    </w:p>
    <w:p w14:paraId="5F67FABF">
      <w:pPr>
        <w:pStyle w:val="2"/>
        <w:rPr>
          <w:rFonts w:hint="eastAsia" w:ascii="微软雅黑" w:hAnsi="微软雅黑" w:eastAsia="微软雅黑" w:cs="微软雅黑"/>
          <w:color w:val="000000"/>
          <w:highlight w:val="none"/>
        </w:rPr>
      </w:pPr>
    </w:p>
    <w:p w14:paraId="002774ED">
      <w:pPr>
        <w:pStyle w:val="2"/>
        <w:rPr>
          <w:rFonts w:hint="eastAsia" w:ascii="微软雅黑" w:hAnsi="微软雅黑" w:eastAsia="微软雅黑" w:cs="微软雅黑"/>
          <w:color w:val="000000"/>
          <w:highlight w:val="none"/>
        </w:rPr>
      </w:pPr>
    </w:p>
    <w:p w14:paraId="5B9646BF">
      <w:pPr>
        <w:pStyle w:val="2"/>
        <w:rPr>
          <w:rFonts w:hint="eastAsia" w:ascii="微软雅黑" w:hAnsi="微软雅黑" w:eastAsia="微软雅黑" w:cs="微软雅黑"/>
          <w:color w:val="000000"/>
          <w:highlight w:val="none"/>
        </w:rPr>
      </w:pPr>
    </w:p>
    <w:p w14:paraId="35909A4D">
      <w:pPr>
        <w:pStyle w:val="2"/>
        <w:rPr>
          <w:rFonts w:hint="eastAsia" w:ascii="微软雅黑" w:hAnsi="微软雅黑" w:eastAsia="微软雅黑" w:cs="微软雅黑"/>
          <w:color w:val="000000"/>
          <w:highlight w:val="none"/>
        </w:rPr>
      </w:pPr>
    </w:p>
    <w:p w14:paraId="61BE0F3E">
      <w:pPr>
        <w:pStyle w:val="2"/>
        <w:rPr>
          <w:rFonts w:hint="eastAsia" w:ascii="微软雅黑" w:hAnsi="微软雅黑" w:eastAsia="微软雅黑" w:cs="微软雅黑"/>
          <w:color w:val="000000"/>
          <w:highlight w:val="none"/>
        </w:rPr>
      </w:pPr>
    </w:p>
    <w:p w14:paraId="7937815E">
      <w:pPr>
        <w:pStyle w:val="2"/>
        <w:rPr>
          <w:rFonts w:hint="eastAsia" w:ascii="微软雅黑" w:hAnsi="微软雅黑" w:eastAsia="微软雅黑" w:cs="微软雅黑"/>
          <w:color w:val="000000"/>
          <w:highlight w:val="none"/>
        </w:rPr>
      </w:pPr>
    </w:p>
    <w:p w14:paraId="7AEE527F">
      <w:pPr>
        <w:pStyle w:val="2"/>
        <w:rPr>
          <w:rFonts w:hint="eastAsia" w:ascii="微软雅黑" w:hAnsi="微软雅黑" w:eastAsia="微软雅黑" w:cs="微软雅黑"/>
          <w:color w:val="000000"/>
          <w:highlight w:val="none"/>
        </w:rPr>
      </w:pPr>
    </w:p>
    <w:p w14:paraId="335DF6D4">
      <w:pPr>
        <w:pStyle w:val="2"/>
        <w:rPr>
          <w:rFonts w:hint="eastAsia" w:ascii="微软雅黑" w:hAnsi="微软雅黑" w:eastAsia="微软雅黑" w:cs="微软雅黑"/>
          <w:color w:val="000000"/>
          <w:highlight w:val="none"/>
        </w:rPr>
      </w:pPr>
    </w:p>
    <w:p w14:paraId="63313BC2">
      <w:pPr>
        <w:pStyle w:val="2"/>
        <w:rPr>
          <w:rFonts w:hint="eastAsia" w:ascii="微软雅黑" w:hAnsi="微软雅黑" w:eastAsia="微软雅黑" w:cs="微软雅黑"/>
          <w:color w:val="000000"/>
          <w:highlight w:val="none"/>
        </w:rPr>
      </w:pPr>
    </w:p>
    <w:p w14:paraId="55956FA1">
      <w:pPr>
        <w:pStyle w:val="2"/>
        <w:rPr>
          <w:rFonts w:hint="eastAsia" w:ascii="微软雅黑" w:hAnsi="微软雅黑" w:eastAsia="微软雅黑" w:cs="微软雅黑"/>
          <w:color w:val="000000"/>
          <w:highlight w:val="none"/>
        </w:rPr>
      </w:pPr>
    </w:p>
    <w:p w14:paraId="57FE89AA">
      <w:pPr>
        <w:pStyle w:val="4"/>
        <w:jc w:val="both"/>
        <w:rPr>
          <w:rFonts w:hint="eastAsia" w:ascii="微软雅黑" w:hAnsi="微软雅黑" w:eastAsia="微软雅黑" w:cs="微软雅黑"/>
          <w:color w:val="000000"/>
          <w:highlight w:val="none"/>
        </w:rPr>
      </w:pPr>
    </w:p>
    <w:p w14:paraId="282FD5B9">
      <w:pPr>
        <w:rPr>
          <w:rFonts w:hint="eastAsia" w:ascii="微软雅黑" w:hAnsi="微软雅黑" w:eastAsia="微软雅黑" w:cs="微软雅黑"/>
          <w:color w:val="000000"/>
          <w:highlight w:val="none"/>
        </w:rPr>
      </w:pPr>
    </w:p>
    <w:p w14:paraId="387E5E77">
      <w:pPr>
        <w:rPr>
          <w:rFonts w:hint="eastAsia"/>
        </w:rPr>
      </w:pPr>
    </w:p>
    <w:p w14:paraId="2DE7CEB6">
      <w:pPr>
        <w:rPr>
          <w:rFonts w:hint="eastAsia"/>
        </w:rPr>
      </w:pPr>
    </w:p>
    <w:p w14:paraId="56FD0407">
      <w:pPr>
        <w:rPr>
          <w:rFonts w:hint="eastAsia"/>
        </w:rPr>
      </w:pPr>
    </w:p>
    <w:p w14:paraId="50D696CC">
      <w:pPr>
        <w:rPr>
          <w:rFonts w:hint="eastAsia"/>
        </w:rPr>
      </w:pPr>
    </w:p>
    <w:p w14:paraId="7EC745BC">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7808ED18">
      <w:pPr>
        <w:pStyle w:val="30"/>
        <w:rPr>
          <w:rFonts w:hint="eastAsia"/>
          <w:color w:val="000000"/>
          <w:highlight w:val="none"/>
        </w:rPr>
      </w:pPr>
    </w:p>
    <w:p w14:paraId="69F5B7E2">
      <w:pPr>
        <w:pStyle w:val="30"/>
        <w:rPr>
          <w:rFonts w:hint="eastAsia"/>
          <w:color w:val="000000"/>
          <w:highlight w:val="none"/>
        </w:rPr>
      </w:pPr>
    </w:p>
    <w:p w14:paraId="189E61D9">
      <w:pPr>
        <w:pStyle w:val="30"/>
        <w:rPr>
          <w:rFonts w:hint="eastAsia"/>
          <w:color w:val="000000"/>
          <w:highlight w:val="none"/>
        </w:rPr>
      </w:pPr>
    </w:p>
    <w:p w14:paraId="13E0DB19">
      <w:pPr>
        <w:pStyle w:val="30"/>
        <w:rPr>
          <w:rFonts w:hint="eastAsia"/>
          <w:color w:val="000000"/>
          <w:highlight w:val="none"/>
        </w:rPr>
      </w:pPr>
    </w:p>
    <w:p w14:paraId="7014139D">
      <w:pPr>
        <w:pStyle w:val="30"/>
        <w:rPr>
          <w:rFonts w:hint="eastAsia"/>
          <w:color w:val="000000"/>
          <w:highlight w:val="none"/>
        </w:rPr>
      </w:pPr>
    </w:p>
    <w:p w14:paraId="7D4DB952">
      <w:pPr>
        <w:pStyle w:val="30"/>
        <w:rPr>
          <w:rFonts w:hint="eastAsia"/>
          <w:color w:val="000000"/>
          <w:highlight w:val="none"/>
        </w:rPr>
      </w:pPr>
    </w:p>
    <w:p w14:paraId="182B1B64">
      <w:pPr>
        <w:pStyle w:val="30"/>
        <w:rPr>
          <w:rFonts w:hint="eastAsia"/>
          <w:color w:val="000000"/>
          <w:highlight w:val="none"/>
        </w:rPr>
      </w:pPr>
    </w:p>
    <w:p w14:paraId="2B1088A4">
      <w:pPr>
        <w:pStyle w:val="30"/>
        <w:rPr>
          <w:rFonts w:hint="eastAsia"/>
          <w:color w:val="000000"/>
          <w:highlight w:val="none"/>
        </w:rPr>
      </w:pPr>
    </w:p>
    <w:p w14:paraId="3F52C508">
      <w:pPr>
        <w:pStyle w:val="30"/>
        <w:rPr>
          <w:rFonts w:hint="eastAsia"/>
          <w:color w:val="000000"/>
          <w:highlight w:val="none"/>
        </w:rPr>
      </w:pPr>
    </w:p>
    <w:p w14:paraId="25589229">
      <w:pPr>
        <w:pStyle w:val="30"/>
        <w:rPr>
          <w:rFonts w:hint="eastAsia"/>
          <w:color w:val="000000"/>
          <w:highlight w:val="none"/>
        </w:rPr>
      </w:pPr>
    </w:p>
    <w:p w14:paraId="7179AE5A">
      <w:pPr>
        <w:pStyle w:val="30"/>
        <w:rPr>
          <w:rFonts w:hint="eastAsia"/>
          <w:color w:val="000000"/>
          <w:highlight w:val="none"/>
        </w:rPr>
      </w:pPr>
    </w:p>
    <w:p w14:paraId="6B0F4147">
      <w:pPr>
        <w:pStyle w:val="30"/>
        <w:rPr>
          <w:rFonts w:hint="eastAsia"/>
          <w:color w:val="000000"/>
          <w:highlight w:val="none"/>
        </w:rPr>
      </w:pPr>
    </w:p>
    <w:p w14:paraId="662325FF">
      <w:pPr>
        <w:pStyle w:val="30"/>
        <w:rPr>
          <w:rFonts w:hint="eastAsia"/>
          <w:color w:val="000000"/>
          <w:highlight w:val="none"/>
        </w:rPr>
      </w:pPr>
    </w:p>
    <w:p w14:paraId="1AEB18A1">
      <w:pPr>
        <w:pStyle w:val="30"/>
        <w:rPr>
          <w:rFonts w:hint="eastAsia"/>
          <w:color w:val="000000"/>
          <w:highlight w:val="none"/>
        </w:rPr>
      </w:pPr>
    </w:p>
    <w:p w14:paraId="4463CA19">
      <w:pPr>
        <w:pStyle w:val="30"/>
        <w:rPr>
          <w:rFonts w:hint="eastAsia"/>
          <w:color w:val="000000"/>
          <w:highlight w:val="none"/>
        </w:rPr>
      </w:pPr>
    </w:p>
    <w:p w14:paraId="1D5640CE">
      <w:pPr>
        <w:pStyle w:val="30"/>
        <w:rPr>
          <w:rFonts w:hint="eastAsia"/>
          <w:color w:val="000000"/>
          <w:highlight w:val="none"/>
        </w:rPr>
      </w:pPr>
    </w:p>
    <w:p w14:paraId="3BA62993">
      <w:pPr>
        <w:pStyle w:val="30"/>
        <w:rPr>
          <w:rFonts w:hint="eastAsia"/>
          <w:color w:val="000000"/>
          <w:highlight w:val="none"/>
        </w:rPr>
      </w:pPr>
    </w:p>
    <w:p w14:paraId="2FDD58ED">
      <w:pPr>
        <w:pStyle w:val="30"/>
        <w:rPr>
          <w:rFonts w:hint="eastAsia"/>
          <w:color w:val="000000"/>
          <w:highlight w:val="none"/>
        </w:rPr>
      </w:pPr>
    </w:p>
    <w:p w14:paraId="7B7C09C4">
      <w:pPr>
        <w:pStyle w:val="30"/>
        <w:rPr>
          <w:rFonts w:hint="eastAsia"/>
          <w:color w:val="000000"/>
          <w:highlight w:val="none"/>
        </w:rPr>
      </w:pPr>
    </w:p>
    <w:p w14:paraId="0B8ED225">
      <w:pPr>
        <w:pStyle w:val="30"/>
        <w:rPr>
          <w:rFonts w:hint="eastAsia"/>
          <w:color w:val="000000"/>
          <w:highlight w:val="none"/>
        </w:rPr>
      </w:pPr>
    </w:p>
    <w:p w14:paraId="0368E220">
      <w:pPr>
        <w:pStyle w:val="30"/>
        <w:rPr>
          <w:rFonts w:hint="eastAsia"/>
          <w:color w:val="000000"/>
          <w:highlight w:val="none"/>
        </w:rPr>
      </w:pPr>
    </w:p>
    <w:p w14:paraId="5959B81F">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收件人：中山大学孙逸仙纪念医院</w:t>
            </w:r>
            <w:r>
              <w:rPr>
                <w:rFonts w:hint="eastAsia" w:ascii="仿宋" w:hAnsi="仿宋" w:eastAsia="仿宋" w:cs="仿宋"/>
                <w:bCs/>
                <w:color w:val="000000"/>
                <w:szCs w:val="21"/>
                <w:highlight w:val="none"/>
                <w:lang w:eastAsia="zh-CN"/>
              </w:rPr>
              <w:t>、中山大学附属仁济医院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68B12656">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1A352B08">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EAC63BE">
      <w:pPr>
        <w:pStyle w:val="8"/>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8E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190B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B5B0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4A4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1BDD5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1B4E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7D2E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7E6E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BD84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73FB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2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B2D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2872A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2BCF9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158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C74368B">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DE209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CBF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C807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52C390A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4E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F234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029DE6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E5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44A6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602CDF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226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4188B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03BD83C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27B7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6734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5C5BDA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tc>
      </w:tr>
      <w:tr w14:paraId="737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F29F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5FF971E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67D505F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另行单独提供，可能影响对响应文件的评价，但不作为一票否决的条款。</w:t>
      </w:r>
    </w:p>
    <w:p w14:paraId="018F48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777D061F">
      <w:pPr>
        <w:pStyle w:val="22"/>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D1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DDA119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6E06390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15F6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5592C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ABCBC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5CE066C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2AC8BAF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682019D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B7823F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370DA4D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C3884E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63D0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C8F10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44F82D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86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8E412C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1C11924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1C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DC413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1E0D8BA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6DB316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8F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EB5F7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05E590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7E8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BA2043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3CDF870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3E687A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9D3631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A335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DF4186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54BA54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评分（31</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7BA019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评分（39</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6F5DE05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C7EE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79EE9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B4CCC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31分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287A4D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39分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26502EF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51CB172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商务评审表（31分）</w:t>
      </w:r>
    </w:p>
    <w:tbl>
      <w:tblPr>
        <w:tblStyle w:val="25"/>
        <w:tblW w:w="9262" w:type="dxa"/>
        <w:jc w:val="center"/>
        <w:tblLayout w:type="fixed"/>
        <w:tblCellMar>
          <w:top w:w="0" w:type="dxa"/>
          <w:left w:w="108" w:type="dxa"/>
          <w:bottom w:w="0" w:type="dxa"/>
          <w:right w:w="108" w:type="dxa"/>
        </w:tblCellMar>
      </w:tblPr>
      <w:tblGrid>
        <w:gridCol w:w="1946"/>
        <w:gridCol w:w="736"/>
        <w:gridCol w:w="6580"/>
      </w:tblGrid>
      <w:tr w14:paraId="24B61B02">
        <w:tblPrEx>
          <w:tblCellMar>
            <w:top w:w="0" w:type="dxa"/>
            <w:left w:w="108" w:type="dxa"/>
            <w:bottom w:w="0" w:type="dxa"/>
            <w:right w:w="108" w:type="dxa"/>
          </w:tblCellMar>
        </w:tblPrEx>
        <w:trPr>
          <w:trHeight w:val="510"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12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B8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B5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39E2A39A">
        <w:tblPrEx>
          <w:tblCellMar>
            <w:top w:w="0" w:type="dxa"/>
            <w:left w:w="108" w:type="dxa"/>
            <w:bottom w:w="0" w:type="dxa"/>
            <w:right w:w="108" w:type="dxa"/>
          </w:tblCellMar>
        </w:tblPrEx>
        <w:trPr>
          <w:trHeight w:val="201" w:hRule="atLeast"/>
          <w:jc w:val="center"/>
        </w:trPr>
        <w:tc>
          <w:tcPr>
            <w:tcW w:w="1946" w:type="dxa"/>
            <w:tcBorders>
              <w:top w:val="single" w:color="000000" w:sz="4" w:space="0"/>
              <w:left w:val="single" w:color="000000" w:sz="4" w:space="0"/>
              <w:right w:val="single" w:color="000000" w:sz="4" w:space="0"/>
            </w:tcBorders>
            <w:shd w:val="clear" w:color="auto" w:fill="auto"/>
            <w:vAlign w:val="center"/>
          </w:tcPr>
          <w:p w14:paraId="292DD9B4">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64D4">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227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21</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提供与本项目同类的非120急救转运相关业绩经验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14:paraId="0BD36B8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5D9F2C4C">
        <w:tblPrEx>
          <w:tblCellMar>
            <w:top w:w="0" w:type="dxa"/>
            <w:left w:w="108" w:type="dxa"/>
            <w:bottom w:w="0" w:type="dxa"/>
            <w:right w:w="108" w:type="dxa"/>
          </w:tblCellMar>
        </w:tblPrEx>
        <w:trPr>
          <w:trHeight w:val="90"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8D6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p w14:paraId="6EA5AAF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p w14:paraId="087DF510">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p w14:paraId="220469C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履约评价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42F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p>
          <w:p w14:paraId="18A3B72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p>
          <w:p w14:paraId="11FC6FC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p>
          <w:p w14:paraId="290B8504">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5</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8C2F">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p w14:paraId="53616DCB">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r>
      <w:tr w14:paraId="50599637">
        <w:tblPrEx>
          <w:tblCellMar>
            <w:top w:w="0" w:type="dxa"/>
            <w:left w:w="108" w:type="dxa"/>
            <w:bottom w:w="0" w:type="dxa"/>
            <w:right w:w="108" w:type="dxa"/>
          </w:tblCellMar>
        </w:tblPrEx>
        <w:trPr>
          <w:trHeight w:val="2835"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E62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拟派</w:t>
            </w:r>
            <w:r>
              <w:rPr>
                <w:rFonts w:hint="eastAsia" w:ascii="仿宋" w:hAnsi="仿宋" w:eastAsia="仿宋" w:cs="仿宋"/>
                <w:color w:val="000000"/>
                <w:kern w:val="0"/>
                <w:sz w:val="21"/>
                <w:szCs w:val="21"/>
                <w:highlight w:val="none"/>
                <w:lang w:val="en-US" w:eastAsia="zh-CN"/>
              </w:rPr>
              <w:t>驻点司机</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A4D6">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AD6C">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拟派项目</w:t>
            </w:r>
            <w:r>
              <w:rPr>
                <w:rFonts w:hint="eastAsia" w:ascii="仿宋" w:hAnsi="仿宋" w:eastAsia="仿宋" w:cs="仿宋"/>
                <w:color w:val="000000"/>
                <w:kern w:val="0"/>
                <w:sz w:val="21"/>
                <w:szCs w:val="21"/>
                <w:highlight w:val="none"/>
                <w:lang w:val="en-US" w:eastAsia="zh-CN"/>
              </w:rPr>
              <w:t>驻点司机具备</w:t>
            </w:r>
            <w:r>
              <w:rPr>
                <w:rFonts w:hint="eastAsia" w:ascii="仿宋" w:hAnsi="仿宋" w:eastAsia="仿宋" w:cs="仿宋"/>
                <w:color w:val="000000"/>
                <w:kern w:val="0"/>
                <w:sz w:val="21"/>
                <w:szCs w:val="21"/>
                <w:highlight w:val="none"/>
              </w:rPr>
              <w:t>救护员资质（或医学相关专业学历/职称），每人得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分，最高</w:t>
            </w:r>
            <w:r>
              <w:rPr>
                <w:rFonts w:hint="eastAsia" w:ascii="仿宋" w:hAnsi="仿宋" w:eastAsia="仿宋" w:cs="仿宋"/>
                <w:color w:val="000000"/>
                <w:kern w:val="0"/>
                <w:sz w:val="21"/>
                <w:szCs w:val="21"/>
                <w:highlight w:val="none"/>
                <w:lang w:val="en-US" w:eastAsia="zh-CN"/>
              </w:rPr>
              <w:t>得6</w:t>
            </w:r>
            <w:r>
              <w:rPr>
                <w:rFonts w:hint="eastAsia" w:ascii="仿宋" w:hAnsi="仿宋" w:eastAsia="仿宋" w:cs="仿宋"/>
                <w:color w:val="000000"/>
                <w:kern w:val="0"/>
                <w:sz w:val="21"/>
                <w:szCs w:val="21"/>
                <w:highlight w:val="none"/>
              </w:rPr>
              <w:t>分。</w:t>
            </w:r>
          </w:p>
          <w:p w14:paraId="15C7466F">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拟派项目</w:t>
            </w:r>
            <w:r>
              <w:rPr>
                <w:rFonts w:hint="eastAsia" w:ascii="仿宋" w:hAnsi="仿宋" w:eastAsia="仿宋" w:cs="仿宋"/>
                <w:color w:val="000000"/>
                <w:kern w:val="0"/>
                <w:sz w:val="21"/>
                <w:szCs w:val="21"/>
                <w:highlight w:val="none"/>
                <w:lang w:val="en-US" w:eastAsia="zh-CN"/>
              </w:rPr>
              <w:t>驻点司机具备</w:t>
            </w:r>
            <w:r>
              <w:rPr>
                <w:rFonts w:hint="eastAsia" w:ascii="仿宋" w:hAnsi="仿宋" w:eastAsia="仿宋" w:cs="仿宋"/>
                <w:color w:val="000000"/>
                <w:kern w:val="0"/>
                <w:sz w:val="21"/>
                <w:szCs w:val="21"/>
                <w:highlight w:val="none"/>
              </w:rPr>
              <w:t>10年</w:t>
            </w:r>
            <w:r>
              <w:rPr>
                <w:rFonts w:hint="eastAsia" w:ascii="仿宋" w:hAnsi="仿宋" w:eastAsia="仿宋" w:cs="仿宋"/>
                <w:color w:val="000000"/>
                <w:kern w:val="0"/>
                <w:sz w:val="21"/>
                <w:szCs w:val="21"/>
                <w:highlight w:val="none"/>
                <w:lang w:val="en-US" w:eastAsia="zh-CN"/>
              </w:rPr>
              <w:t>（含）</w:t>
            </w:r>
            <w:r>
              <w:rPr>
                <w:rFonts w:hint="eastAsia" w:ascii="仿宋" w:hAnsi="仿宋" w:eastAsia="仿宋" w:cs="仿宋"/>
                <w:color w:val="000000"/>
                <w:kern w:val="0"/>
                <w:sz w:val="21"/>
                <w:szCs w:val="21"/>
                <w:highlight w:val="none"/>
              </w:rPr>
              <w:t>以上驾驶经验</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B照或以上</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val="en-US" w:eastAsia="zh-CN"/>
              </w:rPr>
              <w:t>每人</w:t>
            </w:r>
            <w:r>
              <w:rPr>
                <w:rFonts w:hint="eastAsia"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最高得4分</w:t>
            </w:r>
            <w:r>
              <w:rPr>
                <w:rFonts w:hint="eastAsia" w:ascii="仿宋" w:hAnsi="仿宋" w:eastAsia="仿宋" w:cs="仿宋"/>
                <w:color w:val="000000"/>
                <w:kern w:val="0"/>
                <w:sz w:val="21"/>
                <w:szCs w:val="21"/>
                <w:highlight w:val="none"/>
              </w:rPr>
              <w:t>；5年</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含</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至10年（不含）驾驶经验</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B照或以上</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val="en-US" w:eastAsia="zh-CN"/>
              </w:rPr>
              <w:t>每人</w:t>
            </w:r>
            <w:r>
              <w:rPr>
                <w:rFonts w:hint="eastAsia"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最高得2分</w:t>
            </w:r>
            <w:r>
              <w:rPr>
                <w:rFonts w:hint="eastAsia" w:ascii="仿宋" w:hAnsi="仿宋" w:eastAsia="仿宋" w:cs="仿宋"/>
                <w:color w:val="000000"/>
                <w:kern w:val="0"/>
                <w:sz w:val="21"/>
                <w:szCs w:val="21"/>
                <w:highlight w:val="none"/>
              </w:rPr>
              <w:t>；其他</w:t>
            </w:r>
            <w:r>
              <w:rPr>
                <w:rFonts w:hint="eastAsia" w:ascii="仿宋" w:hAnsi="仿宋" w:eastAsia="仿宋" w:cs="仿宋"/>
                <w:color w:val="000000"/>
                <w:kern w:val="0"/>
                <w:sz w:val="21"/>
                <w:szCs w:val="21"/>
                <w:highlight w:val="none"/>
                <w:lang w:val="en-US" w:eastAsia="zh-CN"/>
              </w:rPr>
              <w:t>情况</w:t>
            </w:r>
            <w:r>
              <w:rPr>
                <w:rFonts w:hint="eastAsia" w:ascii="仿宋" w:hAnsi="仿宋" w:eastAsia="仿宋" w:cs="仿宋"/>
                <w:color w:val="000000"/>
                <w:kern w:val="0"/>
                <w:sz w:val="21"/>
                <w:szCs w:val="21"/>
                <w:highlight w:val="none"/>
              </w:rPr>
              <w:t>不得分。（提供B照或以上驾驶证复印件</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驾驶经验年限自B照或以上驾驶证发证之日起计算，C照不予认可。</w:t>
            </w:r>
            <w:r>
              <w:rPr>
                <w:rFonts w:hint="eastAsia" w:ascii="仿宋" w:hAnsi="仿宋" w:eastAsia="仿宋" w:cs="仿宋"/>
                <w:color w:val="000000"/>
                <w:kern w:val="0"/>
                <w:sz w:val="21"/>
                <w:szCs w:val="21"/>
                <w:highlight w:val="none"/>
              </w:rPr>
              <w:t>）</w:t>
            </w:r>
          </w:p>
          <w:p w14:paraId="2F5304C0">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第（2）项评分合计最高得4分。</w:t>
            </w:r>
          </w:p>
          <w:p w14:paraId="38AC3780">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w:t>
            </w:r>
            <w:r>
              <w:rPr>
                <w:rFonts w:hint="eastAsia" w:ascii="仿宋" w:hAnsi="仿宋" w:eastAsia="仿宋" w:cs="仿宋"/>
                <w:color w:val="000000"/>
                <w:kern w:val="0"/>
                <w:sz w:val="21"/>
                <w:szCs w:val="21"/>
                <w:highlight w:val="none"/>
              </w:rPr>
              <w:t>证书复印件及自202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未提供或提供不齐全不得分。须与</w:t>
            </w:r>
            <w:r>
              <w:rPr>
                <w:rFonts w:hint="eastAsia" w:ascii="仿宋" w:hAnsi="仿宋" w:eastAsia="仿宋" w:cs="仿宋"/>
                <w:color w:val="000000"/>
                <w:kern w:val="0"/>
                <w:sz w:val="21"/>
                <w:szCs w:val="21"/>
                <w:highlight w:val="none"/>
                <w:lang w:val="en-US" w:eastAsia="zh-CN"/>
              </w:rPr>
              <w:t>符合性</w:t>
            </w:r>
            <w:r>
              <w:rPr>
                <w:rFonts w:hint="eastAsia" w:ascii="仿宋" w:hAnsi="仿宋" w:eastAsia="仿宋" w:cs="仿宋"/>
                <w:color w:val="000000"/>
                <w:kern w:val="0"/>
                <w:sz w:val="21"/>
                <w:szCs w:val="21"/>
                <w:highlight w:val="none"/>
              </w:rPr>
              <w:t>评审中响应人所提供的驻点司机名单及资料一致。</w:t>
            </w:r>
          </w:p>
        </w:tc>
      </w:tr>
      <w:tr w14:paraId="58C64829">
        <w:tblPrEx>
          <w:tblCellMar>
            <w:top w:w="0" w:type="dxa"/>
            <w:left w:w="108" w:type="dxa"/>
            <w:bottom w:w="0" w:type="dxa"/>
            <w:right w:w="108" w:type="dxa"/>
          </w:tblCellMar>
        </w:tblPrEx>
        <w:trPr>
          <w:trHeight w:val="752"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33AB">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2"/>
                <w:sz w:val="20"/>
                <w:szCs w:val="20"/>
                <w:highlight w:val="none"/>
                <w:lang w:val="en-US" w:eastAsia="zh-CN"/>
              </w:rPr>
              <w:t>管理体系认证</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6CCC">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9EB5">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2B7E9F27">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（1）质量管理体系认证证书，得2分；</w:t>
            </w:r>
          </w:p>
          <w:p w14:paraId="39BEC0F3">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（2）环境管理体系认证证书，得2分；</w:t>
            </w:r>
          </w:p>
          <w:p w14:paraId="4AE4B758">
            <w:pPr>
              <w:pStyle w:val="9"/>
              <w:keepNext w:val="0"/>
              <w:keepLines w:val="0"/>
              <w:suppressLineNumbers w:val="0"/>
              <w:spacing w:before="0" w:beforeAutospacing="0" w:after="0" w:afterAutospacing="0" w:line="240" w:lineRule="auto"/>
              <w:ind w:left="0" w:right="0"/>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（3）职业健康安全管理体系认证证书，得2分。</w:t>
            </w:r>
          </w:p>
          <w:p w14:paraId="150D91F4">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bCs/>
                <w:color w:val="000000"/>
                <w:kern w:val="2"/>
                <w:sz w:val="20"/>
                <w:szCs w:val="20"/>
                <w:lang w:val="en-US" w:eastAsia="zh-CN" w:bidi="ar-SA"/>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技术评审表（39分）</w:t>
      </w:r>
    </w:p>
    <w:tbl>
      <w:tblPr>
        <w:tblStyle w:val="25"/>
        <w:tblW w:w="9567" w:type="dxa"/>
        <w:jc w:val="center"/>
        <w:tblLayout w:type="autofit"/>
        <w:tblCellMar>
          <w:top w:w="0" w:type="dxa"/>
          <w:left w:w="108" w:type="dxa"/>
          <w:bottom w:w="0" w:type="dxa"/>
          <w:right w:w="108" w:type="dxa"/>
        </w:tblCellMar>
      </w:tblPr>
      <w:tblGrid>
        <w:gridCol w:w="1331"/>
        <w:gridCol w:w="769"/>
        <w:gridCol w:w="7467"/>
      </w:tblGrid>
      <w:tr w14:paraId="38D8BA63">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CF3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1A4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8FE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1C4300AB">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1F78">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9E33">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D72DE">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0B281714">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6673C">
            <w:pPr>
              <w:keepNext w:val="0"/>
              <w:keepLines w:val="0"/>
              <w:suppressLineNumbers w:val="0"/>
              <w:spacing w:before="0" w:beforeAutospacing="0" w:after="0" w:afterAutospacing="0" w:line="276" w:lineRule="auto"/>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拟投入本项目车辆的车龄车况</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C83DE">
            <w:pPr>
              <w:keepNext w:val="0"/>
              <w:keepLines w:val="0"/>
              <w:suppressLineNumbers w:val="0"/>
              <w:spacing w:before="0" w:beforeAutospacing="0" w:after="0" w:afterAutospacing="0" w:line="276" w:lineRule="auto"/>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91C28">
            <w:pPr>
              <w:pStyle w:val="2"/>
              <w:keepNext w:val="0"/>
              <w:keepLines w:val="0"/>
              <w:suppressLineNumbers w:val="0"/>
              <w:spacing w:beforeAutospacing="0" w:afterAutospacing="0"/>
              <w:ind w:left="0" w:right="0"/>
              <w:rPr>
                <w:rFonts w:hint="eastAsia" w:ascii="仿宋" w:hAnsi="仿宋" w:eastAsia="仿宋" w:cs="仿宋"/>
                <w:sz w:val="21"/>
                <w:szCs w:val="16"/>
              </w:rPr>
            </w:pPr>
            <w:r>
              <w:rPr>
                <w:rFonts w:hint="eastAsia" w:ascii="仿宋" w:hAnsi="仿宋" w:eastAsia="仿宋" w:cs="仿宋"/>
                <w:sz w:val="21"/>
                <w:szCs w:val="16"/>
              </w:rPr>
              <w:t>根据拟投入本项目车辆的车龄车况作为评审依据，包括以下内容：①车龄、车况（行驶里程）②车辆配备方案③车辆安全性能。</w:t>
            </w:r>
          </w:p>
          <w:p w14:paraId="61B044AE">
            <w:pPr>
              <w:pStyle w:val="2"/>
              <w:keepNext w:val="0"/>
              <w:keepLines w:val="0"/>
              <w:suppressLineNumbers w:val="0"/>
              <w:spacing w:beforeAutospacing="0" w:afterAutospacing="0"/>
              <w:ind w:left="0" w:right="0"/>
              <w:rPr>
                <w:rFonts w:hint="eastAsia" w:ascii="仿宋" w:hAnsi="仿宋" w:eastAsia="仿宋" w:cs="仿宋"/>
                <w:sz w:val="21"/>
                <w:szCs w:val="16"/>
              </w:rPr>
            </w:pPr>
            <w:r>
              <w:rPr>
                <w:rFonts w:hint="eastAsia" w:ascii="仿宋" w:hAnsi="仿宋" w:eastAsia="仿宋" w:cs="仿宋"/>
                <w:sz w:val="21"/>
                <w:szCs w:val="16"/>
              </w:rPr>
              <w:t>注：每提供1项内容且表述完整，有针对性，车龄短、行驶里程短、安全性能高、车况良好、车辆配备方案详细可行，满足或优于采购人要求的得</w:t>
            </w:r>
            <w:r>
              <w:rPr>
                <w:rFonts w:hint="eastAsia" w:ascii="仿宋" w:hAnsi="仿宋" w:eastAsia="仿宋" w:cs="仿宋"/>
                <w:sz w:val="21"/>
                <w:szCs w:val="16"/>
                <w:lang w:val="en-US" w:eastAsia="zh-CN"/>
              </w:rPr>
              <w:t>5</w:t>
            </w:r>
            <w:r>
              <w:rPr>
                <w:rFonts w:hint="eastAsia" w:ascii="仿宋" w:hAnsi="仿宋" w:eastAsia="仿宋" w:cs="仿宋"/>
                <w:sz w:val="21"/>
                <w:szCs w:val="16"/>
              </w:rPr>
              <w:t>分，若提供的内容不全面或针对性</w:t>
            </w:r>
            <w:r>
              <w:rPr>
                <w:rFonts w:hint="eastAsia" w:ascii="仿宋" w:hAnsi="仿宋" w:eastAsia="仿宋" w:cs="仿宋"/>
                <w:sz w:val="21"/>
                <w:szCs w:val="16"/>
                <w:lang w:val="en-US" w:eastAsia="zh-CN"/>
              </w:rPr>
              <w:t>不强</w:t>
            </w:r>
            <w:r>
              <w:rPr>
                <w:rFonts w:hint="eastAsia" w:ascii="仿宋" w:hAnsi="仿宋" w:eastAsia="仿宋" w:cs="仿宋"/>
                <w:sz w:val="21"/>
                <w:szCs w:val="16"/>
              </w:rPr>
              <w:t>的每项得2</w:t>
            </w:r>
            <w:r>
              <w:rPr>
                <w:rFonts w:hint="eastAsia" w:ascii="仿宋" w:hAnsi="仿宋" w:eastAsia="仿宋" w:cs="仿宋"/>
                <w:sz w:val="21"/>
                <w:szCs w:val="16"/>
                <w:lang w:val="en-US" w:eastAsia="zh-CN"/>
              </w:rPr>
              <w:t>.5</w:t>
            </w:r>
            <w:r>
              <w:rPr>
                <w:rFonts w:hint="eastAsia" w:ascii="仿宋" w:hAnsi="仿宋" w:eastAsia="仿宋" w:cs="仿宋"/>
                <w:sz w:val="21"/>
                <w:szCs w:val="16"/>
              </w:rPr>
              <w:t>分。不提供方案的不得分。</w:t>
            </w:r>
          </w:p>
          <w:p w14:paraId="67D527BB">
            <w:pPr>
              <w:keepNext w:val="0"/>
              <w:keepLines w:val="0"/>
              <w:suppressLineNumbers w:val="0"/>
              <w:spacing w:before="0" w:beforeAutospacing="0" w:after="0" w:afterAutospacing="0" w:line="240" w:lineRule="auto"/>
              <w:ind w:left="0" w:right="0"/>
              <w:jc w:val="left"/>
              <w:rPr>
                <w:rFonts w:hint="eastAsia"/>
              </w:rPr>
            </w:pPr>
            <w:r>
              <w:rPr>
                <w:rFonts w:hint="eastAsia" w:ascii="仿宋" w:hAnsi="仿宋" w:eastAsia="仿宋" w:cs="仿宋"/>
                <w:bCs/>
                <w:sz w:val="21"/>
                <w:szCs w:val="21"/>
                <w:highlight w:val="none"/>
              </w:rPr>
              <w:t>注：</w:t>
            </w:r>
            <w:r>
              <w:rPr>
                <w:rFonts w:hint="eastAsia" w:ascii="仿宋" w:hAnsi="仿宋" w:eastAsia="仿宋" w:cs="仿宋"/>
                <w:color w:val="000000" w:themeColor="text1"/>
                <w:sz w:val="21"/>
                <w:szCs w:val="21"/>
                <w:highlight w:val="none"/>
                <w14:textFill>
                  <w14:solidFill>
                    <w14:schemeClr w14:val="tx1"/>
                  </w14:solidFill>
                </w14:textFill>
              </w:rPr>
              <w:t>提供权属证明材料、车辆行驶证、年审证明、车辆外部及车厢内部照片等证明资料。</w:t>
            </w:r>
          </w:p>
        </w:tc>
      </w:tr>
      <w:tr w14:paraId="43B099AA">
        <w:tblPrEx>
          <w:tblCellMar>
            <w:top w:w="0" w:type="dxa"/>
            <w:left w:w="108" w:type="dxa"/>
            <w:bottom w:w="0" w:type="dxa"/>
            <w:right w:w="108" w:type="dxa"/>
          </w:tblCellMar>
        </w:tblPrEx>
        <w:trPr>
          <w:trHeight w:val="71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CCF5">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A043">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A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p>
        </w:tc>
      </w:tr>
      <w:tr w14:paraId="57171876">
        <w:tblPrEx>
          <w:tblCellMar>
            <w:top w:w="0" w:type="dxa"/>
            <w:left w:w="108" w:type="dxa"/>
            <w:bottom w:w="0" w:type="dxa"/>
            <w:right w:w="108" w:type="dxa"/>
          </w:tblCellMar>
        </w:tblPrEx>
        <w:trPr>
          <w:trHeight w:val="90"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B4E2">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r>
              <w:rPr>
                <w:rFonts w:hint="eastAsia" w:ascii="仿宋" w:hAnsi="仿宋" w:eastAsia="仿宋" w:cs="仿宋"/>
                <w:sz w:val="21"/>
                <w:szCs w:val="21"/>
              </w:rPr>
              <w:t>服务质量保障方案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8B75">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160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sz w:val="21"/>
                <w:szCs w:val="21"/>
              </w:rPr>
              <w:t>服务质量保障方案</w:t>
            </w:r>
            <w:r>
              <w:rPr>
                <w:rFonts w:hint="eastAsia" w:ascii="仿宋" w:hAnsi="仿宋" w:eastAsia="仿宋" w:cs="仿宋"/>
                <w:sz w:val="21"/>
                <w:szCs w:val="21"/>
                <w:lang w:val="en-US" w:eastAsia="zh-CN"/>
              </w:rPr>
              <w:t>作为评审依据，包括但不限于以下内容：</w:t>
            </w:r>
          </w:p>
          <w:p w14:paraId="3140830A">
            <w:pPr>
              <w:pStyle w:val="9"/>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非120急救转运的流程、标准；</w:t>
            </w:r>
          </w:p>
          <w:p w14:paraId="61F00E33">
            <w:pPr>
              <w:pStyle w:val="9"/>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24小时用车及响应出车保障；</w:t>
            </w:r>
          </w:p>
          <w:p w14:paraId="265DAF9A">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配套</w:t>
            </w:r>
            <w:r>
              <w:rPr>
                <w:rFonts w:hint="eastAsia" w:ascii="仿宋" w:hAnsi="仿宋" w:eastAsia="仿宋" w:cs="仿宋"/>
                <w:sz w:val="21"/>
                <w:szCs w:val="21"/>
                <w:lang w:val="en-US" w:eastAsia="zh-CN"/>
              </w:rPr>
              <w:t>设备</w:t>
            </w:r>
            <w:r>
              <w:rPr>
                <w:rFonts w:hint="eastAsia" w:ascii="仿宋" w:hAnsi="仿宋" w:eastAsia="仿宋" w:cs="仿宋"/>
                <w:sz w:val="21"/>
                <w:szCs w:val="21"/>
              </w:rPr>
              <w:t>用品；</w:t>
            </w:r>
          </w:p>
          <w:p w14:paraId="57A346F3">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应急处理方案；</w:t>
            </w:r>
          </w:p>
          <w:p w14:paraId="32CD455D">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司机培训</w:t>
            </w:r>
            <w:r>
              <w:rPr>
                <w:rFonts w:hint="eastAsia" w:ascii="仿宋" w:hAnsi="仿宋" w:eastAsia="仿宋" w:cs="仿宋"/>
                <w:sz w:val="21"/>
                <w:szCs w:val="21"/>
                <w:lang w:val="en-US" w:eastAsia="zh-CN"/>
              </w:rPr>
              <w:t>方案</w:t>
            </w:r>
            <w:r>
              <w:rPr>
                <w:rFonts w:hint="eastAsia" w:ascii="仿宋" w:hAnsi="仿宋" w:eastAsia="仿宋" w:cs="仿宋"/>
                <w:sz w:val="21"/>
                <w:szCs w:val="21"/>
                <w:lang w:eastAsia="zh-CN"/>
              </w:rPr>
              <w:t>；</w:t>
            </w:r>
          </w:p>
          <w:p w14:paraId="4608A351">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b/>
                <w:color w:val="000000"/>
                <w:kern w:val="0"/>
                <w:sz w:val="21"/>
                <w:szCs w:val="21"/>
              </w:rPr>
            </w:pPr>
            <w:r>
              <w:rPr>
                <w:rFonts w:hint="eastAsia" w:ascii="仿宋" w:hAnsi="仿宋" w:eastAsia="仿宋" w:cs="仿宋"/>
                <w:sz w:val="21"/>
                <w:szCs w:val="21"/>
                <w:lang w:val="en-US" w:eastAsia="zh-CN"/>
              </w:rPr>
              <w:t>服务质量考核管理。</w:t>
            </w:r>
          </w:p>
          <w:p w14:paraId="22C7155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14:paraId="1B7A222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6</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14:paraId="6131AEF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14:paraId="0DCB31D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内容完整</w:t>
            </w:r>
            <w:r>
              <w:rPr>
                <w:rFonts w:hint="eastAsia" w:ascii="仿宋" w:hAnsi="仿宋" w:eastAsia="仿宋" w:cs="仿宋"/>
                <w:sz w:val="21"/>
                <w:szCs w:val="21"/>
                <w:lang w:eastAsia="zh-CN"/>
              </w:rPr>
              <w:t>，</w:t>
            </w:r>
            <w:r>
              <w:rPr>
                <w:rFonts w:hint="eastAsia" w:ascii="仿宋" w:hAnsi="仿宋" w:eastAsia="仿宋" w:cs="仿宋"/>
                <w:sz w:val="21"/>
                <w:szCs w:val="21"/>
              </w:rPr>
              <w:t>科学合理、可操作性强</w:t>
            </w:r>
            <w:r>
              <w:rPr>
                <w:rFonts w:hint="eastAsia" w:ascii="仿宋" w:hAnsi="仿宋" w:eastAsia="仿宋" w:cs="仿宋"/>
                <w:sz w:val="21"/>
                <w:szCs w:val="21"/>
                <w:lang w:eastAsia="zh-CN"/>
              </w:rPr>
              <w:t>，</w:t>
            </w:r>
            <w:r>
              <w:rPr>
                <w:rFonts w:hint="eastAsia" w:ascii="仿宋" w:hAnsi="仿宋" w:eastAsia="仿宋" w:cs="仿宋"/>
                <w:sz w:val="21"/>
                <w:szCs w:val="21"/>
              </w:rPr>
              <w:t>能满足本项目提出的所有要求，有具体可行的、规范的措施，能有效保证项目质量</w:t>
            </w:r>
            <w:r>
              <w:rPr>
                <w:rFonts w:hint="eastAsia" w:ascii="仿宋" w:hAnsi="仿宋" w:eastAsia="仿宋" w:cs="仿宋"/>
                <w:sz w:val="21"/>
                <w:szCs w:val="21"/>
                <w:lang w:val="en-US" w:eastAsia="zh-CN"/>
              </w:rPr>
              <w:t>，得3分</w:t>
            </w:r>
            <w:r>
              <w:rPr>
                <w:rFonts w:hint="eastAsia" w:ascii="仿宋" w:hAnsi="仿宋" w:eastAsia="仿宋" w:cs="仿宋"/>
                <w:sz w:val="21"/>
                <w:szCs w:val="21"/>
              </w:rPr>
              <w:t>；</w:t>
            </w:r>
          </w:p>
          <w:p w14:paraId="18BE627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内容不够完整</w:t>
            </w:r>
            <w:r>
              <w:rPr>
                <w:rFonts w:hint="eastAsia" w:ascii="仿宋" w:hAnsi="仿宋" w:eastAsia="仿宋" w:cs="仿宋"/>
                <w:sz w:val="21"/>
                <w:szCs w:val="21"/>
              </w:rPr>
              <w:t>科学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考虑片面的</w:t>
            </w:r>
            <w:r>
              <w:rPr>
                <w:rFonts w:hint="eastAsia" w:ascii="仿宋" w:hAnsi="仿宋" w:eastAsia="仿宋" w:cs="仿宋"/>
                <w:sz w:val="21"/>
                <w:szCs w:val="21"/>
                <w:lang w:eastAsia="zh-CN"/>
              </w:rPr>
              <w:t>，</w:t>
            </w:r>
            <w:r>
              <w:rPr>
                <w:rFonts w:hint="eastAsia" w:ascii="仿宋" w:hAnsi="仿宋" w:eastAsia="仿宋" w:cs="仿宋"/>
                <w:sz w:val="21"/>
                <w:szCs w:val="21"/>
              </w:rPr>
              <w:t>得</w:t>
            </w:r>
            <w:r>
              <w:rPr>
                <w:rFonts w:hint="eastAsia" w:ascii="仿宋" w:hAnsi="仿宋" w:eastAsia="仿宋" w:cs="仿宋"/>
                <w:sz w:val="21"/>
                <w:szCs w:val="21"/>
                <w:lang w:val="en-US" w:eastAsia="zh-CN"/>
              </w:rPr>
              <w:t>1.5</w:t>
            </w:r>
            <w:r>
              <w:rPr>
                <w:rFonts w:hint="eastAsia" w:ascii="仿宋" w:hAnsi="仿宋" w:eastAsia="仿宋" w:cs="仿宋"/>
                <w:sz w:val="21"/>
                <w:szCs w:val="21"/>
              </w:rPr>
              <w:t>分；</w:t>
            </w:r>
          </w:p>
          <w:p w14:paraId="00F3BD3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③</w:t>
            </w:r>
            <w:r>
              <w:rPr>
                <w:rFonts w:hint="eastAsia" w:ascii="仿宋" w:hAnsi="仿宋" w:eastAsia="仿宋" w:cs="仿宋"/>
                <w:sz w:val="21"/>
                <w:szCs w:val="21"/>
              </w:rPr>
              <w:t>其它情况不得分。</w:t>
            </w:r>
          </w:p>
        </w:tc>
      </w:tr>
    </w:tbl>
    <w:p w14:paraId="05AE43E0">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036D16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7E2E7F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04657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1105D64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1DA29DB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A8F7A6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7BC9DAF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425CA4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5C37D9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5E2B164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9C8E09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66B11BB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33AF938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2F09824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617C55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A890FA">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5236CAF">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3F054A17">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3508813B">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BD35409">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64D3A48A">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6067DB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E68EA1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22C40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3B2BCFC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69358E5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0F7704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70CD8A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070F4B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1617A51D">
      <w:pPr>
        <w:pStyle w:val="2"/>
        <w:rPr>
          <w:rFonts w:hint="eastAsia" w:ascii="微软雅黑" w:hAnsi="微软雅黑" w:eastAsia="微软雅黑" w:cs="微软雅黑"/>
          <w:color w:val="000000"/>
          <w:highlight w:val="none"/>
        </w:rPr>
      </w:pPr>
    </w:p>
    <w:p w14:paraId="25DE2C1E">
      <w:pPr>
        <w:pStyle w:val="2"/>
        <w:rPr>
          <w:rFonts w:hint="eastAsia" w:ascii="微软雅黑" w:hAnsi="微软雅黑" w:eastAsia="微软雅黑" w:cs="微软雅黑"/>
          <w:color w:val="000000"/>
          <w:highlight w:val="none"/>
        </w:rPr>
      </w:pPr>
    </w:p>
    <w:p w14:paraId="23DD2588">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7438DA02">
      <w:pPr>
        <w:rPr>
          <w:rFonts w:hint="eastAsia" w:ascii="微软雅黑" w:hAnsi="微软雅黑" w:eastAsia="微软雅黑" w:cs="微软雅黑"/>
          <w:color w:val="000000"/>
          <w:highlight w:val="none"/>
        </w:rPr>
      </w:pPr>
    </w:p>
    <w:p w14:paraId="184F7E58">
      <w:pPr>
        <w:pStyle w:val="2"/>
        <w:rPr>
          <w:rFonts w:hint="eastAsia" w:ascii="微软雅黑" w:hAnsi="微软雅黑" w:eastAsia="微软雅黑" w:cs="微软雅黑"/>
          <w:color w:val="000000"/>
          <w:highlight w:val="none"/>
        </w:rPr>
      </w:pPr>
    </w:p>
    <w:p w14:paraId="50232680">
      <w:pPr>
        <w:pStyle w:val="2"/>
        <w:rPr>
          <w:rFonts w:hint="eastAsia" w:ascii="微软雅黑" w:hAnsi="微软雅黑" w:eastAsia="微软雅黑" w:cs="微软雅黑"/>
          <w:color w:val="000000"/>
          <w:highlight w:val="none"/>
        </w:rPr>
      </w:pPr>
    </w:p>
    <w:p w14:paraId="5C7CE57C">
      <w:pPr>
        <w:pStyle w:val="2"/>
        <w:rPr>
          <w:rFonts w:hint="eastAsia" w:ascii="微软雅黑" w:hAnsi="微软雅黑" w:eastAsia="微软雅黑" w:cs="微软雅黑"/>
          <w:color w:val="000000"/>
          <w:highlight w:val="none"/>
        </w:rPr>
      </w:pPr>
    </w:p>
    <w:p w14:paraId="73B53ED0">
      <w:pPr>
        <w:pStyle w:val="2"/>
        <w:rPr>
          <w:rFonts w:hint="eastAsia" w:ascii="微软雅黑" w:hAnsi="微软雅黑" w:eastAsia="微软雅黑" w:cs="微软雅黑"/>
          <w:color w:val="000000"/>
          <w:highlight w:val="none"/>
        </w:rPr>
      </w:pPr>
    </w:p>
    <w:p w14:paraId="13599DA2">
      <w:pPr>
        <w:pStyle w:val="2"/>
        <w:rPr>
          <w:rFonts w:hint="eastAsia" w:ascii="微软雅黑" w:hAnsi="微软雅黑" w:eastAsia="微软雅黑" w:cs="微软雅黑"/>
          <w:color w:val="000000"/>
          <w:highlight w:val="none"/>
        </w:rPr>
      </w:pPr>
    </w:p>
    <w:p w14:paraId="08586ED9">
      <w:pPr>
        <w:pStyle w:val="2"/>
        <w:rPr>
          <w:rFonts w:hint="eastAsia" w:ascii="微软雅黑" w:hAnsi="微软雅黑" w:eastAsia="微软雅黑" w:cs="微软雅黑"/>
          <w:color w:val="000000"/>
          <w:highlight w:val="none"/>
        </w:rPr>
      </w:pPr>
    </w:p>
    <w:p w14:paraId="77C57A47">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4D499D2">
      <w:pPr>
        <w:pStyle w:val="2"/>
        <w:rPr>
          <w:rFonts w:hint="eastAsia"/>
        </w:rPr>
      </w:pPr>
    </w:p>
    <w:p w14:paraId="47F5E32A">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6AE643">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43C36D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D2762A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61EB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5848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6746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5ABA92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02E491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C380044">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866B1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5B259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C9BB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DAD4A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352AE8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3096C84">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868C820">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0E5E93EB">
      <w:pPr>
        <w:shd w:val="clear" w:color="auto" w:fill="FFFFFF"/>
        <w:spacing w:beforeAutospacing="1"/>
        <w:rPr>
          <w:rFonts w:hint="eastAsia" w:ascii="仿宋" w:hAnsi="仿宋" w:eastAsia="仿宋" w:cs="仿宋"/>
          <w:color w:val="000000"/>
          <w:sz w:val="21"/>
          <w:szCs w:val="24"/>
          <w:highlight w:val="none"/>
          <w:shd w:val="clear" w:color="auto" w:fill="FFFFFF"/>
        </w:rPr>
      </w:pPr>
    </w:p>
    <w:p w14:paraId="628EE72F">
      <w:pPr>
        <w:shd w:val="clear" w:color="auto" w:fill="FFFFFF"/>
        <w:spacing w:beforeAutospacing="1"/>
        <w:rPr>
          <w:rFonts w:hint="eastAsia" w:ascii="仿宋" w:hAnsi="仿宋" w:eastAsia="仿宋" w:cs="仿宋"/>
          <w:color w:val="000000"/>
          <w:sz w:val="21"/>
          <w:szCs w:val="24"/>
          <w:highlight w:val="none"/>
          <w:shd w:val="clear" w:color="auto" w:fill="FFFFFF"/>
        </w:rPr>
      </w:pPr>
    </w:p>
    <w:p w14:paraId="099CC093">
      <w:pPr>
        <w:pStyle w:val="2"/>
        <w:rPr>
          <w:rFonts w:hint="eastAsia" w:ascii="仿宋" w:hAnsi="仿宋" w:eastAsia="仿宋" w:cs="仿宋"/>
          <w:highlight w:val="none"/>
        </w:rPr>
      </w:pPr>
    </w:p>
    <w:p w14:paraId="75C4DA64">
      <w:pPr>
        <w:shd w:val="clear" w:color="auto" w:fill="FFFFFF"/>
        <w:spacing w:beforeAutospacing="1"/>
        <w:rPr>
          <w:rFonts w:hint="eastAsia" w:ascii="仿宋" w:hAnsi="仿宋" w:eastAsia="仿宋" w:cs="仿宋"/>
          <w:color w:val="000000"/>
          <w:sz w:val="21"/>
          <w:szCs w:val="24"/>
          <w:highlight w:val="none"/>
          <w:shd w:val="clear" w:color="auto" w:fill="FFFFFF"/>
        </w:rPr>
      </w:pPr>
    </w:p>
    <w:p w14:paraId="26368BCE">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26CBA56F">
      <w:pPr>
        <w:spacing w:beforeAutospacing="1" w:line="360" w:lineRule="auto"/>
        <w:rPr>
          <w:rFonts w:hint="eastAsia" w:ascii="仿宋" w:hAnsi="仿宋" w:eastAsia="仿宋" w:cs="仿宋"/>
          <w:b/>
          <w:color w:val="000000"/>
          <w:sz w:val="48"/>
          <w:szCs w:val="48"/>
          <w:highlight w:val="none"/>
        </w:rPr>
      </w:pPr>
    </w:p>
    <w:p w14:paraId="66B53BB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583D5C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11228A34">
      <w:pPr>
        <w:spacing w:beforeAutospacing="1" w:line="360" w:lineRule="auto"/>
        <w:rPr>
          <w:rFonts w:hint="eastAsia" w:ascii="仿宋" w:hAnsi="仿宋" w:eastAsia="仿宋" w:cs="仿宋"/>
          <w:b/>
          <w:color w:val="000000"/>
          <w:sz w:val="28"/>
          <w:szCs w:val="28"/>
          <w:highlight w:val="none"/>
        </w:rPr>
      </w:pPr>
    </w:p>
    <w:tbl>
      <w:tblPr>
        <w:tblStyle w:val="25"/>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2C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1DBB95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C9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E111C98">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B18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CCB963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35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89D2F4">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9935D89">
      <w:pPr>
        <w:spacing w:beforeAutospacing="1" w:line="360" w:lineRule="auto"/>
        <w:rPr>
          <w:rFonts w:hint="eastAsia" w:ascii="仿宋_GB2312" w:eastAsia="仿宋_GB2312" w:cs="仿宋_GB2312"/>
          <w:b/>
          <w:color w:val="000000"/>
          <w:sz w:val="28"/>
          <w:szCs w:val="28"/>
          <w:highlight w:val="none"/>
        </w:rPr>
      </w:pPr>
    </w:p>
    <w:p w14:paraId="744D39C0">
      <w:pPr>
        <w:pStyle w:val="2"/>
        <w:rPr>
          <w:rFonts w:hint="eastAsia"/>
          <w:highlight w:val="none"/>
        </w:rPr>
      </w:pPr>
    </w:p>
    <w:p w14:paraId="2730CA12">
      <w:pPr>
        <w:pStyle w:val="2"/>
        <w:rPr>
          <w:rFonts w:hint="eastAsia"/>
          <w:highlight w:val="none"/>
        </w:rPr>
      </w:pPr>
    </w:p>
    <w:p w14:paraId="33E3A88C">
      <w:pPr>
        <w:pStyle w:val="2"/>
        <w:rPr>
          <w:rFonts w:hint="eastAsia"/>
          <w:highlight w:val="none"/>
        </w:rPr>
      </w:pPr>
    </w:p>
    <w:p w14:paraId="0A2ECF9B">
      <w:pPr>
        <w:pStyle w:val="2"/>
        <w:rPr>
          <w:rFonts w:hint="eastAsia"/>
          <w:highlight w:val="none"/>
        </w:rPr>
      </w:pPr>
    </w:p>
    <w:p w14:paraId="27E0053E">
      <w:pPr>
        <w:pStyle w:val="30"/>
        <w:ind w:firstLine="0" w:firstLineChars="0"/>
        <w:rPr>
          <w:rFonts w:hint="eastAsia" w:ascii="仿宋_GB2312" w:eastAsia="仿宋_GB2312" w:cs="仿宋_GB2312"/>
          <w:b/>
          <w:color w:val="000000"/>
          <w:sz w:val="28"/>
          <w:szCs w:val="28"/>
          <w:highlight w:val="none"/>
        </w:rPr>
      </w:pPr>
    </w:p>
    <w:p w14:paraId="716D05DA">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C274CF4">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中山大学附属仁济医院合同</w:t>
      </w:r>
    </w:p>
    <w:p w14:paraId="21936B9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7D16B8C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）：中山大学附属仁济医院</w:t>
      </w:r>
    </w:p>
    <w:p w14:paraId="5D0C6E4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276A6D63">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A29BFF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甲方同意将中山大学附属仁济医院非120急救医疗转运服务委托给乙方，为明确甲乙双方责任和义务，本着平等、自愿、公平、诚信、守法的原则，经双方友好协商，一致同意签订下列条款并共同遵守。具体条款如下: </w:t>
      </w:r>
    </w:p>
    <w:p w14:paraId="2D68626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一、基本原则</w:t>
      </w:r>
    </w:p>
    <w:p w14:paraId="67F8F9C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以满足甲方需求为目标，建立安全快捷的转运服务；</w:t>
      </w:r>
    </w:p>
    <w:p w14:paraId="423DB81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 甲方为乙方开展</w:t>
      </w:r>
      <w:r>
        <w:rPr>
          <w:rFonts w:hint="eastAsia" w:ascii="仿宋" w:hAnsi="仿宋" w:eastAsia="仿宋" w:cs="仿宋"/>
          <w:color w:val="000000"/>
          <w:sz w:val="24"/>
          <w:szCs w:val="24"/>
          <w:highlight w:val="none"/>
          <w:lang w:val="en-US" w:eastAsia="zh-CN"/>
        </w:rPr>
        <w:t>医疗</w:t>
      </w:r>
      <w:r>
        <w:rPr>
          <w:rFonts w:hint="eastAsia" w:ascii="仿宋" w:hAnsi="仿宋" w:eastAsia="仿宋" w:cs="仿宋"/>
          <w:color w:val="000000"/>
          <w:sz w:val="24"/>
          <w:szCs w:val="24"/>
          <w:highlight w:val="none"/>
        </w:rPr>
        <w:t>转运服务提供便利，乙方为甲方提供及时、规范、专业、安全的医疗转运服务</w:t>
      </w:r>
      <w:r>
        <w:rPr>
          <w:rFonts w:hint="eastAsia" w:ascii="仿宋" w:hAnsi="仿宋" w:eastAsia="仿宋" w:cs="仿宋"/>
          <w:color w:val="000000"/>
          <w:sz w:val="24"/>
          <w:szCs w:val="24"/>
          <w:highlight w:val="none"/>
          <w:lang w:eastAsia="zh-CN"/>
        </w:rPr>
        <w:t>。</w:t>
      </w:r>
    </w:p>
    <w:p w14:paraId="1B1F964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lang w:val="en-US" w:eastAsia="zh-CN"/>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合同总价及合同有效期</w:t>
      </w:r>
    </w:p>
    <w:p w14:paraId="2E26039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lang w:val="en-US" w:eastAsia="zh-CN"/>
        </w:rPr>
      </w:pPr>
      <w:r>
        <w:rPr>
          <w:rFonts w:hint="eastAsia" w:ascii="仿宋" w:hAnsi="仿宋" w:eastAsia="仿宋" w:cs="仿宋"/>
          <w:color w:val="000000"/>
          <w:sz w:val="24"/>
          <w:szCs w:val="24"/>
          <w:highlight w:val="none"/>
          <w:lang w:val="en-US" w:eastAsia="zh-CN"/>
        </w:rPr>
        <w:t>1.本合同总价为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元（大写：</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）,每月服务费为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元。该合同总价包含完成合同约定所需的所有人工、车辆、车辆保养、设备、保险、燃油、税费等所有费用，本合同的总价在执行期间保持不变，乙方不得再以其它任何形式向甲方索要增加任何的费用。</w:t>
      </w:r>
    </w:p>
    <w:p w14:paraId="35021A5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2.合同有效期：合同生效之日起3年，合同自甲方书面通知之日起生效。</w:t>
      </w:r>
    </w:p>
    <w:p w14:paraId="0BD4BFD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三、服务内容及要求</w:t>
      </w:r>
    </w:p>
    <w:p w14:paraId="7BE79A59">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服务时间：全天24小时响应，含工作日、法定节假日。</w:t>
      </w:r>
    </w:p>
    <w:p w14:paraId="479FF723">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负责为</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提供常规非120急救的医疗转运服务，包括但不限于病人、家属及医护人员医疗转运，标本/血液输送转运及</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要求的其他非医疗转运服务，相关服务按卫生行政部门要求的非120急救转运流程、标准提供。</w:t>
      </w:r>
    </w:p>
    <w:p w14:paraId="4FB1FA73">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乙方提供一辆专用救护车停在甲方院内指定位置，确保服务期内24小时随时可用。</w:t>
      </w:r>
    </w:p>
    <w:p w14:paraId="54051C16">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乙方为本项目投入的车辆品牌为</w:t>
      </w:r>
      <w:r>
        <w:rPr>
          <w:rFonts w:hint="eastAsia" w:ascii="仿宋" w:hAnsi="仿宋" w:eastAsia="仿宋" w:cs="仿宋"/>
          <w:i w:val="0"/>
          <w:iCs w:val="0"/>
          <w:color w:val="000000"/>
          <w:sz w:val="24"/>
          <w:szCs w:val="24"/>
          <w:highlight w:val="none"/>
          <w:u w:val="single"/>
          <w:lang w:val="en-US" w:eastAsia="zh-CN"/>
        </w:rPr>
        <w:t xml:space="preserve">              </w:t>
      </w:r>
      <w:r>
        <w:rPr>
          <w:rFonts w:hint="eastAsia" w:ascii="仿宋" w:hAnsi="仿宋" w:eastAsia="仿宋" w:cs="仿宋"/>
          <w:i w:val="0"/>
          <w:iCs w:val="0"/>
          <w:color w:val="000000"/>
          <w:sz w:val="24"/>
          <w:szCs w:val="24"/>
          <w:highlight w:val="none"/>
          <w:u w:val="none"/>
          <w:lang w:val="en-US" w:eastAsia="zh-CN"/>
        </w:rPr>
        <w:t>，该车辆</w:t>
      </w:r>
      <w:r>
        <w:rPr>
          <w:rFonts w:hint="eastAsia" w:ascii="仿宋" w:hAnsi="仿宋" w:eastAsia="仿宋" w:cs="仿宋"/>
          <w:color w:val="000000"/>
          <w:sz w:val="24"/>
          <w:szCs w:val="24"/>
          <w:highlight w:val="none"/>
          <w:lang w:val="en-US" w:eastAsia="zh-CN"/>
        </w:rPr>
        <w:t>权属清晰，无重大维修记录及重大事故记录，上牌注册时间在2019年及以后，车辆年审合格，符合环保要求，定时购买交强险、商业保险等车辆保险。</w:t>
      </w:r>
    </w:p>
    <w:p w14:paraId="6035B420">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乙方负责车辆的日常检查、清洁、车况记录，保障车辆满足转运需要。</w:t>
      </w:r>
    </w:p>
    <w:p w14:paraId="2C146632">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乙方救护车上配备基础的医疗设备（详见附件1:车载设备需求配置表），并确保所配备设备符合相关医疗管理规定。车载医疗设备投入使用前需向甲方备案</w:t>
      </w:r>
      <w:r>
        <w:rPr>
          <w:rFonts w:hint="eastAsia" w:ascii="仿宋" w:hAnsi="仿宋" w:eastAsia="仿宋" w:cs="仿宋"/>
          <w:b w:val="0"/>
          <w:bCs/>
          <w:color w:val="000000"/>
          <w:sz w:val="24"/>
          <w:szCs w:val="24"/>
          <w:highlight w:val="none"/>
          <w:lang w:val="en-US" w:eastAsia="zh-CN"/>
        </w:rPr>
        <w:t>有效的</w:t>
      </w:r>
      <w:r>
        <w:rPr>
          <w:rFonts w:hint="eastAsia" w:ascii="仿宋" w:hAnsi="仿宋" w:eastAsia="仿宋" w:cs="仿宋"/>
          <w:color w:val="000000"/>
          <w:sz w:val="24"/>
          <w:szCs w:val="24"/>
          <w:highlight w:val="none"/>
          <w:lang w:val="en-US" w:eastAsia="zh-CN"/>
        </w:rPr>
        <w:t>相关医疗器械注册证件资料，并确保服务期内设备技术参数与注册证件资料要求相一致。</w:t>
      </w:r>
    </w:p>
    <w:p w14:paraId="699B7E2F">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乙方为本项目购买医疗责任保险和人员意外险，来往运输安全责任全权由乙方负责。</w:t>
      </w:r>
    </w:p>
    <w:p w14:paraId="5C23E78E">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医疗转运过程中的医疗安全责任由乙方负责。</w:t>
      </w:r>
    </w:p>
    <w:p w14:paraId="204B7247">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乙方在转运过程中不得收取任何额外费用，救护车辆燃油费、维修费、保险费、路桥费等运营费用均由乙方负责。</w:t>
      </w:r>
    </w:p>
    <w:p w14:paraId="758062F0">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乙方为本项目配备驻点司机不少于2人（轮班制，必须保证至少1人在岗值班），驻场司机需遵照医院相关规章制度，遵从甲方管理人员指挥，按时按质完成甲方分派的医疗转运任务。</w:t>
      </w:r>
    </w:p>
    <w:p w14:paraId="55DA874E">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自接到甲方通知，驻点司机在15分钟内响应并出车。</w:t>
      </w:r>
    </w:p>
    <w:p w14:paraId="17A9873A">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乙方须保证所派驻司机的稳定性，不得随意更换。如甲方对乙方驻点司机的工作表现不满意，甲方有权提出更换人员或整改要求，乙方应予配合。乙方如需更换驻点司机，需提前征得甲方书面同意后方可更换。</w:t>
      </w:r>
    </w:p>
    <w:p w14:paraId="0FC905B6">
      <w:pPr>
        <w:pStyle w:val="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、双方责任和义务</w:t>
      </w:r>
    </w:p>
    <w:p w14:paraId="1C65BE31">
      <w:pPr>
        <w:pStyle w:val="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（一）甲方权利与义务</w:t>
      </w:r>
    </w:p>
    <w:p w14:paraId="021989F2">
      <w:pPr>
        <w:pStyle w:val="8"/>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仅</w:t>
      </w:r>
      <w:r>
        <w:rPr>
          <w:rFonts w:hint="eastAsia" w:ascii="仿宋" w:hAnsi="仿宋" w:eastAsia="仿宋" w:cs="仿宋"/>
          <w:color w:val="000000"/>
          <w:sz w:val="24"/>
          <w:szCs w:val="24"/>
          <w:highlight w:val="none"/>
          <w:lang w:val="en-US" w:eastAsia="zh-CN"/>
        </w:rPr>
        <w:t>向乙方</w:t>
      </w:r>
      <w:r>
        <w:rPr>
          <w:rFonts w:hint="eastAsia" w:ascii="仿宋" w:hAnsi="仿宋" w:eastAsia="仿宋" w:cs="仿宋"/>
          <w:color w:val="000000"/>
          <w:sz w:val="24"/>
          <w:szCs w:val="24"/>
          <w:highlight w:val="none"/>
        </w:rPr>
        <w:t>提供救护车停车位，无法提供</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驻点司机值班休息床位；</w:t>
      </w:r>
    </w:p>
    <w:p w14:paraId="1B161129">
      <w:pPr>
        <w:pStyle w:val="8"/>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在无乙方不履行或不适当履行合同义务的情况下，甲方应按合同约定向乙方支付相应服务费用；</w:t>
      </w:r>
    </w:p>
    <w:p w14:paraId="1C314804">
      <w:pPr>
        <w:pStyle w:val="8"/>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rPr>
        <w:t>甲方有权对乙方不听从管理、安排的员工及不达甲方要求的车辆、车载设备提出更换要求</w:t>
      </w:r>
      <w:r>
        <w:rPr>
          <w:rFonts w:hint="eastAsia" w:ascii="仿宋" w:hAnsi="仿宋" w:eastAsia="仿宋" w:cs="仿宋"/>
          <w:color w:val="000000"/>
          <w:sz w:val="24"/>
          <w:szCs w:val="24"/>
          <w:highlight w:val="none"/>
          <w:lang w:eastAsia="zh-CN"/>
        </w:rPr>
        <w:t>。</w:t>
      </w:r>
    </w:p>
    <w:p w14:paraId="1FA25340">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（二）乙方权利与义务</w:t>
      </w:r>
    </w:p>
    <w:p w14:paraId="59B88E01">
      <w:pPr>
        <w:pStyle w:val="24"/>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乙方须建立完善的安全生产管理机制，聘用具备相关资格要求的员工，并独立承担员工管理、车辆及车载设备的安全生产责任等全部责任；</w:t>
      </w:r>
    </w:p>
    <w:p w14:paraId="14AE317D">
      <w:pPr>
        <w:pStyle w:val="24"/>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遵守国家相关法律、法规及甲方各项相关规章制度，服从甲方监管，按时提交季度工作小结、年度工作报告，及时反馈工作中存在的问题、整改情况及建议性意见；</w:t>
      </w:r>
    </w:p>
    <w:p w14:paraId="1FC33A19">
      <w:pPr>
        <w:pStyle w:val="24"/>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乙方按合同约定的内容和范围为甲方提供优质、安全、高效的转运服务，服从甲方调度，定期检查车辆、设备性能，配备备用车辆，确保完成24小时运送任务；</w:t>
      </w:r>
    </w:p>
    <w:p w14:paraId="65479B78">
      <w:pPr>
        <w:pStyle w:val="24"/>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乙方须购买医疗责任保险和人员意外险，承担来往运输安全责任。</w:t>
      </w:r>
    </w:p>
    <w:p w14:paraId="1E4FB174">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（三）双方权利与义务</w:t>
      </w:r>
    </w:p>
    <w:p w14:paraId="4255DD9D">
      <w:pPr>
        <w:pStyle w:val="24"/>
        <w:keepNext w:val="0"/>
        <w:keepLines w:val="0"/>
        <w:pageBreakBefore w:val="0"/>
        <w:widowControl w:val="0"/>
        <w:numPr>
          <w:ilvl w:val="0"/>
          <w:numId w:val="16"/>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双方必须对医疗信息资料保密，尊重隐私；</w:t>
      </w:r>
    </w:p>
    <w:p w14:paraId="1561C706">
      <w:pPr>
        <w:pStyle w:val="24"/>
        <w:keepNext w:val="0"/>
        <w:keepLines w:val="0"/>
        <w:pageBreakBefore w:val="0"/>
        <w:widowControl w:val="0"/>
        <w:numPr>
          <w:ilvl w:val="0"/>
          <w:numId w:val="16"/>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双方尊重对方权益，不得私下评论甲方的医疗行为和其他服务，避免造成误解和不利影响。</w:t>
      </w:r>
    </w:p>
    <w:p w14:paraId="491E7786">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五、服务质量考核</w:t>
      </w:r>
    </w:p>
    <w:p w14:paraId="3629513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每月考核服务质量，分为优秀、良好、合格、不合格四档。如</w:t>
      </w:r>
      <w:r>
        <w:rPr>
          <w:rFonts w:hint="eastAsia" w:ascii="仿宋" w:hAnsi="仿宋" w:eastAsia="仿宋" w:cs="仿宋"/>
          <w:b w:val="0"/>
          <w:bCs/>
          <w:color w:val="000000"/>
          <w:sz w:val="24"/>
          <w:szCs w:val="24"/>
          <w:highlight w:val="none"/>
          <w:lang w:val="en-US" w:eastAsia="zh-CN"/>
        </w:rPr>
        <w:t>乙方</w:t>
      </w:r>
      <w:r>
        <w:rPr>
          <w:rFonts w:hint="eastAsia" w:ascii="仿宋" w:hAnsi="仿宋" w:eastAsia="仿宋" w:cs="仿宋"/>
          <w:b w:val="0"/>
          <w:bCs/>
          <w:color w:val="000000"/>
          <w:sz w:val="24"/>
          <w:szCs w:val="24"/>
          <w:highlight w:val="none"/>
          <w:lang w:eastAsia="zh-CN"/>
        </w:rPr>
        <w:t>连续两个月服务质量考核为不合格或累计四个月服务质量考核为不合格的，</w:t>
      </w:r>
      <w:r>
        <w:rPr>
          <w:rFonts w:hint="eastAsia" w:ascii="仿宋" w:hAnsi="仿宋" w:eastAsia="仿宋" w:cs="仿宋"/>
          <w:b w:val="0"/>
          <w:bCs/>
          <w:color w:val="000000"/>
          <w:sz w:val="24"/>
          <w:szCs w:val="24"/>
          <w:highlight w:val="none"/>
          <w:lang w:val="en-US" w:eastAsia="zh-CN"/>
        </w:rPr>
        <w:t>甲方</w:t>
      </w:r>
      <w:r>
        <w:rPr>
          <w:rFonts w:hint="eastAsia" w:ascii="仿宋" w:hAnsi="仿宋" w:eastAsia="仿宋" w:cs="仿宋"/>
          <w:b w:val="0"/>
          <w:bCs/>
          <w:color w:val="000000"/>
          <w:sz w:val="24"/>
          <w:szCs w:val="24"/>
          <w:highlight w:val="none"/>
          <w:lang w:eastAsia="zh-CN"/>
        </w:rPr>
        <w:t>有权单方面终止合同。如本项目合同期内，</w:t>
      </w:r>
      <w:r>
        <w:rPr>
          <w:rFonts w:hint="eastAsia" w:ascii="仿宋" w:hAnsi="仿宋" w:eastAsia="仿宋" w:cs="仿宋"/>
          <w:b w:val="0"/>
          <w:bCs/>
          <w:color w:val="000000"/>
          <w:sz w:val="24"/>
          <w:szCs w:val="24"/>
          <w:highlight w:val="none"/>
          <w:lang w:val="en-US" w:eastAsia="zh-CN"/>
        </w:rPr>
        <w:t>乙方</w:t>
      </w:r>
      <w:r>
        <w:rPr>
          <w:rFonts w:hint="eastAsia" w:ascii="仿宋" w:hAnsi="仿宋" w:eastAsia="仿宋" w:cs="仿宋"/>
          <w:b w:val="0"/>
          <w:bCs/>
          <w:color w:val="000000"/>
          <w:sz w:val="24"/>
          <w:szCs w:val="24"/>
          <w:highlight w:val="none"/>
          <w:lang w:eastAsia="zh-CN"/>
        </w:rPr>
        <w:t>发生重大安全生产事故，</w:t>
      </w:r>
      <w:r>
        <w:rPr>
          <w:rFonts w:hint="eastAsia" w:ascii="仿宋" w:hAnsi="仿宋" w:eastAsia="仿宋" w:cs="仿宋"/>
          <w:b w:val="0"/>
          <w:bCs/>
          <w:color w:val="000000"/>
          <w:sz w:val="24"/>
          <w:szCs w:val="24"/>
          <w:highlight w:val="none"/>
          <w:lang w:val="en-US" w:eastAsia="zh-CN"/>
        </w:rPr>
        <w:t>甲方</w:t>
      </w:r>
      <w:r>
        <w:rPr>
          <w:rFonts w:hint="eastAsia" w:ascii="仿宋" w:hAnsi="仿宋" w:eastAsia="仿宋" w:cs="仿宋"/>
          <w:b w:val="0"/>
          <w:bCs/>
          <w:color w:val="000000"/>
          <w:sz w:val="24"/>
          <w:szCs w:val="24"/>
          <w:highlight w:val="none"/>
          <w:lang w:eastAsia="zh-CN"/>
        </w:rPr>
        <w:t>有权立即单方面终止合同并追究相应损失，</w:t>
      </w:r>
      <w:r>
        <w:rPr>
          <w:rFonts w:hint="eastAsia" w:ascii="仿宋" w:hAnsi="仿宋" w:eastAsia="仿宋" w:cs="仿宋"/>
          <w:b w:val="0"/>
          <w:bCs/>
          <w:color w:val="000000"/>
          <w:sz w:val="24"/>
          <w:szCs w:val="24"/>
          <w:highlight w:val="none"/>
          <w:lang w:val="en-US" w:eastAsia="zh-CN"/>
        </w:rPr>
        <w:t>且履约保证金不退还</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服务质量考核表详见附件2。</w:t>
      </w:r>
    </w:p>
    <w:p w14:paraId="6FA219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w:t>
      </w:r>
      <w:r>
        <w:rPr>
          <w:rFonts w:hint="eastAsia" w:ascii="仿宋" w:hAnsi="仿宋" w:eastAsia="仿宋" w:cs="仿宋"/>
          <w:b w:val="0"/>
          <w:bCs/>
          <w:color w:val="000000"/>
          <w:sz w:val="24"/>
          <w:szCs w:val="24"/>
          <w:highlight w:val="none"/>
          <w:lang w:val="en-US" w:eastAsia="zh-CN"/>
        </w:rPr>
        <w:t>履约保证金</w:t>
      </w:r>
    </w:p>
    <w:p w14:paraId="0B0F88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乙方自合同生效之日起5个工作日内向甲方缴纳合同总价5%的履约保证金。履约保证金用于补偿甲方因乙方不履行合同义务/不妥善履行合同义务而蒙受的损失，如无乙方不履行或不妥善履行本合同义务情形，甲方于合同期满后一个月内将履约保证金无息退还给乙方。</w:t>
      </w:r>
    </w:p>
    <w:p w14:paraId="70DAFC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乙方有违约情形的，甲方有权从履约保证金中扣除相应违约金/损失赔偿款项，履约保证金如不足以支付违约赔偿的，由乙方另行承担赔偿责任。如因乙方的违约行为导致提前终止本合同的，甲方除有权依据本合同约定追究乙方的违约责任外，不予退回履约保证金。</w:t>
      </w:r>
    </w:p>
    <w:p w14:paraId="17F1BF9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、结算方式</w:t>
      </w:r>
    </w:p>
    <w:p w14:paraId="7808CD5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rPr>
      </w:pPr>
      <w:r>
        <w:rPr>
          <w:rFonts w:hint="eastAsia" w:ascii="仿宋" w:hAnsi="仿宋" w:eastAsia="仿宋" w:cs="仿宋"/>
          <w:b w:val="0"/>
          <w:bCs/>
          <w:color w:val="000000"/>
          <w:sz w:val="24"/>
          <w:szCs w:val="24"/>
          <w:highlight w:val="none"/>
          <w:lang w:val="en-US" w:eastAsia="zh-CN"/>
        </w:rPr>
        <w:t>按月支付。乙方于次月月初向甲方提交上月服务质量考核凭证等结算资料，经甲方审核确认后，乙方根据核定金额开具发票。如服务质量考核结果为优秀或良好的，费用将按月服务费的100%支付；如服务质量考核结果为合格的，费用将按月服务费的80%支付；如服务质量考核结果为不合格的，费用将按月服务费的50%支付。甲方在收到乙方的正规发票后20个工作日内支付合同款项。</w:t>
      </w:r>
    </w:p>
    <w:p w14:paraId="1EC54D3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八、违约责任</w:t>
      </w:r>
    </w:p>
    <w:p w14:paraId="7D91265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 未经甲方书面允许，乙方不得私自将本合同中委托的项目进行转包或分包，一旦出现该情况则视为乙方严重违约，甲方有权立即终止合同，且乙方应为甲方的所有损失负责并退还所有甲方已支付给乙方的款项，履约保证金不退还；</w:t>
      </w:r>
    </w:p>
    <w:p w14:paraId="17191F5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 如合同期内累计3次服务质量考核结果为不合格的，甲方有权终止合同，且履约保证金不退还；</w:t>
      </w:r>
    </w:p>
    <w:p w14:paraId="329BD16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3.如因乙方管理不善、违反转运规程、安全生产制度而造成不良后果，由乙方承担全部法律及经济责任，且甲方有权立即终止合同，履约保证金不退还；</w:t>
      </w:r>
    </w:p>
    <w:p w14:paraId="2E41ADF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 因不可抗力所造成的损失，双方互不追究违约责任，如任何一方因不可抗力无法继续履行合同的，应及时通知对方，本合同自动终止；</w:t>
      </w:r>
    </w:p>
    <w:p w14:paraId="1FFB3F1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 乙方为甲方提供服务期间，因乙方或乙方员工原因造成甲方或任何第三方人身、财产遭受损失的，全部责任与费用均由乙方承担；</w:t>
      </w:r>
    </w:p>
    <w:p w14:paraId="1799C8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6．其它违约责任按合同其他条款约定及《中华人民共和国民法典》规定处理。</w:t>
      </w:r>
    </w:p>
    <w:p w14:paraId="4151B69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、不可抗力</w:t>
      </w:r>
    </w:p>
    <w:p w14:paraId="6D3C9E5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14:paraId="10AC407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14:paraId="10CE9CE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十、争议的解决方式</w:t>
      </w:r>
    </w:p>
    <w:p w14:paraId="2C43A4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26F5EB8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、其它约定事项</w:t>
      </w:r>
    </w:p>
    <w:p w14:paraId="5C26D22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358CF45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w:t>
      </w:r>
    </w:p>
    <w:p w14:paraId="7C2C289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586CD84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6C8BF91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附件1：车载设备需求配置表</w:t>
      </w:r>
    </w:p>
    <w:p w14:paraId="23C35C5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附件2：非120急救医疗转运服务质量考核表</w:t>
      </w:r>
    </w:p>
    <w:p w14:paraId="3B8F714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784AC109">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甲方：中山大学附属仁济医院               乙方: </w:t>
      </w:r>
    </w:p>
    <w:p w14:paraId="76341427">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                                   地址：   </w:t>
      </w:r>
    </w:p>
    <w:p w14:paraId="4F030EBD">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2CCB7DF3">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74EA1259">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79E5118C">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1C054F2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附件1：</w:t>
      </w:r>
    </w:p>
    <w:p w14:paraId="4BBCE1C1">
      <w:pPr>
        <w:pStyle w:val="24"/>
        <w:rPr>
          <w:rFonts w:hint="eastAsia" w:ascii="仿宋" w:hAnsi="仿宋" w:eastAsia="仿宋" w:cs="仿宋"/>
          <w:b w:val="0"/>
          <w:bCs/>
          <w:color w:val="000000"/>
          <w:kern w:val="2"/>
          <w:sz w:val="24"/>
          <w:szCs w:val="24"/>
          <w:highlight w:val="none"/>
          <w:lang w:val="en-US" w:eastAsia="zh-CN" w:bidi="ar-SA"/>
        </w:rPr>
      </w:pPr>
    </w:p>
    <w:p w14:paraId="5B531384">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车载设备需求配置表</w:t>
      </w:r>
    </w:p>
    <w:tbl>
      <w:tblPr>
        <w:tblStyle w:val="25"/>
        <w:tblW w:w="6658" w:type="dxa"/>
        <w:jc w:val="center"/>
        <w:tblLayout w:type="fixed"/>
        <w:tblCellMar>
          <w:top w:w="0" w:type="dxa"/>
          <w:left w:w="108" w:type="dxa"/>
          <w:bottom w:w="0" w:type="dxa"/>
          <w:right w:w="108" w:type="dxa"/>
        </w:tblCellMar>
      </w:tblPr>
      <w:tblGrid>
        <w:gridCol w:w="5002"/>
        <w:gridCol w:w="854"/>
        <w:gridCol w:w="802"/>
      </w:tblGrid>
      <w:tr w14:paraId="55631504">
        <w:tblPrEx>
          <w:tblCellMar>
            <w:top w:w="0" w:type="dxa"/>
            <w:left w:w="108" w:type="dxa"/>
            <w:bottom w:w="0" w:type="dxa"/>
            <w:right w:w="108" w:type="dxa"/>
          </w:tblCellMar>
        </w:tblPrEx>
        <w:trPr>
          <w:jc w:val="center"/>
        </w:trPr>
        <w:tc>
          <w:tcPr>
            <w:tcW w:w="5002" w:type="dxa"/>
            <w:tcBorders>
              <w:top w:val="single" w:color="auto" w:sz="4" w:space="0"/>
              <w:left w:val="single" w:color="auto" w:sz="4" w:space="0"/>
              <w:bottom w:val="single" w:color="auto" w:sz="4" w:space="0"/>
              <w:right w:val="single" w:color="auto" w:sz="4" w:space="0"/>
            </w:tcBorders>
            <w:vAlign w:val="center"/>
          </w:tcPr>
          <w:p w14:paraId="5451A23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物品器械名称</w:t>
            </w:r>
          </w:p>
        </w:tc>
        <w:tc>
          <w:tcPr>
            <w:tcW w:w="854" w:type="dxa"/>
            <w:tcBorders>
              <w:top w:val="single" w:color="auto" w:sz="4" w:space="0"/>
              <w:left w:val="nil"/>
              <w:bottom w:val="single" w:color="auto" w:sz="4" w:space="0"/>
              <w:right w:val="single" w:color="auto" w:sz="4" w:space="0"/>
            </w:tcBorders>
            <w:vAlign w:val="center"/>
          </w:tcPr>
          <w:p w14:paraId="4B1B671D">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802" w:type="dxa"/>
            <w:tcBorders>
              <w:top w:val="single" w:color="auto" w:sz="4" w:space="0"/>
              <w:left w:val="nil"/>
              <w:bottom w:val="single" w:color="auto" w:sz="4" w:space="0"/>
              <w:right w:val="single" w:color="auto" w:sz="4" w:space="0"/>
            </w:tcBorders>
            <w:vAlign w:val="center"/>
          </w:tcPr>
          <w:p w14:paraId="593FD9DD">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14:paraId="2B3F3DC8">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7FBC10D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转运担架床</w:t>
            </w:r>
          </w:p>
        </w:tc>
        <w:tc>
          <w:tcPr>
            <w:tcW w:w="854" w:type="dxa"/>
            <w:tcBorders>
              <w:top w:val="nil"/>
              <w:left w:val="nil"/>
              <w:bottom w:val="single" w:color="auto" w:sz="4" w:space="0"/>
              <w:right w:val="single" w:color="auto" w:sz="4" w:space="0"/>
            </w:tcBorders>
            <w:vAlign w:val="center"/>
          </w:tcPr>
          <w:p w14:paraId="7F1247D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53A3FE3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1D6AC821">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37108DE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铲式担架</w:t>
            </w:r>
          </w:p>
        </w:tc>
        <w:tc>
          <w:tcPr>
            <w:tcW w:w="854" w:type="dxa"/>
            <w:tcBorders>
              <w:top w:val="nil"/>
              <w:left w:val="nil"/>
              <w:bottom w:val="single" w:color="auto" w:sz="4" w:space="0"/>
              <w:right w:val="single" w:color="auto" w:sz="4" w:space="0"/>
            </w:tcBorders>
            <w:vAlign w:val="center"/>
          </w:tcPr>
          <w:p w14:paraId="29D29862">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1066CE5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69E70129">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247EDCAF">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楼梯担架</w:t>
            </w:r>
          </w:p>
        </w:tc>
        <w:tc>
          <w:tcPr>
            <w:tcW w:w="854" w:type="dxa"/>
            <w:tcBorders>
              <w:top w:val="nil"/>
              <w:left w:val="nil"/>
              <w:bottom w:val="single" w:color="auto" w:sz="4" w:space="0"/>
              <w:right w:val="single" w:color="auto" w:sz="4" w:space="0"/>
            </w:tcBorders>
            <w:vAlign w:val="center"/>
          </w:tcPr>
          <w:p w14:paraId="5A2F53F2">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01D5E62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55E1A36A">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278589F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lang w:val="zh-CN"/>
              </w:rPr>
            </w:pPr>
            <w:r>
              <w:rPr>
                <w:rFonts w:hint="eastAsia" w:ascii="仿宋" w:hAnsi="仿宋" w:eastAsia="仿宋" w:cs="仿宋"/>
                <w:b w:val="0"/>
                <w:bCs w:val="0"/>
                <w:kern w:val="0"/>
                <w:sz w:val="22"/>
                <w:szCs w:val="22"/>
              </w:rPr>
              <w:t>2升氧气瓶（带流量计）（配合转运呼吸机使用）</w:t>
            </w:r>
          </w:p>
        </w:tc>
        <w:tc>
          <w:tcPr>
            <w:tcW w:w="854" w:type="dxa"/>
            <w:tcBorders>
              <w:top w:val="nil"/>
              <w:left w:val="nil"/>
              <w:bottom w:val="single" w:color="auto" w:sz="4" w:space="0"/>
              <w:right w:val="single" w:color="auto" w:sz="4" w:space="0"/>
            </w:tcBorders>
            <w:vAlign w:val="center"/>
          </w:tcPr>
          <w:p w14:paraId="58F3CC2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瓶</w:t>
            </w:r>
          </w:p>
        </w:tc>
        <w:tc>
          <w:tcPr>
            <w:tcW w:w="802" w:type="dxa"/>
            <w:tcBorders>
              <w:top w:val="nil"/>
              <w:left w:val="nil"/>
              <w:bottom w:val="single" w:color="auto" w:sz="4" w:space="0"/>
              <w:right w:val="single" w:color="auto" w:sz="4" w:space="0"/>
            </w:tcBorders>
            <w:vAlign w:val="center"/>
          </w:tcPr>
          <w:p w14:paraId="66427F8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56A5CFFA">
        <w:tblPrEx>
          <w:tblCellMar>
            <w:top w:w="0" w:type="dxa"/>
            <w:left w:w="108" w:type="dxa"/>
            <w:bottom w:w="0" w:type="dxa"/>
            <w:right w:w="108" w:type="dxa"/>
          </w:tblCellMar>
        </w:tblPrEx>
        <w:trPr>
          <w:jc w:val="center"/>
        </w:trPr>
        <w:tc>
          <w:tcPr>
            <w:tcW w:w="6658" w:type="dxa"/>
            <w:gridSpan w:val="3"/>
            <w:tcBorders>
              <w:top w:val="nil"/>
              <w:left w:val="single" w:color="auto" w:sz="4" w:space="0"/>
              <w:bottom w:val="single" w:color="auto" w:sz="4" w:space="0"/>
              <w:right w:val="single" w:color="auto" w:sz="4" w:space="0"/>
            </w:tcBorders>
            <w:vAlign w:val="center"/>
          </w:tcPr>
          <w:p w14:paraId="7ED1D6BC">
            <w:pPr>
              <w:keepNext w:val="0"/>
              <w:keepLines w:val="0"/>
              <w:widowControl/>
              <w:suppressLineNumbers w:val="0"/>
              <w:spacing w:before="0" w:beforeAutospacing="0" w:after="0" w:afterAutospacing="0"/>
              <w:ind w:left="0" w:right="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备注:用后及时补充，保持规定的基数。</w:t>
            </w:r>
          </w:p>
        </w:tc>
      </w:tr>
    </w:tbl>
    <w:p w14:paraId="60D8434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0E125B1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附件2：</w:t>
      </w:r>
    </w:p>
    <w:p w14:paraId="50F9EFEA">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非120急救医疗转运服务质量考核表</w:t>
      </w:r>
    </w:p>
    <w:tbl>
      <w:tblPr>
        <w:tblStyle w:val="25"/>
        <w:tblW w:w="8250" w:type="dxa"/>
        <w:jc w:val="center"/>
        <w:tblLayout w:type="fixed"/>
        <w:tblCellMar>
          <w:top w:w="0" w:type="dxa"/>
          <w:left w:w="108" w:type="dxa"/>
          <w:bottom w:w="0" w:type="dxa"/>
          <w:right w:w="108" w:type="dxa"/>
        </w:tblCellMar>
      </w:tblPr>
      <w:tblGrid>
        <w:gridCol w:w="709"/>
        <w:gridCol w:w="5969"/>
        <w:gridCol w:w="743"/>
        <w:gridCol w:w="829"/>
      </w:tblGrid>
      <w:tr w14:paraId="742E13E4">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tcPr>
          <w:p w14:paraId="64E1D717">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5969" w:type="dxa"/>
            <w:tcBorders>
              <w:top w:val="single" w:color="auto" w:sz="4" w:space="0"/>
              <w:left w:val="single" w:color="auto" w:sz="4" w:space="0"/>
              <w:bottom w:val="single" w:color="auto" w:sz="4" w:space="0"/>
              <w:right w:val="single" w:color="auto" w:sz="4" w:space="0"/>
            </w:tcBorders>
            <w:vAlign w:val="center"/>
          </w:tcPr>
          <w:p w14:paraId="59400D1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服务评价项目</w:t>
            </w:r>
          </w:p>
        </w:tc>
        <w:tc>
          <w:tcPr>
            <w:tcW w:w="743" w:type="dxa"/>
            <w:tcBorders>
              <w:top w:val="single" w:color="auto" w:sz="4" w:space="0"/>
              <w:left w:val="nil"/>
              <w:bottom w:val="single" w:color="auto" w:sz="4" w:space="0"/>
              <w:right w:val="single" w:color="auto" w:sz="4" w:space="0"/>
            </w:tcBorders>
            <w:vAlign w:val="center"/>
          </w:tcPr>
          <w:p w14:paraId="14625A9A">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分值</w:t>
            </w:r>
          </w:p>
        </w:tc>
        <w:tc>
          <w:tcPr>
            <w:tcW w:w="829" w:type="dxa"/>
            <w:tcBorders>
              <w:top w:val="single" w:color="auto" w:sz="4" w:space="0"/>
              <w:left w:val="nil"/>
              <w:bottom w:val="single" w:color="auto" w:sz="4" w:space="0"/>
              <w:right w:val="single" w:color="auto" w:sz="4" w:space="0"/>
            </w:tcBorders>
            <w:vAlign w:val="center"/>
          </w:tcPr>
          <w:p w14:paraId="04545B5B">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得分</w:t>
            </w:r>
          </w:p>
        </w:tc>
      </w:tr>
      <w:tr w14:paraId="6128803F">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7708C9A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0A91BF5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w:t>
            </w:r>
          </w:p>
        </w:tc>
        <w:tc>
          <w:tcPr>
            <w:tcW w:w="5969" w:type="dxa"/>
            <w:tcBorders>
              <w:top w:val="nil"/>
              <w:left w:val="single" w:color="auto" w:sz="4" w:space="0"/>
              <w:bottom w:val="single" w:color="auto" w:sz="4" w:space="0"/>
              <w:right w:val="single" w:color="auto" w:sz="4" w:space="0"/>
            </w:tcBorders>
            <w:vAlign w:val="center"/>
          </w:tcPr>
          <w:p w14:paraId="24D4A059">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救护车是否停放在院内</w:t>
            </w:r>
            <w:r>
              <w:rPr>
                <w:rFonts w:hint="eastAsia" w:ascii="仿宋" w:hAnsi="仿宋" w:eastAsia="仿宋" w:cs="仿宋"/>
                <w:b w:val="0"/>
                <w:bCs w:val="0"/>
                <w:kern w:val="0"/>
                <w:szCs w:val="21"/>
                <w:lang w:eastAsia="zh-CN"/>
              </w:rPr>
              <w:t>的</w:t>
            </w:r>
            <w:r>
              <w:rPr>
                <w:rFonts w:hint="eastAsia" w:ascii="仿宋" w:hAnsi="仿宋" w:eastAsia="仿宋" w:cs="仿宋"/>
                <w:b w:val="0"/>
                <w:bCs w:val="0"/>
                <w:kern w:val="0"/>
                <w:szCs w:val="21"/>
              </w:rPr>
              <w:t>指定区域。</w:t>
            </w:r>
          </w:p>
          <w:p w14:paraId="1558C79C">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评价明细：①救护车不按时停放在院内，每发现一次扣1分；②救护车不按院方指定区域停放，每发现一次扣1分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7128B40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14:paraId="095DB27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850AD5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50FC3628">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0C1E9BF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w:t>
            </w:r>
          </w:p>
        </w:tc>
        <w:tc>
          <w:tcPr>
            <w:tcW w:w="5969" w:type="dxa"/>
            <w:tcBorders>
              <w:top w:val="nil"/>
              <w:left w:val="single" w:color="auto" w:sz="4" w:space="0"/>
              <w:bottom w:val="single" w:color="auto" w:sz="4" w:space="0"/>
              <w:right w:val="single" w:color="auto" w:sz="4" w:space="0"/>
            </w:tcBorders>
            <w:vAlign w:val="center"/>
          </w:tcPr>
          <w:p w14:paraId="100D9CCE">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救护车是否保持完好备用状态。</w:t>
            </w:r>
          </w:p>
          <w:p w14:paraId="2CF98A33">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评价明细：①救护车上设备不齐全，每发现一次扣1分；②救护车上设备处于故障/不可用状态，每发现一次扣1分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14:paraId="363A580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14:paraId="5852EA4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04D6F6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2CA500A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60FD1D1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w:t>
            </w:r>
          </w:p>
        </w:tc>
        <w:tc>
          <w:tcPr>
            <w:tcW w:w="5969" w:type="dxa"/>
            <w:tcBorders>
              <w:top w:val="nil"/>
              <w:left w:val="single" w:color="auto" w:sz="4" w:space="0"/>
              <w:bottom w:val="single" w:color="auto" w:sz="4" w:space="0"/>
              <w:right w:val="single" w:color="auto" w:sz="4" w:space="0"/>
            </w:tcBorders>
            <w:vAlign w:val="center"/>
          </w:tcPr>
          <w:p w14:paraId="740D4039">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救护车是否影响院方工作。</w:t>
            </w:r>
          </w:p>
          <w:p w14:paraId="6C102BE6">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评价明细：①工作时间内，因救护车故障导致无法出车，每发生一次扣5分；②工作时间内，因司机或救护车原因导致轻微或小型交通事故，每发生一次扣5分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4C05497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14:paraId="015885DA">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464F672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4F09C97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5B0FE43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7361F47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4</w:t>
            </w:r>
          </w:p>
        </w:tc>
        <w:tc>
          <w:tcPr>
            <w:tcW w:w="5969" w:type="dxa"/>
            <w:tcBorders>
              <w:top w:val="nil"/>
              <w:left w:val="single" w:color="auto" w:sz="4" w:space="0"/>
              <w:bottom w:val="single" w:color="auto" w:sz="4" w:space="0"/>
              <w:right w:val="single" w:color="auto" w:sz="4" w:space="0"/>
            </w:tcBorders>
            <w:vAlign w:val="center"/>
          </w:tcPr>
          <w:p w14:paraId="0CD743A2">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驻点司机是否形象态度端正。</w:t>
            </w:r>
          </w:p>
          <w:p w14:paraId="5ADCBF28">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工作时间内，驻点司机无正规着装/形象不雅，每发现一次扣1分；②工作时间内，驻点司机与院方工作人员发生激烈争吵，每发现一次扣3分；③工作时间内，驻点司机与院方工作人员发生肢体以上冲突，每发现一次扣10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14:paraId="11362D1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14:paraId="585EF50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65261738">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5ACF649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518E47B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6E66BEB1">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5</w:t>
            </w:r>
          </w:p>
        </w:tc>
        <w:tc>
          <w:tcPr>
            <w:tcW w:w="5969" w:type="dxa"/>
            <w:tcBorders>
              <w:top w:val="nil"/>
              <w:left w:val="single" w:color="auto" w:sz="4" w:space="0"/>
              <w:bottom w:val="single" w:color="auto" w:sz="4" w:space="0"/>
              <w:right w:val="single" w:color="auto" w:sz="4" w:space="0"/>
            </w:tcBorders>
            <w:vAlign w:val="center"/>
          </w:tcPr>
          <w:p w14:paraId="5D97129A">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驻点司机是否服从院方工作安排。</w:t>
            </w:r>
          </w:p>
          <w:p w14:paraId="2FE231C2">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驻点司机无故拒绝出车任务，每发现一次扣10分；②工作时间内，驻点司机态度懒散，延误出车影响工作，造成不良影响，每发现一次扣10分；③驻点司机各种场合散播院方各类工作信息（出车任务、出车数量等），造成不良影响，每发现一次扣10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12CAA48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30</w:t>
            </w:r>
          </w:p>
        </w:tc>
        <w:tc>
          <w:tcPr>
            <w:tcW w:w="829" w:type="dxa"/>
            <w:tcBorders>
              <w:top w:val="nil"/>
              <w:left w:val="nil"/>
              <w:bottom w:val="single" w:color="auto" w:sz="4" w:space="0"/>
              <w:right w:val="single" w:color="auto" w:sz="4" w:space="0"/>
            </w:tcBorders>
            <w:vAlign w:val="center"/>
          </w:tcPr>
          <w:p w14:paraId="05DED19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4545930">
        <w:tblPrEx>
          <w:tblCellMar>
            <w:top w:w="0" w:type="dxa"/>
            <w:left w:w="108" w:type="dxa"/>
            <w:bottom w:w="0" w:type="dxa"/>
            <w:right w:w="108" w:type="dxa"/>
          </w:tblCellMar>
        </w:tblPrEx>
        <w:trPr>
          <w:trHeight w:val="534" w:hRule="atLeast"/>
          <w:jc w:val="center"/>
        </w:trPr>
        <w:tc>
          <w:tcPr>
            <w:tcW w:w="6678" w:type="dxa"/>
            <w:gridSpan w:val="2"/>
            <w:tcBorders>
              <w:top w:val="nil"/>
              <w:left w:val="single" w:color="auto" w:sz="4" w:space="0"/>
              <w:bottom w:val="single" w:color="auto" w:sz="4" w:space="0"/>
              <w:right w:val="single" w:color="auto" w:sz="4" w:space="0"/>
            </w:tcBorders>
          </w:tcPr>
          <w:p w14:paraId="7067746D">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备注：90-100属于优秀，80-89属于良好，60-79属于合格，0-59属于不合格</w:t>
            </w:r>
          </w:p>
        </w:tc>
        <w:tc>
          <w:tcPr>
            <w:tcW w:w="743" w:type="dxa"/>
            <w:tcBorders>
              <w:top w:val="nil"/>
              <w:left w:val="nil"/>
              <w:bottom w:val="single" w:color="auto" w:sz="4" w:space="0"/>
              <w:right w:val="single" w:color="auto" w:sz="4" w:space="0"/>
            </w:tcBorders>
            <w:vAlign w:val="center"/>
          </w:tcPr>
          <w:p w14:paraId="2CE2553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100</w:t>
            </w:r>
          </w:p>
        </w:tc>
        <w:tc>
          <w:tcPr>
            <w:tcW w:w="829" w:type="dxa"/>
            <w:tcBorders>
              <w:top w:val="nil"/>
              <w:left w:val="nil"/>
              <w:bottom w:val="single" w:color="auto" w:sz="4" w:space="0"/>
              <w:right w:val="single" w:color="auto" w:sz="4" w:space="0"/>
            </w:tcBorders>
            <w:vAlign w:val="center"/>
          </w:tcPr>
          <w:p w14:paraId="49D5163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667D6881">
        <w:tblPrEx>
          <w:tblCellMar>
            <w:top w:w="0" w:type="dxa"/>
            <w:left w:w="108" w:type="dxa"/>
            <w:bottom w:w="0" w:type="dxa"/>
            <w:right w:w="108" w:type="dxa"/>
          </w:tblCellMar>
        </w:tblPrEx>
        <w:trPr>
          <w:trHeight w:val="534" w:hRule="atLeast"/>
          <w:jc w:val="center"/>
        </w:trPr>
        <w:tc>
          <w:tcPr>
            <w:tcW w:w="8250" w:type="dxa"/>
            <w:gridSpan w:val="4"/>
            <w:tcBorders>
              <w:top w:val="nil"/>
              <w:left w:val="single" w:color="auto" w:sz="4" w:space="0"/>
              <w:bottom w:val="single" w:color="auto" w:sz="4" w:space="0"/>
              <w:right w:val="single" w:color="auto" w:sz="4" w:space="0"/>
            </w:tcBorders>
          </w:tcPr>
          <w:p w14:paraId="45028808">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经审核确认，</w:t>
            </w: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年</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月</w:t>
            </w:r>
            <w:r>
              <w:rPr>
                <w:rFonts w:hint="eastAsia" w:ascii="仿宋" w:hAnsi="仿宋" w:eastAsia="仿宋" w:cs="仿宋"/>
                <w:b w:val="0"/>
                <w:bCs w:val="0"/>
                <w:kern w:val="0"/>
                <w:szCs w:val="21"/>
              </w:rPr>
              <w:t>服务质量考核评价为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，同意支付月度服务费用</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元。</w:t>
            </w:r>
          </w:p>
          <w:p w14:paraId="1311E990">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p>
          <w:p w14:paraId="1E396824">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证明人：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科室负责人:</w:t>
            </w:r>
            <w:r>
              <w:rPr>
                <w:rFonts w:hint="eastAsia" w:ascii="仿宋" w:hAnsi="仿宋" w:eastAsia="仿宋" w:cs="仿宋"/>
                <w:b w:val="0"/>
                <w:bCs w:val="0"/>
                <w:kern w:val="0"/>
                <w:szCs w:val="21"/>
                <w:u w:val="single"/>
              </w:rPr>
              <w:t xml:space="preserve">            </w:t>
            </w:r>
          </w:p>
        </w:tc>
      </w:tr>
    </w:tbl>
    <w:p w14:paraId="05F160F3">
      <w:pPr>
        <w:rPr>
          <w:rFonts w:hint="eastAsia" w:ascii="微软雅黑" w:hAnsi="微软雅黑" w:eastAsia="微软雅黑" w:cs="微软雅黑"/>
          <w:color w:val="000000"/>
          <w:highlight w:val="none"/>
        </w:rPr>
      </w:pPr>
    </w:p>
    <w:p w14:paraId="48B757DE">
      <w:pPr>
        <w:pStyle w:val="4"/>
        <w:rPr>
          <w:rFonts w:hint="eastAsia" w:ascii="微软雅黑" w:hAnsi="微软雅黑" w:eastAsia="微软雅黑" w:cs="微软雅黑"/>
          <w:color w:val="000000"/>
          <w:highlight w:val="none"/>
        </w:rPr>
      </w:pPr>
    </w:p>
    <w:p w14:paraId="192461B1">
      <w:pPr>
        <w:rPr>
          <w:rFonts w:hint="eastAsia" w:ascii="微软雅黑" w:hAnsi="微软雅黑" w:eastAsia="微软雅黑" w:cs="微软雅黑"/>
          <w:color w:val="000000"/>
          <w:highlight w:val="none"/>
        </w:rPr>
      </w:pPr>
    </w:p>
    <w:p w14:paraId="5DBE9F64">
      <w:pPr>
        <w:rPr>
          <w:rFonts w:hint="eastAsia" w:ascii="微软雅黑" w:hAnsi="微软雅黑" w:eastAsia="微软雅黑" w:cs="微软雅黑"/>
          <w:color w:val="000000"/>
          <w:highlight w:val="none"/>
        </w:rPr>
      </w:pPr>
    </w:p>
    <w:p w14:paraId="203B568C">
      <w:pPr>
        <w:rPr>
          <w:rFonts w:hint="eastAsia"/>
        </w:rPr>
      </w:pPr>
    </w:p>
    <w:p w14:paraId="444975B4">
      <w:pPr>
        <w:rPr>
          <w:rFonts w:hint="eastAsia"/>
        </w:rPr>
      </w:pPr>
    </w:p>
    <w:p w14:paraId="3305D1C7">
      <w:pPr>
        <w:rPr>
          <w:rFonts w:hint="eastAsia"/>
        </w:rPr>
      </w:pPr>
    </w:p>
    <w:p w14:paraId="61198792">
      <w:pPr>
        <w:rPr>
          <w:rFonts w:hint="eastAsia"/>
        </w:rPr>
      </w:pPr>
    </w:p>
    <w:p w14:paraId="205634E4">
      <w:pPr>
        <w:rPr>
          <w:rFonts w:hint="eastAsia"/>
        </w:rPr>
      </w:pPr>
    </w:p>
    <w:p w14:paraId="49AF1AAD">
      <w:pPr>
        <w:rPr>
          <w:rFonts w:hint="eastAsia"/>
        </w:rPr>
      </w:pPr>
    </w:p>
    <w:p w14:paraId="2DC2BE06">
      <w:pPr>
        <w:pStyle w:val="4"/>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CB640E7">
      <w:pPr>
        <w:pStyle w:val="30"/>
        <w:rPr>
          <w:rFonts w:hint="eastAsia"/>
          <w:color w:val="000000"/>
          <w:highlight w:val="none"/>
        </w:rPr>
      </w:pPr>
    </w:p>
    <w:p w14:paraId="415C4B2C">
      <w:pPr>
        <w:pStyle w:val="30"/>
        <w:rPr>
          <w:rFonts w:hint="eastAsia"/>
          <w:color w:val="000000"/>
          <w:highlight w:val="none"/>
        </w:rPr>
      </w:pPr>
    </w:p>
    <w:p w14:paraId="6578C338">
      <w:pPr>
        <w:pStyle w:val="30"/>
        <w:rPr>
          <w:rFonts w:hint="eastAsia"/>
          <w:color w:val="000000"/>
          <w:highlight w:val="none"/>
        </w:rPr>
      </w:pPr>
    </w:p>
    <w:p w14:paraId="04A25E76">
      <w:pPr>
        <w:pStyle w:val="3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556AA4BB">
      <w:pPr>
        <w:pStyle w:val="30"/>
        <w:rPr>
          <w:rFonts w:hint="eastAsia"/>
          <w:color w:val="FF0000"/>
          <w:highlight w:val="none"/>
        </w:rPr>
      </w:pPr>
    </w:p>
    <w:p w14:paraId="2A6D30A5">
      <w:pPr>
        <w:pStyle w:val="30"/>
        <w:rPr>
          <w:rFonts w:hint="eastAsia"/>
          <w:color w:val="000000"/>
          <w:highlight w:val="none"/>
        </w:rPr>
      </w:pPr>
    </w:p>
    <w:p w14:paraId="338F8648">
      <w:pPr>
        <w:pStyle w:val="30"/>
        <w:rPr>
          <w:rFonts w:hint="eastAsia"/>
          <w:color w:val="000000"/>
          <w:highlight w:val="none"/>
        </w:rPr>
      </w:pPr>
    </w:p>
    <w:p w14:paraId="009DBEEE">
      <w:pPr>
        <w:pStyle w:val="30"/>
        <w:rPr>
          <w:rFonts w:hint="eastAsia"/>
          <w:color w:val="000000"/>
          <w:highlight w:val="none"/>
        </w:rPr>
      </w:pPr>
    </w:p>
    <w:p w14:paraId="2E5AB3A2">
      <w:pPr>
        <w:pStyle w:val="30"/>
        <w:rPr>
          <w:rFonts w:hint="eastAsia"/>
          <w:color w:val="000000"/>
          <w:highlight w:val="none"/>
        </w:rPr>
      </w:pPr>
    </w:p>
    <w:p w14:paraId="784A839B">
      <w:pPr>
        <w:pStyle w:val="30"/>
        <w:rPr>
          <w:rFonts w:hint="eastAsia"/>
          <w:color w:val="000000"/>
          <w:highlight w:val="none"/>
        </w:rPr>
      </w:pPr>
    </w:p>
    <w:p w14:paraId="66AE6B3B">
      <w:pPr>
        <w:pStyle w:val="30"/>
        <w:rPr>
          <w:rFonts w:hint="eastAsia"/>
          <w:color w:val="000000"/>
          <w:highlight w:val="none"/>
        </w:rPr>
      </w:pPr>
    </w:p>
    <w:p w14:paraId="09F24D49">
      <w:pPr>
        <w:pStyle w:val="30"/>
        <w:rPr>
          <w:rFonts w:hint="eastAsia"/>
          <w:color w:val="000000"/>
          <w:highlight w:val="none"/>
        </w:rPr>
      </w:pPr>
    </w:p>
    <w:p w14:paraId="728E76DB">
      <w:pPr>
        <w:pStyle w:val="30"/>
        <w:rPr>
          <w:rFonts w:hint="eastAsia"/>
          <w:color w:val="000000"/>
          <w:highlight w:val="none"/>
        </w:rPr>
      </w:pPr>
    </w:p>
    <w:p w14:paraId="2E4CE761">
      <w:pPr>
        <w:pStyle w:val="30"/>
        <w:rPr>
          <w:rFonts w:hint="eastAsia"/>
          <w:color w:val="000000"/>
          <w:highlight w:val="none"/>
        </w:rPr>
      </w:pPr>
    </w:p>
    <w:p w14:paraId="7DF3A52C">
      <w:pPr>
        <w:pStyle w:val="30"/>
        <w:rPr>
          <w:rFonts w:hint="eastAsia"/>
          <w:color w:val="000000"/>
          <w:highlight w:val="none"/>
        </w:rPr>
      </w:pPr>
    </w:p>
    <w:p w14:paraId="63A1F1E3">
      <w:pPr>
        <w:pStyle w:val="30"/>
        <w:rPr>
          <w:rFonts w:hint="eastAsia"/>
          <w:color w:val="000000"/>
          <w:highlight w:val="none"/>
        </w:rPr>
      </w:pPr>
    </w:p>
    <w:p w14:paraId="7E245D88">
      <w:pPr>
        <w:pStyle w:val="30"/>
        <w:rPr>
          <w:rFonts w:hint="eastAsia"/>
          <w:color w:val="000000"/>
          <w:highlight w:val="none"/>
        </w:rPr>
      </w:pPr>
    </w:p>
    <w:p w14:paraId="7525BD9F">
      <w:pPr>
        <w:pStyle w:val="30"/>
        <w:rPr>
          <w:rFonts w:hint="eastAsia"/>
          <w:color w:val="000000"/>
          <w:highlight w:val="none"/>
        </w:rPr>
      </w:pPr>
    </w:p>
    <w:p w14:paraId="71AA9098">
      <w:pPr>
        <w:pStyle w:val="30"/>
        <w:rPr>
          <w:rFonts w:hint="eastAsia"/>
          <w:color w:val="000000"/>
          <w:highlight w:val="none"/>
        </w:rPr>
      </w:pPr>
    </w:p>
    <w:p w14:paraId="2CA06E4F">
      <w:pPr>
        <w:pStyle w:val="30"/>
        <w:rPr>
          <w:rFonts w:hint="eastAsia"/>
          <w:color w:val="000000"/>
          <w:highlight w:val="none"/>
        </w:rPr>
      </w:pPr>
    </w:p>
    <w:p w14:paraId="7EDBBF3E">
      <w:pPr>
        <w:pStyle w:val="30"/>
        <w:rPr>
          <w:rFonts w:hint="eastAsia"/>
          <w:color w:val="000000"/>
          <w:highlight w:val="none"/>
        </w:rPr>
      </w:pPr>
    </w:p>
    <w:p w14:paraId="510F92EF">
      <w:pPr>
        <w:pStyle w:val="30"/>
        <w:rPr>
          <w:rFonts w:hint="eastAsia"/>
          <w:color w:val="000000"/>
          <w:highlight w:val="none"/>
        </w:rPr>
      </w:pPr>
    </w:p>
    <w:p w14:paraId="4FF379D8">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3237618B">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24E7E8A6">
      <w:pPr>
        <w:pStyle w:val="30"/>
        <w:numPr>
          <w:ilvl w:val="0"/>
          <w:numId w:val="17"/>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0ABFEA2E">
      <w:pPr>
        <w:pStyle w:val="30"/>
        <w:numPr>
          <w:ilvl w:val="0"/>
          <w:numId w:val="17"/>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1873AFF8">
      <w:pPr>
        <w:pStyle w:val="30"/>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499EABD5">
      <w:pPr>
        <w:pStyle w:val="30"/>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1789DBB">
      <w:pPr>
        <w:pStyle w:val="30"/>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2ECFB872">
      <w:pPr>
        <w:pStyle w:val="30"/>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5EA5A22D">
      <w:pPr>
        <w:pStyle w:val="30"/>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91DE4BB">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B9311">
      <w:pPr>
        <w:pStyle w:val="30"/>
        <w:rPr>
          <w:rFonts w:hint="eastAsia" w:ascii="宋体" w:hAnsi="宋体" w:cs="宋体"/>
          <w:color w:val="000000"/>
          <w:sz w:val="32"/>
          <w:szCs w:val="32"/>
          <w:highlight w:val="none"/>
        </w:rPr>
      </w:pPr>
    </w:p>
    <w:p w14:paraId="372983FD">
      <w:pPr>
        <w:pStyle w:val="30"/>
        <w:rPr>
          <w:rFonts w:hint="eastAsia" w:ascii="宋体" w:hAnsi="宋体" w:cs="宋体"/>
          <w:color w:val="000000"/>
          <w:sz w:val="32"/>
          <w:szCs w:val="32"/>
          <w:highlight w:val="none"/>
        </w:rPr>
      </w:pPr>
    </w:p>
    <w:p w14:paraId="3678644F">
      <w:pPr>
        <w:pStyle w:val="30"/>
        <w:rPr>
          <w:rFonts w:hint="eastAsia" w:ascii="宋体" w:hAnsi="宋体" w:cs="宋体"/>
          <w:color w:val="000000"/>
          <w:sz w:val="32"/>
          <w:szCs w:val="32"/>
          <w:highlight w:val="none"/>
        </w:rPr>
      </w:pPr>
    </w:p>
    <w:p w14:paraId="503C2951">
      <w:pPr>
        <w:rPr>
          <w:rFonts w:hint="eastAsia" w:ascii="宋体" w:hAnsi="宋体" w:cs="宋体"/>
          <w:color w:val="000000"/>
          <w:sz w:val="32"/>
          <w:szCs w:val="32"/>
          <w:highlight w:val="none"/>
        </w:rPr>
      </w:pPr>
    </w:p>
    <w:p w14:paraId="4BA3578E">
      <w:pPr>
        <w:pStyle w:val="4"/>
        <w:rPr>
          <w:rFonts w:hint="eastAsia"/>
        </w:rPr>
      </w:pPr>
    </w:p>
    <w:p w14:paraId="3EA66BDB">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中山大学附属仁济医院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5699D750">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620A40F">
      <w:pPr>
        <w:pStyle w:val="15"/>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7A1F5F0">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2E18B25">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D8FF91">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1B3F04">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964BDBF">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BA60807">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15"/>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9C55E12">
      <w:pPr>
        <w:pStyle w:val="5"/>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5628C07">
      <w:pPr>
        <w:keepNext w:val="0"/>
        <w:keepLines w:val="0"/>
        <w:widowControl/>
        <w:suppressLineNumbers w:val="0"/>
        <w:jc w:val="left"/>
        <w:rPr>
          <w:rFonts w:hint="eastAsia" w:ascii="仿宋" w:hAnsi="仿宋" w:eastAsia="仿宋" w:cs="仿宋"/>
          <w:color w:val="000000"/>
          <w:sz w:val="24"/>
          <w:szCs w:val="24"/>
          <w:highlight w:val="none"/>
        </w:rPr>
      </w:pPr>
    </w:p>
    <w:p w14:paraId="10763E57">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58E31D8D">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4F27E05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656296E9">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5A5537D">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00CEEC9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EF9ACBE">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405EA2A8">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6BFC678">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CB86BC8">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5645888">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07CCAD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28CF66CF">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340DF5DB">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27DCA938">
      <w:pPr>
        <w:shd w:val="clear" w:color="auto" w:fill="FFFFFF"/>
        <w:spacing w:line="360" w:lineRule="auto"/>
        <w:rPr>
          <w:rFonts w:hint="eastAsia" w:ascii="仿宋" w:hAnsi="仿宋" w:eastAsia="仿宋" w:cs="仿宋"/>
          <w:color w:val="000000"/>
          <w:sz w:val="24"/>
          <w:szCs w:val="36"/>
          <w:highlight w:val="none"/>
        </w:rPr>
      </w:pPr>
    </w:p>
    <w:p w14:paraId="47F0DEE2">
      <w:pPr>
        <w:pStyle w:val="30"/>
        <w:rPr>
          <w:rFonts w:hint="eastAsia" w:ascii="仿宋" w:hAnsi="仿宋" w:eastAsia="仿宋" w:cs="仿宋"/>
          <w:color w:val="000000"/>
          <w:highlight w:val="none"/>
        </w:rPr>
      </w:pPr>
    </w:p>
    <w:p w14:paraId="25D19A98">
      <w:pPr>
        <w:pStyle w:val="30"/>
        <w:ind w:left="0" w:leftChars="0" w:firstLine="0" w:firstLineChars="0"/>
        <w:rPr>
          <w:rFonts w:hint="eastAsia" w:ascii="仿宋" w:hAnsi="仿宋" w:eastAsia="仿宋" w:cs="仿宋"/>
          <w:color w:val="000000"/>
          <w:sz w:val="24"/>
          <w:szCs w:val="24"/>
          <w:highlight w:val="none"/>
        </w:rPr>
      </w:pPr>
    </w:p>
    <w:p w14:paraId="62C32D41">
      <w:pPr>
        <w:pStyle w:val="30"/>
        <w:ind w:left="0" w:leftChars="0" w:firstLine="0" w:firstLineChars="0"/>
        <w:rPr>
          <w:rFonts w:hint="eastAsia" w:ascii="仿宋" w:hAnsi="仿宋" w:eastAsia="仿宋" w:cs="仿宋"/>
          <w:color w:val="000000"/>
          <w:sz w:val="24"/>
          <w:szCs w:val="24"/>
          <w:highlight w:val="none"/>
        </w:rPr>
      </w:pPr>
    </w:p>
    <w:p w14:paraId="775CADAE">
      <w:pPr>
        <w:pStyle w:val="30"/>
        <w:ind w:firstLine="400"/>
        <w:rPr>
          <w:rFonts w:hint="eastAsia" w:ascii="仿宋" w:hAnsi="仿宋" w:eastAsia="仿宋" w:cs="仿宋"/>
          <w:color w:val="000000"/>
          <w:sz w:val="24"/>
          <w:szCs w:val="24"/>
          <w:highlight w:val="none"/>
        </w:rPr>
      </w:pPr>
    </w:p>
    <w:p w14:paraId="12BC972F">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969E5AB">
      <w:pPr>
        <w:pStyle w:val="30"/>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66A5DCF6">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0FAA25D3">
      <w:pPr>
        <w:pStyle w:val="20"/>
        <w:spacing w:line="360" w:lineRule="auto"/>
        <w:rPr>
          <w:rFonts w:hint="eastAsia" w:ascii="仿宋" w:hAnsi="仿宋" w:eastAsia="仿宋" w:cs="仿宋"/>
          <w:color w:val="000000"/>
          <w:sz w:val="24"/>
          <w:szCs w:val="24"/>
          <w:highlight w:val="none"/>
        </w:rPr>
      </w:pPr>
    </w:p>
    <w:p w14:paraId="5AFD2CD1">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CFD4F7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CA229B1">
      <w:pPr>
        <w:pStyle w:val="5"/>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2FA94B4">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5"/>
        <w:tblW w:w="0" w:type="auto"/>
        <w:jc w:val="center"/>
        <w:tblLayout w:type="autofit"/>
        <w:tblCellMar>
          <w:top w:w="0" w:type="dxa"/>
          <w:left w:w="108" w:type="dxa"/>
          <w:bottom w:w="0" w:type="dxa"/>
          <w:right w:w="108" w:type="dxa"/>
        </w:tblCellMar>
      </w:tblPr>
      <w:tblGrid>
        <w:gridCol w:w="1560"/>
        <w:gridCol w:w="2593"/>
        <w:gridCol w:w="1517"/>
        <w:gridCol w:w="2945"/>
      </w:tblGrid>
      <w:tr w14:paraId="3CC1B225">
        <w:tblPrEx>
          <w:tblCellMar>
            <w:top w:w="0" w:type="dxa"/>
            <w:left w:w="108" w:type="dxa"/>
            <w:bottom w:w="0" w:type="dxa"/>
            <w:right w:w="108" w:type="dxa"/>
          </w:tblCellMar>
        </w:tblPrEx>
        <w:trPr>
          <w:jc w:val="center"/>
        </w:trPr>
        <w:tc>
          <w:tcPr>
            <w:tcW w:w="1560" w:type="dxa"/>
            <w:vAlign w:val="bottom"/>
          </w:tcPr>
          <w:p w14:paraId="54F481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4EAA621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中山大学附属仁济医院非120急救医疗转运服务项目</w:t>
            </w:r>
          </w:p>
        </w:tc>
      </w:tr>
      <w:tr w14:paraId="3C50FC13">
        <w:tblPrEx>
          <w:tblCellMar>
            <w:top w:w="0" w:type="dxa"/>
            <w:left w:w="108" w:type="dxa"/>
            <w:bottom w:w="0" w:type="dxa"/>
            <w:right w:w="108" w:type="dxa"/>
          </w:tblCellMar>
        </w:tblPrEx>
        <w:trPr>
          <w:jc w:val="center"/>
        </w:trPr>
        <w:tc>
          <w:tcPr>
            <w:tcW w:w="1560" w:type="dxa"/>
            <w:vAlign w:val="bottom"/>
          </w:tcPr>
          <w:p w14:paraId="3D5D1F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CFFDB0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4993ECE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11D0CBA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2C2D37C4">
        <w:tblPrEx>
          <w:tblCellMar>
            <w:top w:w="0" w:type="dxa"/>
            <w:left w:w="108" w:type="dxa"/>
            <w:bottom w:w="0" w:type="dxa"/>
            <w:right w:w="108" w:type="dxa"/>
          </w:tblCellMar>
        </w:tblPrEx>
        <w:trPr>
          <w:jc w:val="center"/>
        </w:trPr>
        <w:tc>
          <w:tcPr>
            <w:tcW w:w="1560" w:type="dxa"/>
            <w:vAlign w:val="bottom"/>
          </w:tcPr>
          <w:p w14:paraId="09D2C8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778A06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0D184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3F9D60C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BE90EC">
      <w:pPr>
        <w:rPr>
          <w:highlight w:val="none"/>
        </w:rPr>
      </w:pPr>
    </w:p>
    <w:p w14:paraId="35DB7BCC">
      <w:pPr>
        <w:pStyle w:val="2"/>
      </w:pPr>
    </w:p>
    <w:tbl>
      <w:tblPr>
        <w:tblStyle w:val="25"/>
        <w:tblW w:w="4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1565"/>
        <w:gridCol w:w="2074"/>
        <w:gridCol w:w="2074"/>
      </w:tblGrid>
      <w:tr w14:paraId="0DEC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62" w:type="pct"/>
            <w:tcBorders>
              <w:top w:val="single" w:color="auto" w:sz="4" w:space="0"/>
              <w:left w:val="single" w:color="auto" w:sz="4" w:space="0"/>
              <w:bottom w:val="single" w:color="auto" w:sz="4" w:space="0"/>
              <w:right w:val="single" w:color="auto" w:sz="4" w:space="0"/>
            </w:tcBorders>
            <w:vAlign w:val="center"/>
          </w:tcPr>
          <w:p w14:paraId="68AB1517">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969" w:type="pct"/>
            <w:tcBorders>
              <w:top w:val="single" w:color="auto" w:sz="4" w:space="0"/>
              <w:left w:val="nil"/>
              <w:bottom w:val="single" w:color="auto" w:sz="4" w:space="0"/>
              <w:right w:val="single" w:color="auto" w:sz="4" w:space="0"/>
            </w:tcBorders>
            <w:vAlign w:val="center"/>
          </w:tcPr>
          <w:p w14:paraId="1362195D">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服务期限</w:t>
            </w:r>
          </w:p>
        </w:tc>
        <w:tc>
          <w:tcPr>
            <w:tcW w:w="1284" w:type="pct"/>
            <w:tcBorders>
              <w:top w:val="single" w:color="auto" w:sz="4" w:space="0"/>
              <w:left w:val="nil"/>
              <w:bottom w:val="single" w:color="auto" w:sz="4" w:space="0"/>
              <w:right w:val="single" w:color="auto" w:sz="4" w:space="0"/>
            </w:tcBorders>
            <w:vAlign w:val="center"/>
          </w:tcPr>
          <w:p w14:paraId="543405FD">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每月服务费</w:t>
            </w:r>
          </w:p>
        </w:tc>
        <w:tc>
          <w:tcPr>
            <w:tcW w:w="1283" w:type="pct"/>
            <w:tcBorders>
              <w:top w:val="single" w:color="auto" w:sz="4" w:space="0"/>
              <w:left w:val="nil"/>
              <w:bottom w:val="single" w:color="auto" w:sz="4" w:space="0"/>
              <w:right w:val="single" w:color="auto" w:sz="4" w:space="0"/>
            </w:tcBorders>
            <w:vAlign w:val="center"/>
          </w:tcPr>
          <w:p w14:paraId="4C570F3D">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投入本项目使用的救护车品牌</w:t>
            </w:r>
          </w:p>
        </w:tc>
      </w:tr>
      <w:tr w14:paraId="79E5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1462" w:type="pct"/>
            <w:tcBorders>
              <w:top w:val="single" w:color="auto" w:sz="4" w:space="0"/>
              <w:left w:val="single" w:color="auto" w:sz="4" w:space="0"/>
              <w:bottom w:val="single" w:color="auto" w:sz="4" w:space="0"/>
              <w:right w:val="single" w:color="auto" w:sz="4" w:space="0"/>
            </w:tcBorders>
            <w:vAlign w:val="center"/>
          </w:tcPr>
          <w:p w14:paraId="7E69657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color w:val="000000"/>
                <w:sz w:val="24"/>
                <w:szCs w:val="32"/>
                <w:highlight w:val="none"/>
              </w:rPr>
              <w:t>中山大学附属仁济医院</w:t>
            </w:r>
            <w:r>
              <w:rPr>
                <w:rFonts w:hint="eastAsia" w:ascii="仿宋" w:hAnsi="仿宋" w:eastAsia="仿宋" w:cs="仿宋"/>
                <w:sz w:val="24"/>
                <w:szCs w:val="24"/>
                <w:lang w:val="zh-CN"/>
              </w:rPr>
              <w:t>非120急救医疗转运服务</w:t>
            </w:r>
          </w:p>
        </w:tc>
        <w:tc>
          <w:tcPr>
            <w:tcW w:w="969" w:type="pct"/>
            <w:tcBorders>
              <w:top w:val="single" w:color="auto" w:sz="4" w:space="0"/>
              <w:left w:val="nil"/>
              <w:bottom w:val="single" w:color="auto" w:sz="4" w:space="0"/>
              <w:right w:val="single" w:color="auto" w:sz="4" w:space="0"/>
            </w:tcBorders>
            <w:vAlign w:val="center"/>
          </w:tcPr>
          <w:p w14:paraId="402C285D">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36个月</w:t>
            </w:r>
          </w:p>
        </w:tc>
        <w:tc>
          <w:tcPr>
            <w:tcW w:w="1284" w:type="pct"/>
            <w:tcBorders>
              <w:top w:val="single" w:color="auto" w:sz="4" w:space="0"/>
              <w:left w:val="nil"/>
              <w:bottom w:val="single" w:color="auto" w:sz="4" w:space="0"/>
              <w:right w:val="single" w:color="auto" w:sz="4" w:space="0"/>
            </w:tcBorders>
            <w:vAlign w:val="center"/>
          </w:tcPr>
          <w:p w14:paraId="7A4B020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元</w:t>
            </w:r>
          </w:p>
        </w:tc>
        <w:tc>
          <w:tcPr>
            <w:tcW w:w="1283" w:type="pct"/>
            <w:tcBorders>
              <w:top w:val="single" w:color="auto" w:sz="4" w:space="0"/>
              <w:left w:val="nil"/>
              <w:bottom w:val="single" w:color="auto" w:sz="4" w:space="0"/>
              <w:right w:val="single" w:color="auto" w:sz="4" w:space="0"/>
            </w:tcBorders>
            <w:vAlign w:val="center"/>
          </w:tcPr>
          <w:p w14:paraId="74752BD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p>
        </w:tc>
      </w:tr>
      <w:tr w14:paraId="129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462" w:type="pct"/>
            <w:vMerge w:val="restart"/>
            <w:tcBorders>
              <w:top w:val="single" w:color="auto" w:sz="4" w:space="0"/>
              <w:left w:val="single" w:color="auto" w:sz="4" w:space="0"/>
              <w:right w:val="single" w:color="auto" w:sz="4" w:space="0"/>
            </w:tcBorders>
            <w:vAlign w:val="center"/>
          </w:tcPr>
          <w:p w14:paraId="12BB3824">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3537" w:type="pct"/>
            <w:gridSpan w:val="3"/>
            <w:tcBorders>
              <w:top w:val="single" w:color="auto" w:sz="4" w:space="0"/>
              <w:left w:val="nil"/>
              <w:bottom w:val="single" w:color="auto" w:sz="4" w:space="0"/>
              <w:right w:val="single" w:color="auto" w:sz="4" w:space="0"/>
            </w:tcBorders>
            <w:vAlign w:val="center"/>
          </w:tcPr>
          <w:p w14:paraId="2A756B90">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大写：</w:t>
            </w:r>
          </w:p>
        </w:tc>
      </w:tr>
      <w:tr w14:paraId="1880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462" w:type="pct"/>
            <w:vMerge w:val="continue"/>
            <w:tcBorders>
              <w:left w:val="single" w:color="auto" w:sz="4" w:space="0"/>
              <w:bottom w:val="single" w:color="auto" w:sz="4" w:space="0"/>
              <w:right w:val="single" w:color="auto" w:sz="4" w:space="0"/>
            </w:tcBorders>
            <w:vAlign w:val="center"/>
          </w:tcPr>
          <w:p w14:paraId="20702F48">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p>
        </w:tc>
        <w:tc>
          <w:tcPr>
            <w:tcW w:w="3537" w:type="pct"/>
            <w:gridSpan w:val="3"/>
            <w:tcBorders>
              <w:top w:val="single" w:color="auto" w:sz="4" w:space="0"/>
              <w:left w:val="nil"/>
              <w:bottom w:val="single" w:color="auto" w:sz="4" w:space="0"/>
              <w:right w:val="single" w:color="auto" w:sz="4" w:space="0"/>
            </w:tcBorders>
            <w:vAlign w:val="center"/>
          </w:tcPr>
          <w:p w14:paraId="53A6BDE0">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小写：</w:t>
            </w:r>
          </w:p>
        </w:tc>
      </w:tr>
    </w:tbl>
    <w:p w14:paraId="319FD9EC">
      <w:pPr>
        <w:pStyle w:val="9"/>
        <w:rPr>
          <w:b/>
          <w:bCs/>
          <w:highlight w:val="none"/>
        </w:rPr>
      </w:pPr>
    </w:p>
    <w:p w14:paraId="7B1ABDE3">
      <w:pPr>
        <w:pStyle w:val="30"/>
        <w:rPr>
          <w:rFonts w:hint="eastAsia" w:ascii="仿宋" w:hAnsi="仿宋" w:eastAsia="仿宋" w:cs="仿宋"/>
          <w:color w:val="000000"/>
          <w:sz w:val="21"/>
          <w:szCs w:val="21"/>
          <w:highlight w:val="none"/>
        </w:rPr>
      </w:pPr>
    </w:p>
    <w:p w14:paraId="7AFB3EA7">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含</w:t>
      </w:r>
      <w:r>
        <w:rPr>
          <w:rFonts w:hint="eastAsia" w:ascii="仿宋" w:hAnsi="仿宋" w:eastAsia="仿宋" w:cs="仿宋"/>
          <w:color w:val="auto"/>
          <w:sz w:val="21"/>
          <w:szCs w:val="21"/>
          <w:highlight w:val="none"/>
        </w:rPr>
        <w:t>人工、车辆、车辆保养、设备、保险、燃油、税金和伴随货物服务</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涉及本项目的所有费用）。</w:t>
      </w:r>
    </w:p>
    <w:p w14:paraId="002CBBFC">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9AC4C68">
      <w:pPr>
        <w:pStyle w:val="30"/>
        <w:rPr>
          <w:rFonts w:hint="eastAsia" w:ascii="仿宋" w:hAnsi="仿宋" w:eastAsia="仿宋" w:cs="仿宋"/>
          <w:color w:val="000000"/>
          <w:highlight w:val="none"/>
        </w:rPr>
      </w:pPr>
    </w:p>
    <w:p w14:paraId="6AD694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05CCFB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4F6DE5D">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BFA191B">
      <w:pPr>
        <w:pStyle w:val="5"/>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5"/>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BCF8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0357A261">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97CE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5C3F684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636C56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70F4BED">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9EE20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B0024BD">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top"/>
          </w:tcPr>
          <w:p w14:paraId="73F67C4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响应人</w:t>
            </w:r>
            <w:r>
              <w:rPr>
                <w:rFonts w:hint="eastAsia" w:ascii="仿宋" w:hAnsi="仿宋" w:eastAsia="仿宋" w:cs="仿宋"/>
                <w:color w:val="000000"/>
                <w:sz w:val="21"/>
                <w:szCs w:val="21"/>
                <w:highlight w:val="none"/>
                <w:lang w:val="zh-CN"/>
              </w:rPr>
              <w:t>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tc>
        <w:tc>
          <w:tcPr>
            <w:tcW w:w="1515" w:type="dxa"/>
            <w:vAlign w:val="center"/>
          </w:tcPr>
          <w:p w14:paraId="7B349F0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77B2A98">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3EBDB12">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EA1793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45A2234E">
      <w:pPr>
        <w:pStyle w:val="3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E317169">
      <w:pPr>
        <w:pStyle w:val="3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1489BC3F">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6ED6D129">
      <w:pPr>
        <w:pStyle w:val="30"/>
        <w:ind w:left="0" w:leftChars="0" w:firstLine="0" w:firstLineChars="0"/>
        <w:rPr>
          <w:rFonts w:hint="eastAsia" w:ascii="仿宋" w:hAnsi="仿宋" w:eastAsia="仿宋" w:cs="仿宋"/>
          <w:color w:val="000000"/>
          <w:szCs w:val="21"/>
          <w:highlight w:val="none"/>
          <w:lang w:eastAsia="zh-CN"/>
        </w:rPr>
      </w:pPr>
    </w:p>
    <w:p w14:paraId="3E500AA7">
      <w:pPr>
        <w:pStyle w:val="30"/>
        <w:rPr>
          <w:rFonts w:hint="eastAsia" w:ascii="仿宋" w:hAnsi="仿宋" w:eastAsia="仿宋" w:cs="仿宋"/>
          <w:color w:val="000000"/>
          <w:szCs w:val="21"/>
          <w:highlight w:val="none"/>
          <w:lang w:eastAsia="zh-CN"/>
        </w:rPr>
      </w:pPr>
    </w:p>
    <w:p w14:paraId="745FADD7">
      <w:pPr>
        <w:pStyle w:val="30"/>
        <w:rPr>
          <w:rFonts w:hint="eastAsia" w:ascii="仿宋" w:hAnsi="仿宋" w:eastAsia="仿宋" w:cs="仿宋"/>
          <w:color w:val="000000"/>
          <w:szCs w:val="21"/>
          <w:highlight w:val="none"/>
          <w:lang w:eastAsia="zh-CN"/>
        </w:rPr>
      </w:pPr>
    </w:p>
    <w:p w14:paraId="73B428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3C800A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3AA1F87">
      <w:pPr>
        <w:pStyle w:val="30"/>
        <w:rPr>
          <w:rFonts w:ascii="仿宋_GB2312" w:hAnsi="华文仿宋" w:eastAsia="仿宋_GB2312" w:cs="华文仿宋"/>
          <w:bCs/>
          <w:color w:val="000000"/>
          <w:szCs w:val="21"/>
          <w:highlight w:val="none"/>
        </w:rPr>
      </w:pPr>
    </w:p>
    <w:p w14:paraId="734DE2AF">
      <w:pPr>
        <w:pStyle w:val="30"/>
        <w:rPr>
          <w:rFonts w:hint="eastAsia" w:ascii="宋体" w:hAnsi="宋体" w:cs="宋体"/>
          <w:color w:val="000000"/>
          <w:szCs w:val="21"/>
          <w:highlight w:val="none"/>
          <w:lang w:eastAsia="zh-CN"/>
        </w:rPr>
      </w:pPr>
    </w:p>
    <w:p w14:paraId="22125549">
      <w:pPr>
        <w:pStyle w:val="30"/>
        <w:rPr>
          <w:rFonts w:ascii="仿宋_GB2312" w:hAnsi="华文仿宋" w:eastAsia="仿宋_GB2312" w:cs="华文仿宋"/>
          <w:bCs/>
          <w:color w:val="000000"/>
          <w:szCs w:val="21"/>
          <w:highlight w:val="none"/>
        </w:rPr>
      </w:pPr>
    </w:p>
    <w:p w14:paraId="2A53B3A6">
      <w:pPr>
        <w:pStyle w:val="30"/>
        <w:rPr>
          <w:rFonts w:hint="eastAsia" w:ascii="宋体" w:hAnsi="宋体" w:cs="宋体"/>
          <w:color w:val="000000"/>
          <w:szCs w:val="21"/>
          <w:highlight w:val="none"/>
          <w:lang w:eastAsia="zh-CN"/>
        </w:rPr>
      </w:pPr>
    </w:p>
    <w:p w14:paraId="11657108">
      <w:pPr>
        <w:pStyle w:val="30"/>
        <w:rPr>
          <w:rFonts w:hint="eastAsia" w:ascii="宋体" w:hAnsi="宋体" w:cs="宋体"/>
          <w:color w:val="000000"/>
          <w:szCs w:val="21"/>
          <w:highlight w:val="none"/>
          <w:lang w:eastAsia="zh-CN"/>
        </w:rPr>
      </w:pPr>
    </w:p>
    <w:p w14:paraId="1110ECB4">
      <w:pPr>
        <w:pStyle w:val="30"/>
        <w:rPr>
          <w:rFonts w:hint="eastAsia" w:ascii="宋体" w:hAnsi="宋体" w:cs="宋体"/>
          <w:color w:val="000000"/>
          <w:szCs w:val="21"/>
          <w:highlight w:val="none"/>
          <w:lang w:eastAsia="zh-CN"/>
        </w:rPr>
      </w:pPr>
    </w:p>
    <w:p w14:paraId="54544EDC">
      <w:pPr>
        <w:pStyle w:val="30"/>
        <w:rPr>
          <w:rFonts w:hint="eastAsia" w:ascii="宋体" w:hAnsi="宋体" w:cs="宋体"/>
          <w:color w:val="000000"/>
          <w:szCs w:val="21"/>
          <w:highlight w:val="none"/>
          <w:lang w:eastAsia="zh-CN"/>
        </w:rPr>
      </w:pPr>
    </w:p>
    <w:p w14:paraId="2382DE53">
      <w:pPr>
        <w:pStyle w:val="30"/>
        <w:rPr>
          <w:rFonts w:hint="eastAsia" w:ascii="宋体" w:hAnsi="宋体" w:cs="宋体"/>
          <w:color w:val="000000"/>
          <w:szCs w:val="21"/>
          <w:highlight w:val="none"/>
          <w:lang w:eastAsia="zh-CN"/>
        </w:rPr>
      </w:pPr>
    </w:p>
    <w:p w14:paraId="2F183A18">
      <w:pPr>
        <w:pStyle w:val="30"/>
        <w:rPr>
          <w:rFonts w:hint="eastAsia" w:ascii="宋体" w:hAnsi="宋体" w:cs="宋体"/>
          <w:color w:val="000000"/>
          <w:szCs w:val="21"/>
          <w:highlight w:val="none"/>
          <w:lang w:eastAsia="zh-CN"/>
        </w:rPr>
      </w:pPr>
    </w:p>
    <w:p w14:paraId="19B2FAAC">
      <w:pPr>
        <w:pStyle w:val="30"/>
        <w:rPr>
          <w:rFonts w:hint="eastAsia" w:ascii="宋体" w:hAnsi="宋体" w:cs="宋体"/>
          <w:color w:val="000000"/>
          <w:szCs w:val="21"/>
          <w:highlight w:val="none"/>
          <w:lang w:eastAsia="zh-CN"/>
        </w:rPr>
      </w:pPr>
    </w:p>
    <w:p w14:paraId="4D10C4FE">
      <w:pPr>
        <w:pStyle w:val="30"/>
        <w:rPr>
          <w:rFonts w:hint="eastAsia" w:ascii="宋体" w:hAnsi="宋体" w:cs="宋体"/>
          <w:color w:val="000000"/>
          <w:szCs w:val="21"/>
          <w:highlight w:val="none"/>
          <w:lang w:eastAsia="zh-CN"/>
        </w:rPr>
      </w:pPr>
    </w:p>
    <w:p w14:paraId="246A9FC2">
      <w:pPr>
        <w:pStyle w:val="30"/>
        <w:rPr>
          <w:rFonts w:ascii="仿宋_GB2312" w:hAnsi="华文仿宋" w:eastAsia="仿宋_GB2312" w:cs="华文仿宋"/>
          <w:bCs/>
          <w:color w:val="000000"/>
          <w:szCs w:val="21"/>
          <w:highlight w:val="none"/>
        </w:rPr>
      </w:pPr>
    </w:p>
    <w:p w14:paraId="415E7A76">
      <w:pPr>
        <w:pStyle w:val="30"/>
        <w:rPr>
          <w:rFonts w:hint="eastAsia" w:ascii="宋体" w:hAnsi="宋体" w:cs="宋体"/>
          <w:color w:val="000000"/>
          <w:szCs w:val="21"/>
          <w:highlight w:val="none"/>
          <w:lang w:eastAsia="zh-CN"/>
        </w:rPr>
      </w:pPr>
    </w:p>
    <w:p w14:paraId="696A324F">
      <w:pPr>
        <w:pStyle w:val="30"/>
        <w:rPr>
          <w:rFonts w:hint="eastAsia" w:ascii="宋体" w:hAnsi="宋体" w:cs="宋体"/>
          <w:color w:val="000000"/>
          <w:szCs w:val="21"/>
          <w:highlight w:val="none"/>
          <w:lang w:eastAsia="zh-CN"/>
        </w:rPr>
      </w:pPr>
    </w:p>
    <w:p w14:paraId="61C676A6">
      <w:pPr>
        <w:pStyle w:val="30"/>
        <w:rPr>
          <w:rFonts w:hint="eastAsia" w:ascii="宋体" w:hAnsi="宋体" w:cs="宋体"/>
          <w:color w:val="000000"/>
          <w:szCs w:val="21"/>
          <w:highlight w:val="none"/>
          <w:lang w:eastAsia="zh-CN"/>
        </w:rPr>
      </w:pPr>
    </w:p>
    <w:p w14:paraId="684FBDD8">
      <w:pPr>
        <w:pStyle w:val="30"/>
        <w:rPr>
          <w:rFonts w:hint="eastAsia" w:ascii="宋体" w:hAnsi="宋体" w:cs="宋体"/>
          <w:color w:val="000000"/>
          <w:szCs w:val="21"/>
          <w:highlight w:val="none"/>
          <w:lang w:eastAsia="zh-CN"/>
        </w:rPr>
      </w:pPr>
    </w:p>
    <w:p w14:paraId="0F94592F">
      <w:pPr>
        <w:pStyle w:val="30"/>
        <w:rPr>
          <w:rFonts w:hint="eastAsia" w:ascii="宋体" w:hAnsi="宋体" w:cs="宋体"/>
          <w:color w:val="000000"/>
          <w:szCs w:val="21"/>
          <w:highlight w:val="none"/>
          <w:lang w:eastAsia="zh-CN"/>
        </w:rPr>
      </w:pPr>
    </w:p>
    <w:p w14:paraId="5F822CF1">
      <w:pPr>
        <w:pStyle w:val="30"/>
        <w:rPr>
          <w:rFonts w:hint="eastAsia" w:ascii="宋体" w:hAnsi="宋体" w:cs="宋体"/>
          <w:color w:val="000000"/>
          <w:szCs w:val="21"/>
          <w:highlight w:val="none"/>
          <w:lang w:eastAsia="zh-CN"/>
        </w:rPr>
      </w:pPr>
    </w:p>
    <w:p w14:paraId="1F00174F">
      <w:pPr>
        <w:pStyle w:val="30"/>
        <w:rPr>
          <w:rFonts w:hint="eastAsia" w:ascii="宋体" w:hAnsi="宋体" w:cs="宋体"/>
          <w:color w:val="000000"/>
          <w:szCs w:val="21"/>
          <w:highlight w:val="none"/>
          <w:lang w:eastAsia="zh-CN"/>
        </w:rPr>
      </w:pPr>
    </w:p>
    <w:p w14:paraId="4B38F0CF">
      <w:pPr>
        <w:pStyle w:val="30"/>
        <w:rPr>
          <w:rFonts w:hint="eastAsia" w:ascii="宋体" w:hAnsi="宋体" w:cs="宋体"/>
          <w:color w:val="000000"/>
          <w:szCs w:val="21"/>
          <w:highlight w:val="none"/>
          <w:lang w:eastAsia="zh-CN"/>
        </w:rPr>
      </w:pPr>
    </w:p>
    <w:p w14:paraId="3AF24BF6">
      <w:pPr>
        <w:pStyle w:val="30"/>
        <w:rPr>
          <w:rFonts w:hint="eastAsia" w:ascii="宋体" w:hAnsi="宋体" w:cs="宋体"/>
          <w:color w:val="000000"/>
          <w:szCs w:val="21"/>
          <w:highlight w:val="none"/>
          <w:lang w:eastAsia="zh-CN"/>
        </w:rPr>
      </w:pPr>
    </w:p>
    <w:p w14:paraId="15CC8FB6">
      <w:pPr>
        <w:pStyle w:val="30"/>
        <w:rPr>
          <w:rFonts w:hint="eastAsia" w:ascii="宋体" w:hAnsi="宋体" w:cs="宋体"/>
          <w:color w:val="000000"/>
          <w:szCs w:val="21"/>
          <w:highlight w:val="none"/>
          <w:lang w:eastAsia="zh-CN"/>
        </w:rPr>
      </w:pPr>
    </w:p>
    <w:p w14:paraId="06E9C225">
      <w:pPr>
        <w:pStyle w:val="30"/>
        <w:rPr>
          <w:rFonts w:hint="eastAsia" w:ascii="宋体" w:hAnsi="宋体" w:cs="宋体"/>
          <w:color w:val="000000"/>
          <w:szCs w:val="21"/>
          <w:highlight w:val="none"/>
          <w:lang w:eastAsia="zh-CN"/>
        </w:rPr>
      </w:pPr>
    </w:p>
    <w:p w14:paraId="0EDC8FCE">
      <w:pPr>
        <w:pStyle w:val="30"/>
        <w:rPr>
          <w:rFonts w:hint="eastAsia" w:ascii="宋体" w:hAnsi="宋体" w:cs="宋体"/>
          <w:color w:val="000000"/>
          <w:szCs w:val="21"/>
          <w:highlight w:val="none"/>
          <w:lang w:eastAsia="zh-CN"/>
        </w:rPr>
      </w:pPr>
    </w:p>
    <w:p w14:paraId="14575DF9">
      <w:pPr>
        <w:pStyle w:val="30"/>
        <w:rPr>
          <w:rFonts w:hint="eastAsia" w:ascii="宋体" w:hAnsi="宋体" w:cs="宋体"/>
          <w:color w:val="000000"/>
          <w:szCs w:val="21"/>
          <w:highlight w:val="none"/>
          <w:lang w:eastAsia="zh-CN"/>
        </w:rPr>
      </w:pPr>
    </w:p>
    <w:p w14:paraId="51B55AD2">
      <w:pPr>
        <w:pStyle w:val="30"/>
        <w:rPr>
          <w:rFonts w:hint="eastAsia" w:ascii="宋体" w:hAnsi="宋体" w:cs="宋体"/>
          <w:color w:val="000000"/>
          <w:szCs w:val="21"/>
          <w:highlight w:val="none"/>
          <w:lang w:eastAsia="zh-CN"/>
        </w:rPr>
      </w:pPr>
    </w:p>
    <w:p w14:paraId="4333768D">
      <w:pPr>
        <w:pStyle w:val="30"/>
        <w:rPr>
          <w:rFonts w:hint="eastAsia" w:ascii="宋体" w:hAnsi="宋体" w:cs="宋体"/>
          <w:color w:val="000000"/>
          <w:szCs w:val="21"/>
          <w:highlight w:val="none"/>
          <w:lang w:eastAsia="zh-CN"/>
        </w:rPr>
      </w:pPr>
    </w:p>
    <w:p w14:paraId="7DD832B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483EDE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4B7959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0DA636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6D162D6B">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633BBA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B4A12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、中山大学附属仁济医院</w:t>
      </w:r>
    </w:p>
    <w:p w14:paraId="7B005A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中山大学附属仁济医院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DFD42A8">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8CA7EC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1055F1B7">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D800A8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428E05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2118365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9CD4D13">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1BF3AB4">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616488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BADB4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3D7D8E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AA64063">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130601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AA8720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F0640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39A17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5F80CCE3">
      <w:pPr>
        <w:pStyle w:val="30"/>
        <w:rPr>
          <w:rFonts w:hint="eastAsia" w:ascii="宋体" w:hAnsi="宋体" w:cs="宋体"/>
          <w:color w:val="auto"/>
          <w:szCs w:val="21"/>
          <w:highlight w:val="none"/>
          <w:lang w:eastAsia="zh-CN"/>
        </w:rPr>
      </w:pPr>
    </w:p>
    <w:p w14:paraId="353A2C3B">
      <w:pPr>
        <w:pStyle w:val="30"/>
        <w:rPr>
          <w:rFonts w:hint="eastAsia" w:ascii="宋体" w:hAnsi="宋体" w:cs="宋体"/>
          <w:color w:val="auto"/>
          <w:szCs w:val="21"/>
          <w:highlight w:val="none"/>
          <w:lang w:eastAsia="zh-CN"/>
        </w:rPr>
      </w:pPr>
    </w:p>
    <w:p w14:paraId="597D2F6D">
      <w:pPr>
        <w:pStyle w:val="30"/>
        <w:rPr>
          <w:rFonts w:hint="eastAsia" w:ascii="宋体" w:hAnsi="宋体" w:cs="宋体"/>
          <w:color w:val="auto"/>
          <w:szCs w:val="21"/>
          <w:highlight w:val="none"/>
          <w:lang w:eastAsia="zh-CN"/>
        </w:rPr>
      </w:pPr>
    </w:p>
    <w:p w14:paraId="1C7B92FD">
      <w:pPr>
        <w:pStyle w:val="30"/>
        <w:rPr>
          <w:rFonts w:hint="eastAsia" w:ascii="宋体" w:hAnsi="宋体" w:cs="宋体"/>
          <w:color w:val="auto"/>
          <w:szCs w:val="21"/>
          <w:highlight w:val="none"/>
          <w:lang w:eastAsia="zh-CN"/>
        </w:rPr>
      </w:pPr>
    </w:p>
    <w:p w14:paraId="31B76AF5">
      <w:pPr>
        <w:pStyle w:val="30"/>
        <w:rPr>
          <w:rFonts w:hint="eastAsia" w:ascii="宋体" w:hAnsi="宋体" w:cs="宋体"/>
          <w:color w:val="auto"/>
          <w:szCs w:val="21"/>
          <w:highlight w:val="none"/>
          <w:lang w:eastAsia="zh-CN"/>
        </w:rPr>
      </w:pPr>
    </w:p>
    <w:p w14:paraId="26CFD62B">
      <w:pPr>
        <w:pStyle w:val="30"/>
        <w:rPr>
          <w:rFonts w:hint="eastAsia" w:ascii="宋体" w:hAnsi="宋体" w:cs="宋体"/>
          <w:color w:val="auto"/>
          <w:szCs w:val="21"/>
          <w:highlight w:val="none"/>
          <w:lang w:eastAsia="zh-CN"/>
        </w:rPr>
      </w:pPr>
    </w:p>
    <w:p w14:paraId="286D41B8">
      <w:pPr>
        <w:pStyle w:val="30"/>
        <w:rPr>
          <w:rFonts w:hint="eastAsia" w:ascii="宋体" w:hAnsi="宋体" w:cs="宋体"/>
          <w:color w:val="auto"/>
          <w:szCs w:val="21"/>
          <w:highlight w:val="none"/>
          <w:lang w:eastAsia="zh-CN"/>
        </w:rPr>
      </w:pPr>
    </w:p>
    <w:p w14:paraId="4B53192C">
      <w:pPr>
        <w:pStyle w:val="30"/>
        <w:rPr>
          <w:rFonts w:hint="eastAsia" w:ascii="宋体" w:hAnsi="宋体" w:cs="宋体"/>
          <w:color w:val="auto"/>
          <w:szCs w:val="21"/>
          <w:highlight w:val="none"/>
          <w:lang w:eastAsia="zh-CN"/>
        </w:rPr>
      </w:pPr>
    </w:p>
    <w:p w14:paraId="29A1E61B">
      <w:pPr>
        <w:pStyle w:val="30"/>
        <w:rPr>
          <w:rFonts w:hint="eastAsia" w:ascii="宋体" w:hAnsi="宋体" w:cs="宋体"/>
          <w:color w:val="auto"/>
          <w:szCs w:val="21"/>
          <w:highlight w:val="none"/>
          <w:lang w:eastAsia="zh-CN"/>
        </w:rPr>
      </w:pPr>
    </w:p>
    <w:p w14:paraId="43E12E36">
      <w:pPr>
        <w:pStyle w:val="30"/>
        <w:rPr>
          <w:rFonts w:hint="eastAsia" w:ascii="宋体" w:hAnsi="宋体" w:cs="宋体"/>
          <w:color w:val="auto"/>
          <w:szCs w:val="21"/>
          <w:highlight w:val="none"/>
          <w:lang w:eastAsia="zh-CN"/>
        </w:rPr>
      </w:pPr>
    </w:p>
    <w:p w14:paraId="5BEA32B5">
      <w:pPr>
        <w:pStyle w:val="30"/>
        <w:rPr>
          <w:rFonts w:hint="eastAsia" w:ascii="宋体" w:hAnsi="宋体" w:cs="宋体"/>
          <w:color w:val="auto"/>
          <w:szCs w:val="21"/>
          <w:highlight w:val="none"/>
          <w:lang w:eastAsia="zh-CN"/>
        </w:rPr>
      </w:pPr>
    </w:p>
    <w:p w14:paraId="58D8F17A">
      <w:pPr>
        <w:pStyle w:val="30"/>
        <w:rPr>
          <w:rFonts w:hint="eastAsia" w:ascii="宋体" w:hAnsi="宋体" w:cs="宋体"/>
          <w:color w:val="auto"/>
          <w:szCs w:val="21"/>
          <w:highlight w:val="none"/>
          <w:lang w:eastAsia="zh-CN"/>
        </w:rPr>
      </w:pPr>
    </w:p>
    <w:p w14:paraId="7C66C6FF">
      <w:pPr>
        <w:pStyle w:val="30"/>
        <w:rPr>
          <w:rFonts w:hint="eastAsia" w:ascii="宋体" w:hAnsi="宋体" w:cs="宋体"/>
          <w:color w:val="auto"/>
          <w:szCs w:val="21"/>
          <w:highlight w:val="none"/>
          <w:lang w:eastAsia="zh-CN"/>
        </w:rPr>
      </w:pPr>
    </w:p>
    <w:p w14:paraId="7334ADAF">
      <w:pPr>
        <w:pStyle w:val="30"/>
        <w:rPr>
          <w:rFonts w:hint="eastAsia" w:ascii="宋体" w:hAnsi="宋体" w:cs="宋体"/>
          <w:color w:val="auto"/>
          <w:szCs w:val="21"/>
          <w:highlight w:val="none"/>
          <w:lang w:eastAsia="zh-CN"/>
        </w:rPr>
      </w:pPr>
    </w:p>
    <w:p w14:paraId="39EDE0D7">
      <w:pPr>
        <w:pStyle w:val="30"/>
        <w:rPr>
          <w:rFonts w:hint="eastAsia" w:ascii="宋体" w:hAnsi="宋体" w:cs="宋体"/>
          <w:color w:val="auto"/>
          <w:szCs w:val="21"/>
          <w:highlight w:val="none"/>
          <w:lang w:eastAsia="zh-CN"/>
        </w:rPr>
      </w:pPr>
    </w:p>
    <w:p w14:paraId="6440A3C2">
      <w:pPr>
        <w:pStyle w:val="30"/>
        <w:rPr>
          <w:rFonts w:hint="eastAsia" w:ascii="宋体" w:hAnsi="宋体" w:cs="宋体"/>
          <w:color w:val="auto"/>
          <w:szCs w:val="21"/>
          <w:highlight w:val="none"/>
          <w:lang w:eastAsia="zh-CN"/>
        </w:rPr>
      </w:pPr>
    </w:p>
    <w:p w14:paraId="23F310D0">
      <w:pPr>
        <w:pStyle w:val="30"/>
        <w:rPr>
          <w:rFonts w:hint="eastAsia" w:ascii="宋体" w:hAnsi="宋体" w:cs="宋体"/>
          <w:color w:val="auto"/>
          <w:szCs w:val="21"/>
          <w:highlight w:val="none"/>
          <w:lang w:eastAsia="zh-CN"/>
        </w:rPr>
      </w:pPr>
    </w:p>
    <w:p w14:paraId="3961F9A0">
      <w:pPr>
        <w:pStyle w:val="30"/>
        <w:rPr>
          <w:rFonts w:hint="eastAsia" w:ascii="宋体" w:hAnsi="宋体" w:cs="宋体"/>
          <w:color w:val="auto"/>
          <w:szCs w:val="21"/>
          <w:highlight w:val="none"/>
          <w:lang w:eastAsia="zh-CN"/>
        </w:rPr>
      </w:pPr>
    </w:p>
    <w:p w14:paraId="39DBF0FB">
      <w:pPr>
        <w:pStyle w:val="30"/>
        <w:rPr>
          <w:rFonts w:hint="eastAsia" w:ascii="宋体" w:hAnsi="宋体" w:cs="宋体"/>
          <w:color w:val="auto"/>
          <w:szCs w:val="21"/>
          <w:highlight w:val="none"/>
          <w:lang w:eastAsia="zh-CN"/>
        </w:rPr>
      </w:pPr>
    </w:p>
    <w:p w14:paraId="10125766">
      <w:pPr>
        <w:pStyle w:val="30"/>
        <w:rPr>
          <w:rFonts w:hint="eastAsia" w:ascii="宋体" w:hAnsi="宋体" w:cs="宋体"/>
          <w:color w:val="auto"/>
          <w:szCs w:val="21"/>
          <w:highlight w:val="none"/>
          <w:lang w:eastAsia="zh-CN"/>
        </w:rPr>
      </w:pPr>
    </w:p>
    <w:p w14:paraId="7AD08C95">
      <w:pPr>
        <w:pStyle w:val="30"/>
        <w:rPr>
          <w:rFonts w:hint="eastAsia" w:ascii="宋体" w:hAnsi="宋体" w:cs="宋体"/>
          <w:color w:val="auto"/>
          <w:szCs w:val="21"/>
          <w:highlight w:val="none"/>
          <w:lang w:eastAsia="zh-CN"/>
        </w:rPr>
      </w:pPr>
    </w:p>
    <w:p w14:paraId="6CB2DF05">
      <w:pPr>
        <w:pStyle w:val="30"/>
        <w:rPr>
          <w:rFonts w:hint="eastAsia" w:ascii="宋体" w:hAnsi="宋体" w:cs="宋体"/>
          <w:color w:val="auto"/>
          <w:szCs w:val="21"/>
          <w:highlight w:val="none"/>
          <w:lang w:eastAsia="zh-CN"/>
        </w:rPr>
      </w:pPr>
    </w:p>
    <w:p w14:paraId="4F4E4594">
      <w:pPr>
        <w:pStyle w:val="30"/>
        <w:rPr>
          <w:rFonts w:hint="eastAsia" w:ascii="宋体" w:hAnsi="宋体" w:cs="宋体"/>
          <w:color w:val="auto"/>
          <w:szCs w:val="21"/>
          <w:highlight w:val="none"/>
          <w:lang w:eastAsia="zh-CN"/>
        </w:rPr>
      </w:pPr>
    </w:p>
    <w:p w14:paraId="67E11517">
      <w:pPr>
        <w:pStyle w:val="30"/>
        <w:rPr>
          <w:rFonts w:hint="eastAsia" w:ascii="宋体" w:hAnsi="宋体" w:cs="宋体"/>
          <w:color w:val="auto"/>
          <w:szCs w:val="21"/>
          <w:highlight w:val="none"/>
          <w:lang w:eastAsia="zh-CN"/>
        </w:rPr>
      </w:pPr>
    </w:p>
    <w:p w14:paraId="35021BAC">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CE890DB">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D3D536F">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40A8899">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1578255">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C1EFFE8">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71A7F8D6">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6AF5AAC1">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1604FFE6">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312A4498">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hint="eastAsia" w:ascii="仿宋_GB2312" w:eastAsia="仿宋_GB2312" w:cs="仿宋_GB2312"/>
          <w:b/>
          <w:bCs/>
          <w:color w:val="FF0000"/>
          <w:position w:val="-60"/>
          <w:sz w:val="56"/>
          <w:szCs w:val="56"/>
          <w:highlight w:val="none"/>
          <w:lang w:eastAsia="zh-CN"/>
        </w:rPr>
      </w:pPr>
      <w:r>
        <w:rPr>
          <w:rFonts w:hint="eastAsia" w:ascii="仿宋_GB2312" w:hAnsi="Calibri Light" w:eastAsia="仿宋_GB2312" w:cs="仿宋_GB2312"/>
          <w:b/>
          <w:bCs/>
          <w:color w:val="FF0000"/>
          <w:position w:val="-60"/>
          <w:sz w:val="52"/>
          <w:szCs w:val="52"/>
          <w:highlight w:val="none"/>
          <w:lang w:eastAsia="zh-CN"/>
        </w:rPr>
        <w:t>中山大学附属仁济医院</w:t>
      </w:r>
    </w:p>
    <w:p w14:paraId="0EA9C98B">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2EC31C48">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中山大学附属仁济医院非120急救医疗转运服务项目  </w:t>
      </w:r>
    </w:p>
    <w:p w14:paraId="06425D95">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w:t>
      </w:r>
      <w:r>
        <w:rPr>
          <w:rFonts w:hint="eastAsia" w:ascii="仿宋" w:hAnsi="仿宋" w:eastAsia="仿宋" w:cs="仿宋"/>
          <w:sz w:val="24"/>
          <w:szCs w:val="24"/>
          <w:highlight w:val="none"/>
          <w:lang w:eastAsia="zh-CN"/>
        </w:rPr>
        <w:t>中山大学附属仁济医院</w:t>
      </w:r>
      <w:r>
        <w:rPr>
          <w:rFonts w:hint="eastAsia" w:ascii="仿宋" w:hAnsi="仿宋" w:eastAsia="仿宋" w:cs="仿宋"/>
          <w:sz w:val="24"/>
          <w:szCs w:val="24"/>
          <w:highlight w:val="none"/>
        </w:rPr>
        <w:t>（下称医院）的规章制度，我公司特作出以下廉洁守约承诺：</w:t>
      </w:r>
    </w:p>
    <w:p w14:paraId="06947D2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49DE224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3D91640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6EEA5D05">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4F55A7CA">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0FDC219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483F355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7E0E434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0DA6EB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2BEF63F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w:t>
      </w:r>
      <w:r>
        <w:rPr>
          <w:rFonts w:hint="eastAsia" w:ascii="仿宋" w:hAnsi="仿宋" w:eastAsia="仿宋" w:cs="仿宋"/>
          <w:sz w:val="24"/>
          <w:szCs w:val="24"/>
          <w:highlight w:val="none"/>
          <w:lang w:eastAsia="zh-CN"/>
        </w:rPr>
        <w:t>中山大学附属仁济医院</w:t>
      </w:r>
      <w:r>
        <w:rPr>
          <w:rFonts w:hint="eastAsia" w:ascii="仿宋" w:hAnsi="仿宋" w:eastAsia="仿宋" w:cs="仿宋"/>
          <w:sz w:val="24"/>
          <w:szCs w:val="24"/>
          <w:highlight w:val="none"/>
        </w:rPr>
        <w:t>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C1ED664">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4880334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79A815D5">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E03502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54125550">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14:paraId="6589E940">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4EDF2EE4">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14:paraId="56A3BB11">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14:paraId="0291B8ED">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3138517A">
      <w:pPr>
        <w:pStyle w:val="2"/>
        <w:rPr>
          <w:color w:val="000000"/>
          <w:highlight w:val="none"/>
        </w:rPr>
      </w:pPr>
    </w:p>
    <w:p w14:paraId="2A048354">
      <w:pPr>
        <w:pStyle w:val="2"/>
        <w:rPr>
          <w:color w:val="000000"/>
          <w:highlight w:val="none"/>
        </w:rPr>
      </w:pPr>
    </w:p>
    <w:p w14:paraId="7723241D">
      <w:pPr>
        <w:pStyle w:val="2"/>
        <w:rPr>
          <w:color w:val="000000"/>
          <w:highlight w:val="none"/>
        </w:rPr>
      </w:pPr>
    </w:p>
    <w:p w14:paraId="695F0737">
      <w:pPr>
        <w:pStyle w:val="2"/>
        <w:rPr>
          <w:color w:val="000000"/>
          <w:highlight w:val="none"/>
        </w:rPr>
      </w:pPr>
    </w:p>
    <w:p w14:paraId="49CA6D6E">
      <w:pPr>
        <w:pStyle w:val="2"/>
        <w:rPr>
          <w:color w:val="000000"/>
          <w:highlight w:val="none"/>
        </w:rPr>
      </w:pPr>
    </w:p>
    <w:p w14:paraId="1C8DB7F6">
      <w:pPr>
        <w:pStyle w:val="2"/>
        <w:rPr>
          <w:color w:val="000000"/>
          <w:highlight w:val="none"/>
        </w:rPr>
      </w:pPr>
    </w:p>
    <w:p w14:paraId="0FAEE8D4">
      <w:pPr>
        <w:pStyle w:val="2"/>
        <w:rPr>
          <w:color w:val="000000"/>
          <w:highlight w:val="none"/>
        </w:rPr>
      </w:pPr>
    </w:p>
    <w:p w14:paraId="395D47E6">
      <w:pPr>
        <w:pStyle w:val="2"/>
        <w:rPr>
          <w:color w:val="000000"/>
          <w:highlight w:val="none"/>
        </w:rPr>
      </w:pPr>
    </w:p>
    <w:p w14:paraId="5E591F17">
      <w:pPr>
        <w:pStyle w:val="2"/>
        <w:rPr>
          <w:color w:val="000000"/>
          <w:highlight w:val="none"/>
        </w:rPr>
      </w:pPr>
    </w:p>
    <w:p w14:paraId="673A0951">
      <w:pPr>
        <w:pStyle w:val="2"/>
        <w:rPr>
          <w:color w:val="000000"/>
          <w:highlight w:val="none"/>
        </w:rPr>
      </w:pPr>
    </w:p>
    <w:p w14:paraId="11308363">
      <w:pPr>
        <w:pStyle w:val="2"/>
        <w:rPr>
          <w:color w:val="000000"/>
          <w:highlight w:val="none"/>
        </w:rPr>
      </w:pPr>
    </w:p>
    <w:p w14:paraId="19B597BB">
      <w:pPr>
        <w:pStyle w:val="2"/>
        <w:rPr>
          <w:color w:val="000000"/>
          <w:highlight w:val="none"/>
        </w:rPr>
      </w:pPr>
    </w:p>
    <w:p w14:paraId="4A317A0E">
      <w:pPr>
        <w:pStyle w:val="2"/>
        <w:rPr>
          <w:color w:val="000000"/>
          <w:highlight w:val="none"/>
        </w:rPr>
      </w:pPr>
    </w:p>
    <w:p w14:paraId="5F759F3F">
      <w:pPr>
        <w:pStyle w:val="53"/>
        <w:keepNext w:val="0"/>
        <w:keepLines w:val="0"/>
        <w:pageBreakBefore w:val="0"/>
        <w:widowControl/>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4、《医疗机构执业许可证》</w:t>
      </w:r>
    </w:p>
    <w:p w14:paraId="32F3FA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卫生行政部门批准开展非120急救医疗转运服务的文件或证明</w:t>
      </w:r>
    </w:p>
    <w:p w14:paraId="28A1357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Cs/>
          <w:color w:val="auto"/>
          <w:sz w:val="24"/>
          <w:szCs w:val="24"/>
          <w:highlight w:val="none"/>
        </w:rPr>
        <w:t>（提供能够证明供应商是合法正规的非120急救医疗转运服务机构的材料，材料需为响应人实际持有，不支持通过挂靠、转让、合作等形式获得或共享相应材料与资质。提供有效期内的证明资料，加盖公章。）</w:t>
      </w:r>
    </w:p>
    <w:p w14:paraId="511FD4D8">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auto"/>
          <w:sz w:val="24"/>
          <w:szCs w:val="24"/>
        </w:rPr>
      </w:pPr>
    </w:p>
    <w:p w14:paraId="11D54A1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52DC3C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D0F366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8DD6E6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94C000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F931BF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C4DD94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DB530C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FF8B10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CFD06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0FE92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3E7F31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1EB3A3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68B96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C9391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B0961E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76E1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1E7AA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FACF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08BD4F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6FBEFE25">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57EE56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38D0D99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C074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AF8E9D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3333EE1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7FC657F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7F22363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2AB2CA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6DB58E0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B1B969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C551A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D6388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3475A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61CB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06AD05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13FBAF5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E830E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31B8C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48AEB2E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8A69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E9240A">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2E2AC8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0EE67698">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853EB11">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7A1C5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D91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1C415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782FFC86">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7B6984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CAD0A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49EE52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9898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CD53F6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15CB5A6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DB1245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99CB26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630AF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972F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2F7C5849">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2D5C2A4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3099D8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59147C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8AD4CA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32CD9D98">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50E54FC8">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5734343">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51A0D44C">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4EC3A936">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70DBD632">
      <w:pPr>
        <w:pStyle w:val="13"/>
        <w:shd w:val="clear" w:color="auto" w:fill="FFFFFF"/>
        <w:rPr>
          <w:rFonts w:hint="eastAsia" w:ascii="仿宋" w:hAnsi="仿宋" w:eastAsia="仿宋" w:cs="仿宋"/>
          <w:sz w:val="21"/>
          <w:szCs w:val="21"/>
          <w:highlight w:val="none"/>
        </w:rPr>
      </w:pPr>
    </w:p>
    <w:p w14:paraId="11C090B5">
      <w:pPr>
        <w:pStyle w:val="13"/>
        <w:shd w:val="clear" w:color="auto" w:fill="FFFFFF"/>
        <w:rPr>
          <w:rFonts w:hint="eastAsia" w:ascii="仿宋" w:hAnsi="仿宋" w:eastAsia="仿宋" w:cs="仿宋"/>
          <w:sz w:val="21"/>
          <w:szCs w:val="21"/>
          <w:highlight w:val="none"/>
        </w:rPr>
      </w:pPr>
    </w:p>
    <w:p w14:paraId="77DB0D31">
      <w:pPr>
        <w:pStyle w:val="13"/>
        <w:shd w:val="clear" w:color="auto" w:fill="FFFFFF"/>
        <w:rPr>
          <w:rFonts w:hint="eastAsia" w:ascii="仿宋" w:hAnsi="仿宋" w:eastAsia="仿宋" w:cs="仿宋"/>
          <w:sz w:val="21"/>
          <w:szCs w:val="21"/>
          <w:highlight w:val="none"/>
        </w:rPr>
      </w:pPr>
    </w:p>
    <w:p w14:paraId="3A80FD6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88454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69228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BFAF08">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7BAD5705">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12B88D8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248573ED">
      <w:pPr>
        <w:pStyle w:val="14"/>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47FFA956">
      <w:pPr>
        <w:pStyle w:val="14"/>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69BCD4E9">
      <w:pPr>
        <w:pStyle w:val="14"/>
        <w:tabs>
          <w:tab w:val="left" w:pos="900"/>
        </w:tabs>
        <w:spacing w:line="400" w:lineRule="exact"/>
        <w:ind w:firstLine="0"/>
        <w:rPr>
          <w:rFonts w:hint="eastAsia" w:ascii="仿宋" w:hAnsi="仿宋" w:eastAsia="仿宋" w:cs="仿宋"/>
          <w:bCs/>
          <w:color w:val="000000"/>
          <w:highlight w:val="none"/>
          <w:lang w:val="en-US"/>
        </w:rPr>
      </w:pPr>
    </w:p>
    <w:p w14:paraId="5F87B140">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中山大学孙逸仙纪念医院、中山大学附属仁济医院</w:t>
      </w:r>
      <w:r>
        <w:rPr>
          <w:rFonts w:hint="eastAsia" w:ascii="仿宋" w:hAnsi="仿宋" w:eastAsia="仿宋" w:cs="仿宋"/>
          <w:bCs/>
          <w:color w:val="000000"/>
          <w:sz w:val="28"/>
          <w:szCs w:val="28"/>
          <w:highlight w:val="none"/>
          <w:lang w:val="en-US"/>
        </w:rPr>
        <w:t>：</w:t>
      </w:r>
    </w:p>
    <w:p w14:paraId="32A1D8B1">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0AB9FBF1">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486E5778">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1E61D589">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106BF63">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64AC9337">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086B3E77">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0562CE15">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5E0A0EE">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41E1170B">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0DF18A1F">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1ACB678B">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E6B3729">
                              <w:pPr>
                                <w:spacing w:before="0" w:line="240" w:lineRule="auto"/>
                                <w:rPr>
                                  <w:sz w:val="20"/>
                                </w:rPr>
                              </w:pPr>
                            </w:p>
                            <w:p w14:paraId="2C975AA3">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F68E66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E6B3729">
                        <w:pPr>
                          <w:spacing w:before="0" w:line="240" w:lineRule="auto"/>
                          <w:rPr>
                            <w:sz w:val="20"/>
                          </w:rPr>
                        </w:pPr>
                      </w:p>
                      <w:p w14:paraId="2C975AA3">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F68E66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5A28759">
                            <w:pPr>
                              <w:pStyle w:val="9"/>
                              <w:rPr>
                                <w:sz w:val="20"/>
                              </w:rPr>
                            </w:pPr>
                          </w:p>
                          <w:p w14:paraId="38D1A6C4">
                            <w:pPr>
                              <w:pStyle w:val="9"/>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A5C04B5">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75A28759">
                      <w:pPr>
                        <w:pStyle w:val="9"/>
                        <w:rPr>
                          <w:sz w:val="20"/>
                        </w:rPr>
                      </w:pPr>
                    </w:p>
                    <w:p w14:paraId="38D1A6C4">
                      <w:pPr>
                        <w:pStyle w:val="9"/>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A5C04B5">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334C4F53">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F78E8E9">
      <w:pPr>
        <w:pStyle w:val="30"/>
        <w:ind w:left="0" w:leftChars="0" w:firstLine="0" w:firstLineChars="0"/>
        <w:rPr>
          <w:rFonts w:hint="eastAsia" w:ascii="仿宋" w:hAnsi="仿宋" w:eastAsia="仿宋" w:cs="仿宋"/>
          <w:highlight w:val="none"/>
          <w:lang w:eastAsia="zh-CN"/>
        </w:rPr>
      </w:pPr>
    </w:p>
    <w:p w14:paraId="2FF5F8C4">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8211A4">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BE3414C">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A8FAE9">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ACE3ACF">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3160CBC">
      <w:pPr>
        <w:pStyle w:val="14"/>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B2F5DB0">
      <w:pPr>
        <w:pStyle w:val="14"/>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2BE7158">
      <w:pPr>
        <w:pStyle w:val="14"/>
        <w:tabs>
          <w:tab w:val="left" w:pos="900"/>
        </w:tabs>
        <w:spacing w:line="400" w:lineRule="exact"/>
        <w:ind w:firstLine="0"/>
        <w:rPr>
          <w:rFonts w:hint="eastAsia" w:ascii="仿宋" w:hAnsi="仿宋" w:eastAsia="仿宋" w:cs="仿宋"/>
          <w:bCs/>
          <w:color w:val="000000"/>
          <w:sz w:val="24"/>
          <w:szCs w:val="24"/>
          <w:highlight w:val="none"/>
          <w:lang w:val="en-US"/>
        </w:rPr>
      </w:pPr>
    </w:p>
    <w:p w14:paraId="181EB78E">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中山大学孙逸仙纪念医院、中山大学附属仁济医院</w:t>
      </w:r>
      <w:r>
        <w:rPr>
          <w:rFonts w:hint="eastAsia" w:ascii="仿宋" w:hAnsi="仿宋" w:eastAsia="仿宋" w:cs="仿宋"/>
          <w:bCs/>
          <w:color w:val="000000"/>
          <w:sz w:val="28"/>
          <w:szCs w:val="28"/>
          <w:highlight w:val="none"/>
          <w:lang w:val="en-US"/>
        </w:rPr>
        <w:t>：</w:t>
      </w:r>
    </w:p>
    <w:p w14:paraId="1029E030">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中山大学附属仁济医院***项目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34CA3B4D">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DB97BB4">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B36F737">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5756A8CC">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79A1B458">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82C0D46">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744118E6">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3606A4C">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167A94A">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31FE68C1">
                            <w:pPr>
                              <w:pStyle w:val="9"/>
                              <w:rPr>
                                <w:sz w:val="20"/>
                              </w:rPr>
                            </w:pPr>
                          </w:p>
                          <w:p w14:paraId="397CCC72">
                            <w:pPr>
                              <w:pStyle w:val="9"/>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B4F6C10">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31FE68C1">
                      <w:pPr>
                        <w:pStyle w:val="9"/>
                        <w:rPr>
                          <w:sz w:val="20"/>
                        </w:rPr>
                      </w:pPr>
                    </w:p>
                    <w:p w14:paraId="397CCC72">
                      <w:pPr>
                        <w:pStyle w:val="9"/>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B4F6C10">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152754C">
                            <w:pPr>
                              <w:pStyle w:val="9"/>
                              <w:rPr>
                                <w:rFonts w:hint="eastAsia" w:ascii="华文中宋" w:hAnsi="华文中宋" w:eastAsia="华文中宋" w:cs="华文中宋"/>
                                <w:sz w:val="21"/>
                                <w:szCs w:val="21"/>
                              </w:rPr>
                            </w:pPr>
                          </w:p>
                          <w:p w14:paraId="5A23718B">
                            <w:pPr>
                              <w:pStyle w:val="9"/>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739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152754C">
                      <w:pPr>
                        <w:pStyle w:val="9"/>
                        <w:rPr>
                          <w:rFonts w:hint="eastAsia" w:ascii="华文中宋" w:hAnsi="华文中宋" w:eastAsia="华文中宋" w:cs="华文中宋"/>
                          <w:sz w:val="21"/>
                          <w:szCs w:val="21"/>
                        </w:rPr>
                      </w:pPr>
                    </w:p>
                    <w:p w14:paraId="5A23718B">
                      <w:pPr>
                        <w:pStyle w:val="9"/>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739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5B9A6EE2">
      <w:pPr>
        <w:pStyle w:val="30"/>
        <w:ind w:left="0" w:leftChars="0" w:firstLine="0" w:firstLineChars="0"/>
        <w:rPr>
          <w:rFonts w:hint="eastAsia" w:ascii="宋体" w:hAnsi="宋体" w:eastAsia="宋体" w:cs="仿宋_GB2312"/>
          <w:bCs/>
          <w:color w:val="000000"/>
          <w:sz w:val="30"/>
          <w:szCs w:val="30"/>
          <w:highlight w:val="none"/>
          <w:lang w:val="en-US"/>
        </w:rPr>
      </w:pPr>
    </w:p>
    <w:p w14:paraId="0AED1536">
      <w:pPr>
        <w:pStyle w:val="30"/>
        <w:ind w:left="0" w:leftChars="0" w:firstLine="0" w:firstLineChars="0"/>
        <w:rPr>
          <w:rFonts w:hint="eastAsia" w:ascii="宋体" w:hAnsi="宋体" w:eastAsia="宋体" w:cs="宋体"/>
          <w:b/>
          <w:bCs/>
          <w:sz w:val="28"/>
          <w:szCs w:val="36"/>
          <w:highlight w:val="none"/>
          <w:lang w:eastAsia="zh-CN"/>
        </w:rPr>
      </w:pPr>
    </w:p>
    <w:p w14:paraId="6F74305B">
      <w:pPr>
        <w:pStyle w:val="9"/>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1856440C">
      <w:pPr>
        <w:pStyle w:val="30"/>
        <w:ind w:left="0" w:leftChars="0" w:firstLine="0" w:firstLineChars="0"/>
        <w:rPr>
          <w:rFonts w:hint="eastAsia" w:ascii="宋体" w:hAnsi="宋体" w:eastAsia="宋体" w:cs="仿宋_GB2312"/>
          <w:bCs/>
          <w:color w:val="000000"/>
          <w:sz w:val="30"/>
          <w:szCs w:val="30"/>
          <w:highlight w:val="none"/>
          <w:lang w:val="en-US"/>
        </w:rPr>
      </w:pPr>
    </w:p>
    <w:p w14:paraId="53D2AA87">
      <w:pPr>
        <w:pStyle w:val="9"/>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5CA98690">
      <w:pPr>
        <w:pStyle w:val="9"/>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30DE37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r>
        <w:rPr>
          <w:rFonts w:hint="eastAsia" w:ascii="仿宋" w:hAnsi="仿宋" w:eastAsia="仿宋" w:cs="仿宋"/>
          <w:color w:val="auto"/>
          <w:sz w:val="22"/>
          <w:szCs w:val="22"/>
          <w:highlight w:val="none"/>
          <w:lang w:eastAsia="zh-CN"/>
        </w:rPr>
        <w:t>、中山大学附属仁济医院</w:t>
      </w:r>
    </w:p>
    <w:p w14:paraId="3E0E8199">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289CD1C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5E2E2906">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9884CB8">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3D22708E">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61630504">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6CD3006E">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08B1B49B">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5A54D1A1">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（1）第二章用户需求书中第二大点的“★2.服务内容”。</w:t>
      </w:r>
    </w:p>
    <w:p w14:paraId="0E8F63CD">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（2）我方保证为本项目配备的不少于2人驻点司机（轮班制，保证至少1人在岗值班），且所配备的司机均具有B照或以上驾驶证。（证明材料附本承诺函后）</w:t>
      </w:r>
    </w:p>
    <w:p w14:paraId="6DE0AD50">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3D37CB55">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23CB5D4A">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773331A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5DC0121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7B26C65A">
      <w:pPr>
        <w:pStyle w:val="9"/>
        <w:rPr>
          <w:rFonts w:hint="eastAsia"/>
          <w:lang w:eastAsia="zh-CN"/>
        </w:rPr>
      </w:pPr>
    </w:p>
    <w:p w14:paraId="5DC2587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F27F7A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6DE3D5E">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0CFF62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1EF7612">
      <w:pPr>
        <w:pStyle w:val="2"/>
        <w:rPr>
          <w:rFonts w:hint="eastAsia" w:ascii="黑体" w:hAnsi="黑体" w:eastAsia="黑体" w:cs="黑体"/>
          <w:b/>
          <w:bCs/>
          <w:sz w:val="40"/>
          <w:szCs w:val="40"/>
          <w:highlight w:val="none"/>
          <w:lang w:val="en-US" w:eastAsia="zh-CN"/>
        </w:rPr>
      </w:pPr>
    </w:p>
    <w:p w14:paraId="2A57C9A9">
      <w:pPr>
        <w:pStyle w:val="2"/>
        <w:rPr>
          <w:rFonts w:hint="eastAsia" w:ascii="黑体" w:hAnsi="黑体" w:eastAsia="黑体" w:cs="黑体"/>
          <w:b/>
          <w:bCs/>
          <w:sz w:val="40"/>
          <w:szCs w:val="40"/>
          <w:highlight w:val="none"/>
          <w:lang w:val="en-US" w:eastAsia="zh-CN"/>
        </w:rPr>
      </w:pPr>
    </w:p>
    <w:p w14:paraId="2829FF4B">
      <w:pPr>
        <w:pStyle w:val="2"/>
        <w:rPr>
          <w:rFonts w:hint="eastAsia" w:ascii="黑体" w:hAnsi="黑体" w:eastAsia="黑体" w:cs="黑体"/>
          <w:b/>
          <w:bCs/>
          <w:sz w:val="40"/>
          <w:szCs w:val="40"/>
          <w:highlight w:val="none"/>
          <w:lang w:val="en-US" w:eastAsia="zh-CN"/>
        </w:rPr>
      </w:pPr>
    </w:p>
    <w:p w14:paraId="7DB791DF">
      <w:pPr>
        <w:pStyle w:val="2"/>
        <w:rPr>
          <w:rFonts w:hint="eastAsia" w:ascii="黑体" w:hAnsi="黑体" w:eastAsia="黑体" w:cs="黑体"/>
          <w:b/>
          <w:bCs/>
          <w:sz w:val="40"/>
          <w:szCs w:val="40"/>
          <w:highlight w:val="none"/>
          <w:lang w:val="en-US" w:eastAsia="zh-CN"/>
        </w:rPr>
      </w:pPr>
    </w:p>
    <w:p w14:paraId="46908A7F">
      <w:pPr>
        <w:pStyle w:val="2"/>
        <w:rPr>
          <w:rFonts w:hint="eastAsia" w:ascii="黑体" w:hAnsi="黑体" w:eastAsia="黑体" w:cs="黑体"/>
          <w:b/>
          <w:bCs/>
          <w:sz w:val="40"/>
          <w:szCs w:val="40"/>
          <w:highlight w:val="none"/>
          <w:lang w:val="en-US" w:eastAsia="zh-CN"/>
        </w:rPr>
      </w:pPr>
    </w:p>
    <w:p w14:paraId="79C4D8BD">
      <w:pPr>
        <w:pStyle w:val="2"/>
        <w:rPr>
          <w:rFonts w:hint="eastAsia" w:ascii="黑体" w:hAnsi="黑体" w:eastAsia="黑体" w:cs="黑体"/>
          <w:b/>
          <w:bCs/>
          <w:sz w:val="40"/>
          <w:szCs w:val="40"/>
          <w:highlight w:val="none"/>
          <w:lang w:val="en-US" w:eastAsia="zh-CN"/>
        </w:rPr>
      </w:pPr>
    </w:p>
    <w:p w14:paraId="39DC131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附上证明材料：提供不少于2名司机的驾驶证复印件，以及自2024年1月以来任意一个月在供应商缴纳社保的证明材料复印件。二者缺一不可，证明资料加盖公章</w:t>
      </w:r>
    </w:p>
    <w:p w14:paraId="187D27E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3C9A24A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9DADC75">
      <w:pPr>
        <w:pStyle w:val="2"/>
        <w:rPr>
          <w:rFonts w:hint="eastAsia" w:ascii="黑体" w:hAnsi="黑体" w:eastAsia="黑体" w:cs="黑体"/>
          <w:b/>
          <w:bCs/>
          <w:sz w:val="40"/>
          <w:szCs w:val="40"/>
          <w:highlight w:val="none"/>
          <w:lang w:val="en-US" w:eastAsia="zh-CN"/>
        </w:rPr>
      </w:pPr>
    </w:p>
    <w:p w14:paraId="50EB893C">
      <w:pPr>
        <w:pStyle w:val="2"/>
        <w:rPr>
          <w:rFonts w:hint="eastAsia" w:ascii="黑体" w:hAnsi="黑体" w:eastAsia="黑体" w:cs="黑体"/>
          <w:b/>
          <w:bCs/>
          <w:sz w:val="40"/>
          <w:szCs w:val="40"/>
          <w:highlight w:val="none"/>
          <w:lang w:val="en-US" w:eastAsia="zh-CN"/>
        </w:rPr>
      </w:pPr>
    </w:p>
    <w:p w14:paraId="60CCCC8A">
      <w:pPr>
        <w:pStyle w:val="2"/>
        <w:rPr>
          <w:rFonts w:hint="eastAsia" w:ascii="黑体" w:hAnsi="黑体" w:eastAsia="黑体" w:cs="黑体"/>
          <w:b/>
          <w:bCs/>
          <w:sz w:val="40"/>
          <w:szCs w:val="40"/>
          <w:highlight w:val="none"/>
          <w:lang w:val="en-US" w:eastAsia="zh-CN"/>
        </w:rPr>
      </w:pPr>
    </w:p>
    <w:p w14:paraId="4115E625">
      <w:pPr>
        <w:pStyle w:val="2"/>
        <w:rPr>
          <w:rFonts w:hint="eastAsia" w:ascii="黑体" w:hAnsi="黑体" w:eastAsia="黑体" w:cs="黑体"/>
          <w:b/>
          <w:bCs/>
          <w:sz w:val="40"/>
          <w:szCs w:val="40"/>
          <w:highlight w:val="none"/>
          <w:lang w:val="en-US" w:eastAsia="zh-CN"/>
        </w:rPr>
      </w:pPr>
    </w:p>
    <w:p w14:paraId="18B15DAF">
      <w:pPr>
        <w:pStyle w:val="2"/>
        <w:rPr>
          <w:rFonts w:hint="eastAsia" w:ascii="黑体" w:hAnsi="黑体" w:eastAsia="黑体" w:cs="黑体"/>
          <w:b/>
          <w:bCs/>
          <w:sz w:val="40"/>
          <w:szCs w:val="40"/>
          <w:highlight w:val="none"/>
          <w:lang w:val="en-US" w:eastAsia="zh-CN"/>
        </w:rPr>
      </w:pPr>
    </w:p>
    <w:p w14:paraId="2002B2ED">
      <w:pPr>
        <w:pStyle w:val="2"/>
        <w:rPr>
          <w:rFonts w:hint="eastAsia" w:ascii="黑体" w:hAnsi="黑体" w:eastAsia="黑体" w:cs="黑体"/>
          <w:b/>
          <w:bCs/>
          <w:sz w:val="40"/>
          <w:szCs w:val="40"/>
          <w:highlight w:val="none"/>
          <w:lang w:val="en-US" w:eastAsia="zh-CN"/>
        </w:rPr>
      </w:pPr>
    </w:p>
    <w:p w14:paraId="0018D722">
      <w:pPr>
        <w:pStyle w:val="2"/>
        <w:rPr>
          <w:rFonts w:hint="eastAsia" w:ascii="黑体" w:hAnsi="黑体" w:eastAsia="黑体" w:cs="黑体"/>
          <w:b/>
          <w:bCs/>
          <w:sz w:val="40"/>
          <w:szCs w:val="40"/>
          <w:highlight w:val="none"/>
          <w:lang w:val="en-US" w:eastAsia="zh-CN"/>
        </w:rPr>
      </w:pPr>
    </w:p>
    <w:p w14:paraId="162F45F6">
      <w:pPr>
        <w:pStyle w:val="2"/>
        <w:rPr>
          <w:rFonts w:hint="eastAsia" w:ascii="黑体" w:hAnsi="黑体" w:eastAsia="黑体" w:cs="黑体"/>
          <w:b/>
          <w:bCs/>
          <w:sz w:val="40"/>
          <w:szCs w:val="40"/>
          <w:highlight w:val="none"/>
          <w:lang w:val="en-US" w:eastAsia="zh-CN"/>
        </w:rPr>
      </w:pPr>
    </w:p>
    <w:p w14:paraId="47914957">
      <w:pPr>
        <w:pStyle w:val="2"/>
        <w:rPr>
          <w:rFonts w:hint="eastAsia" w:ascii="黑体" w:hAnsi="黑体" w:eastAsia="黑体" w:cs="黑体"/>
          <w:b/>
          <w:bCs/>
          <w:sz w:val="40"/>
          <w:szCs w:val="40"/>
          <w:highlight w:val="none"/>
          <w:lang w:val="en-US" w:eastAsia="zh-CN"/>
        </w:rPr>
      </w:pPr>
    </w:p>
    <w:p w14:paraId="4ACE7589">
      <w:pPr>
        <w:pStyle w:val="2"/>
        <w:rPr>
          <w:rFonts w:hint="eastAsia" w:ascii="黑体" w:hAnsi="黑体" w:eastAsia="黑体" w:cs="黑体"/>
          <w:b/>
          <w:bCs/>
          <w:sz w:val="40"/>
          <w:szCs w:val="40"/>
          <w:highlight w:val="none"/>
          <w:lang w:val="en-US" w:eastAsia="zh-CN"/>
        </w:rPr>
      </w:pPr>
    </w:p>
    <w:p w14:paraId="6F3C2D4D">
      <w:pPr>
        <w:pStyle w:val="2"/>
        <w:rPr>
          <w:rFonts w:hint="eastAsia" w:ascii="黑体" w:hAnsi="黑体" w:eastAsia="黑体" w:cs="黑体"/>
          <w:b/>
          <w:bCs/>
          <w:sz w:val="40"/>
          <w:szCs w:val="40"/>
          <w:highlight w:val="none"/>
          <w:lang w:val="en-US" w:eastAsia="zh-CN"/>
        </w:rPr>
      </w:pPr>
    </w:p>
    <w:p w14:paraId="6A836333">
      <w:pPr>
        <w:pStyle w:val="2"/>
        <w:rPr>
          <w:rFonts w:hint="eastAsia" w:ascii="黑体" w:hAnsi="黑体" w:eastAsia="黑体" w:cs="黑体"/>
          <w:b/>
          <w:bCs/>
          <w:sz w:val="40"/>
          <w:szCs w:val="40"/>
          <w:highlight w:val="none"/>
          <w:lang w:val="en-US" w:eastAsia="zh-CN"/>
        </w:rPr>
      </w:pPr>
    </w:p>
    <w:p w14:paraId="7875010F">
      <w:pPr>
        <w:pStyle w:val="2"/>
        <w:rPr>
          <w:rFonts w:hint="eastAsia" w:ascii="黑体" w:hAnsi="黑体" w:eastAsia="黑体" w:cs="黑体"/>
          <w:b/>
          <w:bCs/>
          <w:sz w:val="40"/>
          <w:szCs w:val="40"/>
          <w:highlight w:val="none"/>
          <w:lang w:val="en-US" w:eastAsia="zh-CN"/>
        </w:rPr>
      </w:pPr>
    </w:p>
    <w:p w14:paraId="78A97523">
      <w:pPr>
        <w:pStyle w:val="2"/>
        <w:rPr>
          <w:rFonts w:hint="eastAsia" w:ascii="黑体" w:hAnsi="黑体" w:eastAsia="黑体" w:cs="黑体"/>
          <w:b/>
          <w:bCs/>
          <w:sz w:val="40"/>
          <w:szCs w:val="40"/>
          <w:highlight w:val="none"/>
          <w:lang w:val="en-US" w:eastAsia="zh-CN"/>
        </w:rPr>
      </w:pPr>
    </w:p>
    <w:p w14:paraId="6BAA0A56">
      <w:pPr>
        <w:pStyle w:val="2"/>
        <w:rPr>
          <w:rFonts w:hint="eastAsia" w:ascii="黑体" w:hAnsi="黑体" w:eastAsia="黑体" w:cs="黑体"/>
          <w:b/>
          <w:bCs/>
          <w:sz w:val="40"/>
          <w:szCs w:val="40"/>
          <w:highlight w:val="none"/>
          <w:lang w:val="en-US" w:eastAsia="zh-CN"/>
        </w:rPr>
      </w:pPr>
    </w:p>
    <w:p w14:paraId="5048E407">
      <w:pPr>
        <w:pStyle w:val="2"/>
        <w:rPr>
          <w:rFonts w:hint="eastAsia" w:ascii="黑体" w:hAnsi="黑体" w:eastAsia="黑体" w:cs="黑体"/>
          <w:b/>
          <w:bCs/>
          <w:sz w:val="40"/>
          <w:szCs w:val="40"/>
          <w:highlight w:val="none"/>
          <w:lang w:val="en-US" w:eastAsia="zh-CN"/>
        </w:rPr>
      </w:pPr>
    </w:p>
    <w:p w14:paraId="7B682CDF">
      <w:pPr>
        <w:pStyle w:val="2"/>
        <w:rPr>
          <w:rFonts w:hint="eastAsia" w:ascii="黑体" w:hAnsi="黑体" w:eastAsia="黑体" w:cs="黑体"/>
          <w:b/>
          <w:bCs/>
          <w:sz w:val="40"/>
          <w:szCs w:val="40"/>
          <w:highlight w:val="none"/>
          <w:lang w:val="en-US" w:eastAsia="zh-CN"/>
        </w:rPr>
      </w:pPr>
    </w:p>
    <w:p w14:paraId="71229619">
      <w:pPr>
        <w:pStyle w:val="2"/>
        <w:rPr>
          <w:rFonts w:hint="eastAsia" w:ascii="黑体" w:hAnsi="黑体" w:eastAsia="黑体" w:cs="黑体"/>
          <w:b/>
          <w:bCs/>
          <w:sz w:val="40"/>
          <w:szCs w:val="40"/>
          <w:highlight w:val="none"/>
          <w:lang w:val="en-US" w:eastAsia="zh-CN"/>
        </w:rPr>
      </w:pPr>
    </w:p>
    <w:p w14:paraId="34DCA4C0">
      <w:pPr>
        <w:pStyle w:val="2"/>
        <w:rPr>
          <w:rFonts w:hint="eastAsia" w:ascii="黑体" w:hAnsi="黑体" w:eastAsia="黑体" w:cs="黑体"/>
          <w:b/>
          <w:bCs/>
          <w:sz w:val="40"/>
          <w:szCs w:val="40"/>
          <w:highlight w:val="none"/>
          <w:lang w:val="en-US" w:eastAsia="zh-CN"/>
        </w:rPr>
      </w:pPr>
    </w:p>
    <w:p w14:paraId="6E3584A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278778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A8C568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sz w:val="21"/>
          <w:szCs w:val="21"/>
          <w:highlight w:val="none"/>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5"/>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lang w:val="en-US" w:eastAsia="zh-CN"/>
              </w:rPr>
            </w:pPr>
            <w:r>
              <w:rPr>
                <w:rFonts w:hint="eastAsia" w:ascii="仿宋" w:hAnsi="仿宋" w:eastAsia="仿宋" w:cs="仿宋"/>
                <w:color w:val="auto"/>
                <w:sz w:val="20"/>
                <w:szCs w:val="20"/>
                <w:highlight w:val="none"/>
                <w:lang w:val="en-US" w:eastAsia="zh-CN"/>
              </w:rPr>
              <w:t>根据供应商自2021年1月1日（以合同签订时间为准）以来，提供与本项目同类的非120急救转运相关业绩经验进行评分，每提供一个得2分，最高得10分。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666B9B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51E3105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1B7FB5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tc>
        <w:tc>
          <w:tcPr>
            <w:tcW w:w="2508" w:type="dxa"/>
            <w:vAlign w:val="center"/>
          </w:tcPr>
          <w:p w14:paraId="09AD619E">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510" w:type="dxa"/>
            <w:vAlign w:val="center"/>
          </w:tcPr>
          <w:p w14:paraId="6445BF4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76F1B8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419312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4EC144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拟派项目驻点司机具备救护员资质（或医学相关专业学历/职称），每人得3分，最高得6分。</w:t>
            </w:r>
          </w:p>
        </w:tc>
        <w:tc>
          <w:tcPr>
            <w:tcW w:w="2508"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注：提供相关证书复印件及自2024年1月以来任意一个月供应商（或其分支机构）为其缴纳的社保证明，加盖公章。未提供或提供不齐全不得分。须与符合性评审中响应人所提供的驻点司机名单及资料一致。</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0EDE6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拟派项目驻点司机具备10年（含）以上驾驶经验（B照或以上）的，每人得2分，最高得4分；5年（含）至10年（不含）驾驶经验（B照或以上）的，每人得1分，最高得2分；其他情况不得分。（提供B照或以上驾驶证复印件，驾驶经验年限自B照或以上驾驶证发证之日起计算，C照不予认可。）</w:t>
            </w:r>
          </w:p>
          <w:p w14:paraId="236C8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最高得4分。</w:t>
            </w:r>
          </w:p>
        </w:tc>
        <w:tc>
          <w:tcPr>
            <w:tcW w:w="2508"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w:t>
            </w:r>
            <w:r>
              <w:rPr>
                <w:rFonts w:hint="eastAsia" w:ascii="仿宋" w:hAnsi="仿宋" w:eastAsia="仿宋" w:cs="仿宋"/>
                <w:color w:val="000000"/>
                <w:sz w:val="20"/>
                <w:szCs w:val="20"/>
                <w:lang w:bidi="ar"/>
              </w:rPr>
              <w:t>质量管理体系认证证书</w:t>
            </w:r>
            <w:r>
              <w:rPr>
                <w:rFonts w:hint="eastAsia" w:ascii="仿宋" w:hAnsi="仿宋" w:eastAsia="仿宋" w:cs="仿宋"/>
                <w:color w:val="auto"/>
                <w:sz w:val="20"/>
                <w:szCs w:val="20"/>
                <w:highlight w:val="none"/>
                <w:lang w:val="en-US" w:eastAsia="zh-CN"/>
              </w:rPr>
              <w:t>得2分。</w:t>
            </w:r>
          </w:p>
        </w:tc>
        <w:tc>
          <w:tcPr>
            <w:tcW w:w="2508"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具有有效的环境管理体系认证证书得2分。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具有有效的职业健康安全管理体系认证证书得2分。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420D12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30"/>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FDE07C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1A3C6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6EB4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71F882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6C0E37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C7AED3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B5748E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4DA945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2000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F8418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03893A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50182B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02FDAE7">
      <w:pPr>
        <w:pStyle w:val="2"/>
        <w:rPr>
          <w:rFonts w:hint="eastAsia" w:ascii="仿宋" w:hAnsi="仿宋" w:eastAsia="仿宋" w:cs="仿宋"/>
          <w:b/>
          <w:bCs/>
          <w:sz w:val="36"/>
          <w:szCs w:val="36"/>
          <w:highlight w:val="none"/>
          <w:lang w:eastAsia="zh-CN"/>
        </w:rPr>
      </w:pPr>
    </w:p>
    <w:p w14:paraId="5A01B317">
      <w:pPr>
        <w:pStyle w:val="2"/>
        <w:rPr>
          <w:rFonts w:hint="eastAsia" w:ascii="仿宋" w:hAnsi="仿宋" w:eastAsia="仿宋" w:cs="仿宋"/>
          <w:b/>
          <w:bCs/>
          <w:sz w:val="36"/>
          <w:szCs w:val="36"/>
          <w:highlight w:val="none"/>
          <w:lang w:eastAsia="zh-CN"/>
        </w:rPr>
      </w:pPr>
    </w:p>
    <w:p w14:paraId="75219E42">
      <w:pPr>
        <w:pStyle w:val="2"/>
        <w:rPr>
          <w:rFonts w:hint="eastAsia"/>
          <w:lang w:eastAsia="zh-CN"/>
        </w:rPr>
      </w:pPr>
    </w:p>
    <w:p w14:paraId="295A5F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5"/>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B603B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9C5A2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B6D5B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70C7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5B393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322C4CF">
      <w:pPr>
        <w:pStyle w:val="30"/>
        <w:jc w:val="center"/>
        <w:rPr>
          <w:rFonts w:hint="eastAsia" w:ascii="宋体" w:hAnsi="宋体" w:eastAsia="宋体" w:cs="宋体"/>
          <w:b/>
          <w:bCs w:val="0"/>
          <w:sz w:val="32"/>
          <w:szCs w:val="32"/>
          <w:highlight w:val="none"/>
          <w:lang w:val="en-US" w:eastAsia="zh-CN"/>
        </w:rPr>
      </w:pPr>
    </w:p>
    <w:p w14:paraId="3113D7CD">
      <w:pPr>
        <w:pStyle w:val="30"/>
        <w:jc w:val="center"/>
        <w:rPr>
          <w:rFonts w:hint="eastAsia" w:ascii="宋体" w:hAnsi="宋体" w:eastAsia="宋体" w:cs="宋体"/>
          <w:b/>
          <w:bCs w:val="0"/>
          <w:sz w:val="32"/>
          <w:szCs w:val="32"/>
          <w:highlight w:val="none"/>
          <w:lang w:val="en-US"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1C8BFE">
      <w:pPr>
        <w:pStyle w:val="30"/>
        <w:rPr>
          <w:rFonts w:hint="eastAsia" w:ascii="宋体" w:hAnsi="宋体" w:eastAsia="宋体" w:cs="宋体"/>
          <w:b/>
          <w:bCs w:val="0"/>
          <w:sz w:val="32"/>
          <w:szCs w:val="32"/>
          <w:highlight w:val="none"/>
          <w:lang w:val="en-US" w:eastAsia="zh-CN"/>
        </w:rPr>
      </w:pPr>
    </w:p>
    <w:p w14:paraId="0A8ECA02">
      <w:pPr>
        <w:pStyle w:val="30"/>
        <w:jc w:val="center"/>
        <w:rPr>
          <w:rFonts w:hint="eastAsia" w:ascii="宋体" w:hAnsi="宋体" w:eastAsia="宋体" w:cs="宋体"/>
          <w:b/>
          <w:bCs w:val="0"/>
          <w:sz w:val="32"/>
          <w:szCs w:val="32"/>
          <w:highlight w:val="none"/>
          <w:lang w:val="en-US" w:eastAsia="zh-CN"/>
        </w:rPr>
      </w:pPr>
    </w:p>
    <w:p w14:paraId="10AA99AD">
      <w:pPr>
        <w:pStyle w:val="30"/>
        <w:jc w:val="center"/>
        <w:rPr>
          <w:rFonts w:hint="eastAsia" w:ascii="宋体" w:hAnsi="宋体" w:eastAsia="宋体" w:cs="宋体"/>
          <w:b/>
          <w:bCs w:val="0"/>
          <w:sz w:val="32"/>
          <w:szCs w:val="32"/>
          <w:highlight w:val="none"/>
          <w:lang w:val="en-US" w:eastAsia="zh-CN"/>
        </w:rPr>
      </w:pPr>
    </w:p>
    <w:p w14:paraId="670B031C">
      <w:pPr>
        <w:pStyle w:val="30"/>
        <w:jc w:val="center"/>
        <w:rPr>
          <w:rFonts w:hint="eastAsia" w:ascii="宋体" w:hAnsi="宋体" w:eastAsia="宋体" w:cs="宋体"/>
          <w:b/>
          <w:bCs w:val="0"/>
          <w:sz w:val="32"/>
          <w:szCs w:val="32"/>
          <w:highlight w:val="none"/>
          <w:lang w:val="en-US" w:eastAsia="zh-CN"/>
        </w:rPr>
      </w:pPr>
    </w:p>
    <w:p w14:paraId="0FBDBB4C">
      <w:pPr>
        <w:pStyle w:val="30"/>
        <w:jc w:val="center"/>
        <w:rPr>
          <w:rFonts w:hint="eastAsia" w:ascii="宋体" w:hAnsi="宋体" w:eastAsia="宋体" w:cs="宋体"/>
          <w:b/>
          <w:bCs w:val="0"/>
          <w:sz w:val="32"/>
          <w:szCs w:val="32"/>
          <w:highlight w:val="none"/>
          <w:lang w:val="en-US" w:eastAsia="zh-CN"/>
        </w:rPr>
      </w:pPr>
    </w:p>
    <w:p w14:paraId="6DED8C5D">
      <w:pPr>
        <w:pStyle w:val="30"/>
        <w:jc w:val="center"/>
        <w:rPr>
          <w:rFonts w:hint="eastAsia" w:ascii="宋体" w:hAnsi="宋体" w:eastAsia="宋体" w:cs="宋体"/>
          <w:b/>
          <w:bCs w:val="0"/>
          <w:sz w:val="32"/>
          <w:szCs w:val="32"/>
          <w:highlight w:val="none"/>
          <w:lang w:val="en-US" w:eastAsia="zh-CN"/>
        </w:rPr>
      </w:pPr>
    </w:p>
    <w:p w14:paraId="4CCD971A">
      <w:pPr>
        <w:pStyle w:val="30"/>
        <w:ind w:left="0" w:leftChars="0" w:firstLine="0" w:firstLineChars="0"/>
        <w:jc w:val="both"/>
        <w:rPr>
          <w:rFonts w:hint="eastAsia" w:ascii="宋体" w:hAnsi="宋体" w:eastAsia="宋体" w:cs="宋体"/>
          <w:b/>
          <w:bCs w:val="0"/>
          <w:sz w:val="32"/>
          <w:szCs w:val="32"/>
          <w:highlight w:val="none"/>
          <w:lang w:val="en-US" w:eastAsia="zh-CN"/>
        </w:rPr>
      </w:pPr>
    </w:p>
    <w:p w14:paraId="2C463D44">
      <w:pPr>
        <w:pStyle w:val="30"/>
        <w:ind w:left="0" w:leftChars="0" w:firstLine="0" w:firstLineChars="0"/>
        <w:jc w:val="both"/>
        <w:rPr>
          <w:rFonts w:hint="eastAsia" w:ascii="宋体" w:hAnsi="宋体" w:eastAsia="宋体" w:cs="宋体"/>
          <w:b/>
          <w:bCs w:val="0"/>
          <w:sz w:val="32"/>
          <w:szCs w:val="32"/>
          <w:highlight w:val="none"/>
          <w:lang w:val="en-US" w:eastAsia="zh-CN"/>
        </w:rPr>
      </w:pPr>
    </w:p>
    <w:p w14:paraId="118C3B9B">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5"/>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65B713E">
      <w:pPr>
        <w:shd w:val="clear" w:color="auto" w:fill="FFFFFF"/>
        <w:jc w:val="left"/>
        <w:rPr>
          <w:rFonts w:hint="eastAsia" w:ascii="仿宋" w:hAnsi="仿宋" w:eastAsia="仿宋" w:cs="仿宋"/>
          <w:szCs w:val="21"/>
          <w:highlight w:val="none"/>
        </w:rPr>
      </w:pPr>
    </w:p>
    <w:p w14:paraId="3B4FE72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E5171D0">
      <w:pPr>
        <w:pStyle w:val="30"/>
        <w:rPr>
          <w:rFonts w:hint="eastAsia" w:ascii="仿宋" w:hAnsi="仿宋" w:eastAsia="仿宋" w:cs="仿宋"/>
          <w:highlight w:val="none"/>
        </w:rPr>
      </w:pPr>
    </w:p>
    <w:p w14:paraId="07CF9398">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0C06B98A">
      <w:pPr>
        <w:pStyle w:val="30"/>
        <w:jc w:val="center"/>
        <w:rPr>
          <w:rFonts w:hint="eastAsia" w:ascii="宋体" w:hAnsi="宋体" w:eastAsia="宋体" w:cs="宋体"/>
          <w:b/>
          <w:bCs w:val="0"/>
          <w:sz w:val="32"/>
          <w:szCs w:val="32"/>
          <w:highlight w:val="none"/>
          <w:lang w:val="en-US" w:eastAsia="zh-CN"/>
        </w:rPr>
      </w:pPr>
    </w:p>
    <w:p w14:paraId="2C4273A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726871">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3EC47E1">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416E245F">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1D14AEC">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367BE6E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139EAD85">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79FFF5DF">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19304202">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A82D748">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5E628D78">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585B325C">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4、履约评价情况</w:t>
      </w:r>
      <w:r>
        <w:rPr>
          <w:rFonts w:hint="eastAsia" w:ascii="仿宋" w:hAnsi="仿宋" w:eastAsia="仿宋" w:cs="仿宋"/>
          <w:b/>
          <w:bCs w:val="0"/>
          <w:sz w:val="22"/>
          <w:szCs w:val="22"/>
          <w:highlight w:val="none"/>
          <w:lang w:val="en-US" w:eastAsia="zh-CN"/>
        </w:rPr>
        <w:t>（如有）</w:t>
      </w:r>
    </w:p>
    <w:p w14:paraId="58AE1214">
      <w:pPr>
        <w:pStyle w:val="30"/>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14:paraId="576AAE0C">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119148A4">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63F37556">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5A3CE74B">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0990370F">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5B3289DC">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1EEB7BA9">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1ABCACDD">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401F311">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7FFFB7D9">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5、驻点司机情况</w:t>
      </w:r>
      <w:r>
        <w:rPr>
          <w:rFonts w:hint="eastAsia" w:ascii="仿宋" w:hAnsi="仿宋" w:eastAsia="仿宋" w:cs="仿宋"/>
          <w:b/>
          <w:bCs w:val="0"/>
          <w:sz w:val="22"/>
          <w:szCs w:val="22"/>
          <w:highlight w:val="none"/>
          <w:lang w:val="en-US" w:eastAsia="zh-CN"/>
        </w:rPr>
        <w:t>（如有）</w:t>
      </w:r>
    </w:p>
    <w:p w14:paraId="7EEF13B4">
      <w:pPr>
        <w:pStyle w:val="9"/>
        <w:spacing w:line="240" w:lineRule="auto"/>
        <w:ind w:right="706" w:rightChars="0"/>
        <w:rPr>
          <w:rFonts w:hint="eastAsia" w:ascii="仿宋" w:hAnsi="仿宋" w:eastAsia="仿宋" w:cs="仿宋"/>
        </w:rPr>
      </w:pPr>
      <w:r>
        <w:rPr>
          <w:rFonts w:hint="eastAsia" w:ascii="仿宋" w:hAnsi="仿宋" w:eastAsia="仿宋" w:cs="仿宋"/>
        </w:rPr>
        <w:t>项目名称：中山大学附属仁济医院非120急救医疗转运服务项目</w:t>
      </w:r>
    </w:p>
    <w:tbl>
      <w:tblPr>
        <w:tblStyle w:val="25"/>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813"/>
        <w:gridCol w:w="1465"/>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1813"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驾驶证</w:t>
            </w:r>
          </w:p>
        </w:tc>
        <w:tc>
          <w:tcPr>
            <w:tcW w:w="1465"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465"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驻点司机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lang w:eastAsia="zh-CN"/>
              </w:rPr>
            </w:pPr>
          </w:p>
        </w:tc>
      </w:tr>
    </w:tbl>
    <w:p w14:paraId="384F6636">
      <w:pPr>
        <w:pStyle w:val="30"/>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0493009F">
      <w:pPr>
        <w:numPr>
          <w:ilvl w:val="0"/>
          <w:numId w:val="0"/>
        </w:numPr>
        <w:ind w:left="0" w:leftChars="0" w:firstLine="400" w:firstLine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2</w:t>
      </w:r>
      <w:r>
        <w:rPr>
          <w:rFonts w:hint="default" w:ascii="仿宋" w:hAnsi="仿宋" w:eastAsia="仿宋" w:cs="仿宋"/>
          <w:color w:val="auto"/>
          <w:kern w:val="2"/>
          <w:sz w:val="20"/>
          <w:szCs w:val="20"/>
          <w:lang w:val="en-GB" w:eastAsia="zh-CN" w:bidi="ar-SA"/>
        </w:rPr>
        <w:t>．</w:t>
      </w:r>
      <w:r>
        <w:rPr>
          <w:rFonts w:hint="eastAsia" w:ascii="仿宋" w:hAnsi="仿宋" w:eastAsia="仿宋" w:cs="仿宋"/>
          <w:color w:val="auto"/>
          <w:kern w:val="2"/>
          <w:sz w:val="20"/>
          <w:szCs w:val="20"/>
          <w:lang w:val="en-US" w:eastAsia="zh-CN" w:bidi="ar-SA"/>
        </w:rPr>
        <w:t>提供相关证书复印件及自2024年1月以来任意一个月供应商（或其分支机构）为其缴纳的社保证明，加盖公章。未提供或提供不齐全不得分。须与符合性评审中响应人所提供的驻点司机名单及资料一致。驾驶经验年限自B照或以上驾驶证发证之日起计算，C照不予认可。</w:t>
      </w:r>
    </w:p>
    <w:p w14:paraId="4888154D">
      <w:pPr>
        <w:numPr>
          <w:ilvl w:val="0"/>
          <w:numId w:val="0"/>
        </w:numPr>
        <w:ind w:left="400" w:leftChars="0"/>
        <w:jc w:val="both"/>
        <w:rPr>
          <w:rFonts w:hint="eastAsia" w:ascii="仿宋" w:hAnsi="仿宋" w:eastAsia="仿宋" w:cs="仿宋"/>
          <w:color w:val="auto"/>
          <w:sz w:val="24"/>
          <w:szCs w:val="24"/>
          <w:highlight w:val="none"/>
          <w:lang w:eastAsia="zh-CN"/>
        </w:rPr>
      </w:pPr>
    </w:p>
    <w:p w14:paraId="001C46D6">
      <w:pPr>
        <w:numPr>
          <w:ilvl w:val="0"/>
          <w:numId w:val="0"/>
        </w:numPr>
        <w:spacing w:line="360" w:lineRule="auto"/>
        <w:ind w:firstLine="3600" w:firstLineChars="1500"/>
        <w:jc w:val="both"/>
        <w:rPr>
          <w:rFonts w:hint="eastAsia" w:ascii="仿宋" w:hAnsi="仿宋" w:eastAsia="仿宋" w:cs="仿宋"/>
          <w:color w:val="auto"/>
          <w:sz w:val="24"/>
          <w:szCs w:val="24"/>
          <w:highlight w:val="none"/>
          <w:lang w:eastAsia="zh-CN"/>
        </w:rPr>
      </w:pPr>
    </w:p>
    <w:p w14:paraId="6ECE59D1">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629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87A3E6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71182B8">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0AA46264">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3474F44">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6、管理体系认证情况</w:t>
      </w:r>
      <w:r>
        <w:rPr>
          <w:rFonts w:hint="eastAsia" w:ascii="仿宋" w:hAnsi="仿宋" w:eastAsia="仿宋" w:cs="仿宋"/>
          <w:b/>
          <w:bCs w:val="0"/>
          <w:sz w:val="22"/>
          <w:szCs w:val="22"/>
          <w:highlight w:val="none"/>
          <w:lang w:val="en-US" w:eastAsia="zh-CN"/>
        </w:rPr>
        <w:t>（如有）</w:t>
      </w:r>
    </w:p>
    <w:tbl>
      <w:tblPr>
        <w:tblStyle w:val="25"/>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C6A43A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5"/>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0E51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5C2EEB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7915BC6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18E070B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690EB46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15F68DC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654C3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E1670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CFB2D4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拟投入本项目车辆的车龄车况</w:t>
            </w:r>
          </w:p>
        </w:tc>
        <w:tc>
          <w:tcPr>
            <w:tcW w:w="5054" w:type="dxa"/>
            <w:vAlign w:val="center"/>
          </w:tcPr>
          <w:p w14:paraId="15440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根据拟投入本项目车辆的车龄车况作为评审依据，包括以下内容：①车龄、车况（行驶里程）②车辆配备方案③车辆安全性能。</w:t>
            </w:r>
          </w:p>
          <w:p w14:paraId="3C81E7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每提供1项内容且表述完整，有针对性，车龄短、行驶里程短、安全性能高、车况良好、车辆配备方案详细可行，满足或优于采购人要求的得5分，若提供的内容不全面或针对性不强的每项得2.5分。不提供方案的不得分。</w:t>
            </w:r>
          </w:p>
          <w:p w14:paraId="76A07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lang w:val="en-US" w:eastAsia="zh-CN"/>
              </w:rPr>
              <w:t>注：提供权属证明材料、车辆行驶证、年审证明、车辆外部及车厢内部照片等证明资料。</w:t>
            </w:r>
          </w:p>
        </w:tc>
        <w:tc>
          <w:tcPr>
            <w:tcW w:w="1540" w:type="dxa"/>
            <w:vAlign w:val="center"/>
          </w:tcPr>
          <w:p w14:paraId="13F9C31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0C3F88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F040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CC476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BE4080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rPr>
              <w:t>服务质量保障方案</w:t>
            </w:r>
          </w:p>
        </w:tc>
        <w:tc>
          <w:tcPr>
            <w:tcW w:w="5054" w:type="dxa"/>
            <w:vAlign w:val="center"/>
          </w:tcPr>
          <w:p w14:paraId="3A1D94D0">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sz w:val="21"/>
                <w:szCs w:val="21"/>
              </w:rPr>
              <w:t>服务质量保障方案</w:t>
            </w:r>
            <w:r>
              <w:rPr>
                <w:rFonts w:hint="eastAsia" w:ascii="仿宋" w:hAnsi="仿宋" w:eastAsia="仿宋" w:cs="仿宋"/>
                <w:sz w:val="21"/>
                <w:szCs w:val="21"/>
                <w:lang w:val="en-US" w:eastAsia="zh-CN"/>
              </w:rPr>
              <w:t>作为评审依据，包括但不限于以下内容：</w:t>
            </w:r>
          </w:p>
          <w:p w14:paraId="64536EC3">
            <w:pPr>
              <w:pStyle w:val="9"/>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非120急救转运的流程、标准；</w:t>
            </w:r>
          </w:p>
          <w:p w14:paraId="41DB89FC">
            <w:pPr>
              <w:pStyle w:val="9"/>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24小时用车及响应出车保障；</w:t>
            </w:r>
          </w:p>
          <w:p w14:paraId="55A87D59">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配套</w:t>
            </w:r>
            <w:r>
              <w:rPr>
                <w:rFonts w:hint="eastAsia" w:ascii="仿宋" w:hAnsi="仿宋" w:eastAsia="仿宋" w:cs="仿宋"/>
                <w:sz w:val="21"/>
                <w:szCs w:val="21"/>
                <w:lang w:val="en-US" w:eastAsia="zh-CN"/>
              </w:rPr>
              <w:t>设备</w:t>
            </w:r>
            <w:r>
              <w:rPr>
                <w:rFonts w:hint="eastAsia" w:ascii="仿宋" w:hAnsi="仿宋" w:eastAsia="仿宋" w:cs="仿宋"/>
                <w:sz w:val="21"/>
                <w:szCs w:val="21"/>
              </w:rPr>
              <w:t>用品；</w:t>
            </w:r>
          </w:p>
          <w:p w14:paraId="5C53F7D0">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应急处理方案；</w:t>
            </w:r>
          </w:p>
          <w:p w14:paraId="1335F0FA">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司机培训</w:t>
            </w:r>
            <w:r>
              <w:rPr>
                <w:rFonts w:hint="eastAsia" w:ascii="仿宋" w:hAnsi="仿宋" w:eastAsia="仿宋" w:cs="仿宋"/>
                <w:sz w:val="21"/>
                <w:szCs w:val="21"/>
                <w:lang w:val="en-US" w:eastAsia="zh-CN"/>
              </w:rPr>
              <w:t>方案</w:t>
            </w:r>
            <w:r>
              <w:rPr>
                <w:rFonts w:hint="eastAsia" w:ascii="仿宋" w:hAnsi="仿宋" w:eastAsia="仿宋" w:cs="仿宋"/>
                <w:sz w:val="21"/>
                <w:szCs w:val="21"/>
                <w:lang w:eastAsia="zh-CN"/>
              </w:rPr>
              <w:t>；</w:t>
            </w:r>
          </w:p>
          <w:p w14:paraId="61593B0E">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b/>
                <w:color w:val="000000"/>
                <w:kern w:val="0"/>
                <w:sz w:val="21"/>
                <w:szCs w:val="21"/>
              </w:rPr>
            </w:pPr>
            <w:r>
              <w:rPr>
                <w:rFonts w:hint="eastAsia" w:ascii="仿宋" w:hAnsi="仿宋" w:eastAsia="仿宋" w:cs="仿宋"/>
                <w:sz w:val="21"/>
                <w:szCs w:val="21"/>
                <w:lang w:val="en-US" w:eastAsia="zh-CN"/>
              </w:rPr>
              <w:t>服务质量考核管理。</w:t>
            </w:r>
          </w:p>
          <w:p w14:paraId="4403D16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14:paraId="3B66C65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6</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14:paraId="4129E11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14:paraId="373033B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内容完整</w:t>
            </w:r>
            <w:r>
              <w:rPr>
                <w:rFonts w:hint="eastAsia" w:ascii="仿宋" w:hAnsi="仿宋" w:eastAsia="仿宋" w:cs="仿宋"/>
                <w:sz w:val="21"/>
                <w:szCs w:val="21"/>
                <w:lang w:eastAsia="zh-CN"/>
              </w:rPr>
              <w:t>，</w:t>
            </w:r>
            <w:r>
              <w:rPr>
                <w:rFonts w:hint="eastAsia" w:ascii="仿宋" w:hAnsi="仿宋" w:eastAsia="仿宋" w:cs="仿宋"/>
                <w:sz w:val="21"/>
                <w:szCs w:val="21"/>
              </w:rPr>
              <w:t>科学合理、可操作性强</w:t>
            </w:r>
            <w:r>
              <w:rPr>
                <w:rFonts w:hint="eastAsia" w:ascii="仿宋" w:hAnsi="仿宋" w:eastAsia="仿宋" w:cs="仿宋"/>
                <w:sz w:val="21"/>
                <w:szCs w:val="21"/>
                <w:lang w:eastAsia="zh-CN"/>
              </w:rPr>
              <w:t>，</w:t>
            </w:r>
            <w:r>
              <w:rPr>
                <w:rFonts w:hint="eastAsia" w:ascii="仿宋" w:hAnsi="仿宋" w:eastAsia="仿宋" w:cs="仿宋"/>
                <w:sz w:val="21"/>
                <w:szCs w:val="21"/>
              </w:rPr>
              <w:t>能满足本项目提出的所有要求，有具体可行的、规范的措施，能有效保证项目质量</w:t>
            </w:r>
            <w:r>
              <w:rPr>
                <w:rFonts w:hint="eastAsia" w:ascii="仿宋" w:hAnsi="仿宋" w:eastAsia="仿宋" w:cs="仿宋"/>
                <w:sz w:val="21"/>
                <w:szCs w:val="21"/>
                <w:lang w:val="en-US" w:eastAsia="zh-CN"/>
              </w:rPr>
              <w:t>，得3分</w:t>
            </w:r>
            <w:r>
              <w:rPr>
                <w:rFonts w:hint="eastAsia" w:ascii="仿宋" w:hAnsi="仿宋" w:eastAsia="仿宋" w:cs="仿宋"/>
                <w:sz w:val="21"/>
                <w:szCs w:val="21"/>
              </w:rPr>
              <w:t>；</w:t>
            </w:r>
          </w:p>
          <w:p w14:paraId="2F5BF91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内容不够完整</w:t>
            </w:r>
            <w:r>
              <w:rPr>
                <w:rFonts w:hint="eastAsia" w:ascii="仿宋" w:hAnsi="仿宋" w:eastAsia="仿宋" w:cs="仿宋"/>
                <w:sz w:val="21"/>
                <w:szCs w:val="21"/>
              </w:rPr>
              <w:t>科学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考虑片面的</w:t>
            </w:r>
            <w:r>
              <w:rPr>
                <w:rFonts w:hint="eastAsia" w:ascii="仿宋" w:hAnsi="仿宋" w:eastAsia="仿宋" w:cs="仿宋"/>
                <w:sz w:val="21"/>
                <w:szCs w:val="21"/>
                <w:lang w:eastAsia="zh-CN"/>
              </w:rPr>
              <w:t>，</w:t>
            </w:r>
            <w:r>
              <w:rPr>
                <w:rFonts w:hint="eastAsia" w:ascii="仿宋" w:hAnsi="仿宋" w:eastAsia="仿宋" w:cs="仿宋"/>
                <w:sz w:val="21"/>
                <w:szCs w:val="21"/>
              </w:rPr>
              <w:t>得</w:t>
            </w:r>
            <w:r>
              <w:rPr>
                <w:rFonts w:hint="eastAsia" w:ascii="仿宋" w:hAnsi="仿宋" w:eastAsia="仿宋" w:cs="仿宋"/>
                <w:sz w:val="21"/>
                <w:szCs w:val="21"/>
                <w:lang w:val="en-US" w:eastAsia="zh-CN"/>
              </w:rPr>
              <w:t>1.5</w:t>
            </w:r>
            <w:r>
              <w:rPr>
                <w:rFonts w:hint="eastAsia" w:ascii="仿宋" w:hAnsi="仿宋" w:eastAsia="仿宋" w:cs="仿宋"/>
                <w:sz w:val="21"/>
                <w:szCs w:val="21"/>
              </w:rPr>
              <w:t>分；</w:t>
            </w:r>
          </w:p>
          <w:p w14:paraId="4D073B3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lang w:val="en-US" w:eastAsia="zh-CN"/>
              </w:rPr>
              <w:t>③</w:t>
            </w:r>
            <w:r>
              <w:rPr>
                <w:rFonts w:hint="eastAsia" w:ascii="仿宋" w:hAnsi="仿宋" w:eastAsia="仿宋" w:cs="仿宋"/>
                <w:sz w:val="21"/>
                <w:szCs w:val="21"/>
              </w:rPr>
              <w:t>其它情况不得分。</w:t>
            </w:r>
          </w:p>
        </w:tc>
        <w:tc>
          <w:tcPr>
            <w:tcW w:w="1540" w:type="dxa"/>
            <w:vAlign w:val="center"/>
          </w:tcPr>
          <w:p w14:paraId="3B1FDBC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7AF5BBB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10E4B405">
      <w:pPr>
        <w:pStyle w:val="30"/>
        <w:ind w:left="0" w:leftChars="0" w:firstLine="0" w:firstLineChars="0"/>
        <w:rPr>
          <w:rFonts w:hint="eastAsia" w:ascii="仿宋" w:hAnsi="仿宋" w:eastAsia="仿宋" w:cs="仿宋"/>
          <w:highlight w:val="none"/>
        </w:rPr>
      </w:pPr>
    </w:p>
    <w:p w14:paraId="3143DA51">
      <w:pPr>
        <w:pStyle w:val="30"/>
        <w:ind w:left="0" w:leftChars="0" w:firstLine="0" w:firstLineChars="0"/>
        <w:rPr>
          <w:rFonts w:hint="eastAsia" w:ascii="仿宋" w:hAnsi="仿宋" w:eastAsia="仿宋" w:cs="仿宋"/>
          <w:highlight w:val="none"/>
        </w:rPr>
      </w:pP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DE144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14:paraId="035D9CCD">
      <w:pPr>
        <w:pStyle w:val="2"/>
        <w:rPr>
          <w:rFonts w:hint="default" w:ascii="宋体" w:hAnsi="宋体" w:cs="宋体"/>
          <w:color w:val="auto"/>
          <w:sz w:val="24"/>
          <w:highlight w:val="none"/>
          <w:lang w:val="en-US" w:eastAsia="zh-CN"/>
        </w:rPr>
      </w:pPr>
    </w:p>
    <w:p w14:paraId="29F2A64B">
      <w:pPr>
        <w:pStyle w:val="2"/>
        <w:rPr>
          <w:rFonts w:hint="default" w:ascii="宋体" w:hAnsi="宋体" w:cs="宋体"/>
          <w:color w:val="auto"/>
          <w:sz w:val="24"/>
          <w:highlight w:val="none"/>
          <w:lang w:val="en-US" w:eastAsia="zh-CN"/>
        </w:rPr>
      </w:pPr>
    </w:p>
    <w:p w14:paraId="4138BE1B">
      <w:pPr>
        <w:pStyle w:val="2"/>
        <w:rPr>
          <w:rFonts w:hint="default" w:ascii="宋体" w:hAnsi="宋体" w:cs="宋体"/>
          <w:color w:val="auto"/>
          <w:sz w:val="24"/>
          <w:highlight w:val="none"/>
          <w:lang w:val="en-US" w:eastAsia="zh-CN"/>
        </w:rPr>
      </w:pPr>
    </w:p>
    <w:p w14:paraId="69E8F06E">
      <w:pPr>
        <w:pStyle w:val="2"/>
        <w:rPr>
          <w:rFonts w:hint="default" w:ascii="宋体" w:hAnsi="宋体" w:cs="宋体"/>
          <w:color w:val="auto"/>
          <w:sz w:val="24"/>
          <w:highlight w:val="none"/>
          <w:lang w:val="en-US" w:eastAsia="zh-CN"/>
        </w:rPr>
      </w:pPr>
    </w:p>
    <w:p w14:paraId="24ACFB16">
      <w:pPr>
        <w:pStyle w:val="2"/>
        <w:rPr>
          <w:rFonts w:hint="default" w:ascii="宋体" w:hAnsi="宋体" w:cs="宋体"/>
          <w:color w:val="auto"/>
          <w:sz w:val="24"/>
          <w:highlight w:val="none"/>
          <w:lang w:val="en-US" w:eastAsia="zh-CN"/>
        </w:rPr>
      </w:pPr>
    </w:p>
    <w:p w14:paraId="65D6CF4A">
      <w:pPr>
        <w:pStyle w:val="2"/>
        <w:rPr>
          <w:rFonts w:hint="default" w:ascii="宋体" w:hAnsi="宋体" w:cs="宋体"/>
          <w:color w:val="auto"/>
          <w:sz w:val="24"/>
          <w:highlight w:val="none"/>
          <w:lang w:val="en-US" w:eastAsia="zh-CN"/>
        </w:rPr>
      </w:pPr>
    </w:p>
    <w:p w14:paraId="5AB5B7A6">
      <w:pPr>
        <w:pStyle w:val="2"/>
        <w:rPr>
          <w:rFonts w:hint="default" w:ascii="宋体" w:hAnsi="宋体" w:cs="宋体"/>
          <w:color w:val="auto"/>
          <w:sz w:val="24"/>
          <w:highlight w:val="none"/>
          <w:lang w:val="en-US" w:eastAsia="zh-CN"/>
        </w:rPr>
      </w:pPr>
    </w:p>
    <w:p w14:paraId="4E8709F6">
      <w:pPr>
        <w:pStyle w:val="2"/>
        <w:rPr>
          <w:rFonts w:hint="default" w:ascii="宋体" w:hAnsi="宋体" w:cs="宋体"/>
          <w:color w:val="auto"/>
          <w:sz w:val="24"/>
          <w:highlight w:val="none"/>
          <w:lang w:val="en-US" w:eastAsia="zh-CN"/>
        </w:rPr>
      </w:pPr>
    </w:p>
    <w:p w14:paraId="08AC8831">
      <w:pPr>
        <w:pStyle w:val="2"/>
        <w:rPr>
          <w:rFonts w:hint="default" w:ascii="宋体" w:hAnsi="宋体" w:cs="宋体"/>
          <w:color w:val="auto"/>
          <w:sz w:val="24"/>
          <w:highlight w:val="none"/>
          <w:lang w:val="en-US" w:eastAsia="zh-CN"/>
        </w:rPr>
      </w:pPr>
    </w:p>
    <w:p w14:paraId="230C79F0">
      <w:pPr>
        <w:pStyle w:val="2"/>
        <w:rPr>
          <w:rFonts w:hint="default" w:ascii="宋体" w:hAnsi="宋体" w:cs="宋体"/>
          <w:color w:val="auto"/>
          <w:sz w:val="24"/>
          <w:highlight w:val="none"/>
          <w:lang w:val="en-US" w:eastAsia="zh-CN"/>
        </w:rPr>
      </w:pPr>
    </w:p>
    <w:p w14:paraId="1E9647A7">
      <w:pPr>
        <w:pStyle w:val="2"/>
        <w:rPr>
          <w:rFonts w:hint="default" w:ascii="宋体" w:hAnsi="宋体" w:cs="宋体"/>
          <w:color w:val="auto"/>
          <w:sz w:val="24"/>
          <w:highlight w:val="none"/>
          <w:lang w:val="en-US" w:eastAsia="zh-CN"/>
        </w:rPr>
      </w:pPr>
    </w:p>
    <w:p w14:paraId="58D035F6">
      <w:pPr>
        <w:pStyle w:val="2"/>
        <w:rPr>
          <w:rFonts w:hint="default" w:ascii="宋体" w:hAnsi="宋体" w:cs="宋体"/>
          <w:color w:val="auto"/>
          <w:sz w:val="24"/>
          <w:highlight w:val="none"/>
          <w:lang w:val="en-US" w:eastAsia="zh-CN"/>
        </w:rPr>
      </w:pPr>
    </w:p>
    <w:p w14:paraId="17457D6F">
      <w:pPr>
        <w:pStyle w:val="2"/>
        <w:rPr>
          <w:rFonts w:hint="default" w:ascii="宋体" w:hAnsi="宋体" w:cs="宋体"/>
          <w:color w:val="auto"/>
          <w:sz w:val="24"/>
          <w:highlight w:val="none"/>
          <w:lang w:val="en-US" w:eastAsia="zh-CN"/>
        </w:rPr>
      </w:pPr>
    </w:p>
    <w:p w14:paraId="6FFC2738">
      <w:pPr>
        <w:pStyle w:val="2"/>
        <w:rPr>
          <w:rFonts w:hint="default" w:ascii="宋体" w:hAnsi="宋体" w:cs="宋体"/>
          <w:color w:val="auto"/>
          <w:sz w:val="24"/>
          <w:highlight w:val="none"/>
          <w:lang w:val="en-US" w:eastAsia="zh-CN"/>
        </w:rPr>
      </w:pPr>
    </w:p>
    <w:p w14:paraId="61E34B47">
      <w:pPr>
        <w:pStyle w:val="2"/>
        <w:rPr>
          <w:rFonts w:hint="default" w:ascii="宋体" w:hAnsi="宋体" w:cs="宋体"/>
          <w:color w:val="auto"/>
          <w:sz w:val="24"/>
          <w:highlight w:val="none"/>
          <w:lang w:val="en-US" w:eastAsia="zh-CN"/>
        </w:rPr>
      </w:pPr>
    </w:p>
    <w:p w14:paraId="2AA6901F">
      <w:pPr>
        <w:pStyle w:val="2"/>
        <w:rPr>
          <w:rFonts w:hint="default" w:ascii="宋体" w:hAnsi="宋体" w:cs="宋体"/>
          <w:color w:val="auto"/>
          <w:sz w:val="24"/>
          <w:highlight w:val="none"/>
          <w:lang w:val="en-US" w:eastAsia="zh-CN"/>
        </w:rPr>
      </w:pPr>
    </w:p>
    <w:p w14:paraId="353AC2E1">
      <w:pPr>
        <w:pStyle w:val="2"/>
        <w:rPr>
          <w:rFonts w:hint="default" w:ascii="宋体" w:hAnsi="宋体" w:cs="宋体"/>
          <w:color w:val="auto"/>
          <w:sz w:val="24"/>
          <w:highlight w:val="none"/>
          <w:lang w:val="en-US" w:eastAsia="zh-CN"/>
        </w:rPr>
      </w:pPr>
    </w:p>
    <w:p w14:paraId="179BFFDE">
      <w:pPr>
        <w:pStyle w:val="30"/>
        <w:jc w:val="center"/>
        <w:rPr>
          <w:rFonts w:hint="eastAsia" w:ascii="仿宋" w:hAnsi="仿宋" w:eastAsia="仿宋" w:cs="仿宋"/>
          <w:b/>
          <w:bCs w:val="0"/>
          <w:sz w:val="32"/>
          <w:szCs w:val="32"/>
          <w:highlight w:val="none"/>
          <w:lang w:val="en-US" w:eastAsia="zh-CN"/>
        </w:rPr>
      </w:pPr>
    </w:p>
    <w:p w14:paraId="7A7FA42D">
      <w:pPr>
        <w:pStyle w:val="30"/>
        <w:jc w:val="center"/>
        <w:rPr>
          <w:rFonts w:hint="eastAsia" w:ascii="仿宋" w:hAnsi="仿宋" w:eastAsia="仿宋" w:cs="仿宋"/>
          <w:b/>
          <w:bCs w:val="0"/>
          <w:sz w:val="32"/>
          <w:szCs w:val="32"/>
          <w:highlight w:val="none"/>
          <w:lang w:val="en-US" w:eastAsia="zh-CN"/>
        </w:rPr>
      </w:pPr>
    </w:p>
    <w:p w14:paraId="45CD1902">
      <w:pPr>
        <w:pStyle w:val="30"/>
        <w:jc w:val="center"/>
        <w:rPr>
          <w:rFonts w:hint="eastAsia" w:ascii="仿宋" w:hAnsi="仿宋" w:eastAsia="仿宋" w:cs="仿宋"/>
          <w:b/>
          <w:bCs w:val="0"/>
          <w:sz w:val="32"/>
          <w:szCs w:val="32"/>
          <w:highlight w:val="none"/>
          <w:lang w:val="en-US" w:eastAsia="zh-CN"/>
        </w:rPr>
      </w:pPr>
    </w:p>
    <w:p w14:paraId="230F64BF">
      <w:pPr>
        <w:pStyle w:val="30"/>
        <w:jc w:val="center"/>
        <w:rPr>
          <w:rFonts w:hint="eastAsia" w:ascii="仿宋" w:hAnsi="仿宋" w:eastAsia="仿宋" w:cs="仿宋"/>
          <w:b/>
          <w:bCs w:val="0"/>
          <w:sz w:val="32"/>
          <w:szCs w:val="32"/>
          <w:highlight w:val="none"/>
          <w:lang w:val="en-US" w:eastAsia="zh-CN"/>
        </w:rPr>
      </w:pPr>
    </w:p>
    <w:p w14:paraId="7AC813F4">
      <w:pPr>
        <w:pStyle w:val="30"/>
        <w:jc w:val="center"/>
        <w:rPr>
          <w:rFonts w:hint="eastAsia" w:ascii="仿宋" w:hAnsi="仿宋" w:eastAsia="仿宋" w:cs="仿宋"/>
          <w:b/>
          <w:bCs w:val="0"/>
          <w:sz w:val="32"/>
          <w:szCs w:val="32"/>
          <w:highlight w:val="none"/>
          <w:lang w:val="en-US" w:eastAsia="zh-CN"/>
        </w:rPr>
      </w:pPr>
    </w:p>
    <w:p w14:paraId="7BF064A4">
      <w:pPr>
        <w:pStyle w:val="30"/>
        <w:jc w:val="center"/>
        <w:rPr>
          <w:rFonts w:hint="eastAsia" w:ascii="仿宋" w:hAnsi="仿宋" w:eastAsia="仿宋" w:cs="仿宋"/>
          <w:b/>
          <w:bCs w:val="0"/>
          <w:sz w:val="32"/>
          <w:szCs w:val="32"/>
          <w:highlight w:val="none"/>
          <w:lang w:val="en-US" w:eastAsia="zh-CN"/>
        </w:rPr>
      </w:pPr>
    </w:p>
    <w:p w14:paraId="3409F27A">
      <w:pPr>
        <w:pStyle w:val="30"/>
        <w:jc w:val="center"/>
        <w:rPr>
          <w:rFonts w:hint="eastAsia" w:ascii="仿宋" w:hAnsi="仿宋" w:eastAsia="仿宋" w:cs="仿宋"/>
          <w:b/>
          <w:bCs w:val="0"/>
          <w:sz w:val="32"/>
          <w:szCs w:val="32"/>
          <w:highlight w:val="none"/>
          <w:lang w:val="en-US" w:eastAsia="zh-CN"/>
        </w:rPr>
      </w:pPr>
    </w:p>
    <w:p w14:paraId="1F9E6E3A">
      <w:pPr>
        <w:pStyle w:val="30"/>
        <w:jc w:val="center"/>
        <w:rPr>
          <w:rFonts w:hint="eastAsia" w:ascii="仿宋" w:hAnsi="仿宋" w:eastAsia="仿宋" w:cs="仿宋"/>
          <w:b/>
          <w:bCs w:val="0"/>
          <w:sz w:val="32"/>
          <w:szCs w:val="32"/>
          <w:highlight w:val="none"/>
          <w:lang w:val="en-US" w:eastAsia="zh-CN"/>
        </w:rPr>
      </w:pPr>
    </w:p>
    <w:p w14:paraId="43D7B0CD">
      <w:pPr>
        <w:pStyle w:val="30"/>
        <w:jc w:val="center"/>
        <w:rPr>
          <w:rFonts w:hint="eastAsia" w:ascii="仿宋" w:hAnsi="仿宋" w:eastAsia="仿宋" w:cs="仿宋"/>
          <w:b/>
          <w:bCs w:val="0"/>
          <w:sz w:val="32"/>
          <w:szCs w:val="32"/>
          <w:highlight w:val="none"/>
          <w:lang w:val="en-US"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14:paraId="12E95352">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1、拟投入本项目车辆的车龄车况</w:t>
      </w:r>
      <w:r>
        <w:rPr>
          <w:rFonts w:hint="eastAsia" w:ascii="仿宋" w:hAnsi="仿宋" w:eastAsia="仿宋" w:cs="仿宋"/>
          <w:b/>
          <w:bCs w:val="0"/>
          <w:sz w:val="22"/>
          <w:szCs w:val="22"/>
          <w:highlight w:val="none"/>
          <w:lang w:val="en-US" w:eastAsia="zh-CN"/>
        </w:rPr>
        <w:t>（如有）</w:t>
      </w:r>
    </w:p>
    <w:p w14:paraId="74C3CEA8">
      <w:pPr>
        <w:pStyle w:val="2"/>
        <w:rPr>
          <w:rFonts w:hint="eastAsia" w:ascii="仿宋" w:hAnsi="仿宋" w:eastAsia="仿宋" w:cs="仿宋"/>
          <w:sz w:val="21"/>
          <w:szCs w:val="21"/>
          <w:highlight w:val="none"/>
        </w:rPr>
      </w:pPr>
    </w:p>
    <w:p w14:paraId="6806A087">
      <w:pPr>
        <w:pStyle w:val="2"/>
        <w:rPr>
          <w:rFonts w:hint="default" w:ascii="宋体" w:hAnsi="宋体" w:cs="宋体"/>
          <w:color w:val="auto"/>
          <w:sz w:val="28"/>
          <w:szCs w:val="21"/>
          <w:highlight w:val="none"/>
          <w:lang w:val="en-US" w:eastAsia="zh-CN"/>
        </w:rPr>
      </w:pPr>
      <w:r>
        <w:rPr>
          <w:rFonts w:hint="eastAsia" w:ascii="仿宋" w:hAnsi="仿宋" w:eastAsia="仿宋" w:cs="仿宋"/>
          <w:sz w:val="22"/>
          <w:szCs w:val="22"/>
          <w:highlight w:val="none"/>
        </w:rPr>
        <w:t>注：提供权属证明材料、车辆行驶证、年审证明、车辆外部及车厢内部照片等证明资料。</w:t>
      </w:r>
    </w:p>
    <w:p w14:paraId="76412F0C">
      <w:pPr>
        <w:pStyle w:val="2"/>
        <w:rPr>
          <w:rFonts w:hint="default" w:ascii="宋体" w:hAnsi="宋体" w:cs="宋体"/>
          <w:color w:val="auto"/>
          <w:sz w:val="24"/>
          <w:highlight w:val="none"/>
          <w:lang w:val="en-US" w:eastAsia="zh-CN"/>
        </w:rPr>
      </w:pPr>
    </w:p>
    <w:p w14:paraId="4796859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E73C97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2DD41D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8201C9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9D4C4B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28FDBF1">
      <w:pPr>
        <w:pStyle w:val="2"/>
        <w:rPr>
          <w:rFonts w:hint="default" w:ascii="宋体" w:hAnsi="宋体" w:cs="宋体"/>
          <w:color w:val="auto"/>
          <w:sz w:val="24"/>
          <w:highlight w:val="none"/>
          <w:lang w:val="en-US" w:eastAsia="zh-CN"/>
        </w:rPr>
      </w:pPr>
    </w:p>
    <w:p w14:paraId="419062DB">
      <w:pPr>
        <w:pStyle w:val="2"/>
        <w:rPr>
          <w:rFonts w:hint="default" w:ascii="宋体" w:hAnsi="宋体" w:cs="宋体"/>
          <w:color w:val="auto"/>
          <w:sz w:val="24"/>
          <w:highlight w:val="none"/>
          <w:lang w:val="en-US" w:eastAsia="zh-CN"/>
        </w:rPr>
      </w:pPr>
    </w:p>
    <w:p w14:paraId="3EAA098A">
      <w:pPr>
        <w:pStyle w:val="2"/>
        <w:rPr>
          <w:rFonts w:hint="default" w:ascii="宋体" w:hAnsi="宋体" w:cs="宋体"/>
          <w:color w:val="auto"/>
          <w:sz w:val="24"/>
          <w:highlight w:val="none"/>
          <w:lang w:val="en-US" w:eastAsia="zh-CN"/>
        </w:rPr>
      </w:pPr>
    </w:p>
    <w:p w14:paraId="611EFE0D">
      <w:pPr>
        <w:pStyle w:val="30"/>
        <w:jc w:val="center"/>
        <w:rPr>
          <w:rFonts w:hint="eastAsia" w:ascii="仿宋" w:hAnsi="仿宋" w:eastAsia="仿宋" w:cs="仿宋"/>
          <w:b/>
          <w:bCs w:val="0"/>
          <w:sz w:val="32"/>
          <w:szCs w:val="32"/>
          <w:highlight w:val="none"/>
          <w:lang w:val="en-US" w:eastAsia="zh-CN"/>
        </w:rPr>
      </w:pPr>
    </w:p>
    <w:p w14:paraId="40602872">
      <w:pPr>
        <w:pStyle w:val="30"/>
        <w:jc w:val="center"/>
        <w:rPr>
          <w:rFonts w:hint="eastAsia" w:ascii="仿宋" w:hAnsi="仿宋" w:eastAsia="仿宋" w:cs="仿宋"/>
          <w:b/>
          <w:bCs w:val="0"/>
          <w:sz w:val="32"/>
          <w:szCs w:val="32"/>
          <w:highlight w:val="none"/>
          <w:lang w:val="en-US" w:eastAsia="zh-CN"/>
        </w:rPr>
      </w:pPr>
    </w:p>
    <w:p w14:paraId="78447DE4">
      <w:pPr>
        <w:pStyle w:val="30"/>
        <w:jc w:val="center"/>
        <w:rPr>
          <w:rFonts w:hint="eastAsia" w:ascii="仿宋" w:hAnsi="仿宋" w:eastAsia="仿宋" w:cs="仿宋"/>
          <w:b/>
          <w:bCs w:val="0"/>
          <w:sz w:val="32"/>
          <w:szCs w:val="32"/>
          <w:highlight w:val="none"/>
          <w:lang w:val="en-US" w:eastAsia="zh-CN"/>
        </w:rPr>
      </w:pPr>
    </w:p>
    <w:p w14:paraId="35F453A4">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2、服务质量保障方案</w:t>
      </w:r>
      <w:r>
        <w:rPr>
          <w:rFonts w:hint="eastAsia" w:ascii="仿宋" w:hAnsi="仿宋" w:eastAsia="仿宋" w:cs="仿宋"/>
          <w:b/>
          <w:bCs w:val="0"/>
          <w:sz w:val="22"/>
          <w:szCs w:val="22"/>
          <w:highlight w:val="none"/>
          <w:lang w:val="en-US" w:eastAsia="zh-CN"/>
        </w:rPr>
        <w:t>（如有）</w:t>
      </w:r>
    </w:p>
    <w:p w14:paraId="08D9E83F">
      <w:pPr>
        <w:pStyle w:val="31"/>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方案包括但不限于:</w:t>
      </w:r>
    </w:p>
    <w:p w14:paraId="2AEA6AC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（1）非120急救转运的流程、标准；</w:t>
      </w:r>
    </w:p>
    <w:p w14:paraId="62BF109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（2）24小时用车及响应出车保障；</w:t>
      </w:r>
    </w:p>
    <w:p w14:paraId="6B03B39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（3）配套设备用品；</w:t>
      </w:r>
    </w:p>
    <w:p w14:paraId="6B69EEF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（4）应急处理方案；</w:t>
      </w:r>
    </w:p>
    <w:p w14:paraId="40498D1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（5）司机培训方案；</w:t>
      </w:r>
    </w:p>
    <w:p w14:paraId="172E78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color w:val="auto"/>
          <w:sz w:val="24"/>
          <w:szCs w:val="24"/>
        </w:rPr>
      </w:pPr>
      <w:r>
        <w:rPr>
          <w:rFonts w:hint="eastAsia" w:ascii="仿宋" w:hAnsi="仿宋" w:eastAsia="仿宋" w:cs="仿宋"/>
          <w:b w:val="0"/>
          <w:bCs/>
          <w:sz w:val="24"/>
          <w:szCs w:val="24"/>
          <w:highlight w:val="none"/>
          <w:lang w:val="en-US" w:eastAsia="zh-CN"/>
        </w:rPr>
        <w:t>（6）服务质量考核管理。</w:t>
      </w:r>
    </w:p>
    <w:p w14:paraId="3138D3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7AC580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6139DE9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4CD6FEE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29185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840" w:firstLineChars="16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4CED80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89F2F4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4"/>
          <w:szCs w:val="24"/>
          <w:highlight w:val="none"/>
          <w:lang w:val="en-US" w:eastAsia="zh-CN"/>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9ED032-415C-4D6F-BB80-F7909E3246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E6D16C6-B257-4837-B431-827E75B37942}"/>
  </w:font>
  <w:font w:name="仿宋">
    <w:panose1 w:val="02010609060101010101"/>
    <w:charset w:val="86"/>
    <w:family w:val="auto"/>
    <w:pitch w:val="default"/>
    <w:sig w:usb0="800002BF" w:usb1="38CF7CFA" w:usb2="00000016" w:usb3="00000000" w:csb0="00040001" w:csb1="00000000"/>
    <w:embedRegular r:id="rId3" w:fontKey="{F7589EA9-B4C5-4DB4-B453-F7C78F93EA03}"/>
  </w:font>
  <w:font w:name="微软雅黑">
    <w:panose1 w:val="020B0503020204020204"/>
    <w:charset w:val="86"/>
    <w:family w:val="auto"/>
    <w:pitch w:val="default"/>
    <w:sig w:usb0="80000287" w:usb1="2ACF3C50" w:usb2="00000016" w:usb3="00000000" w:csb0="0004001F" w:csb1="00000000"/>
    <w:embedRegular r:id="rId4" w:fontKey="{DEDFBD60-89DE-4FCE-A3EA-3C9583E57B91}"/>
  </w:font>
  <w:font w:name="方正仿宋简体">
    <w:panose1 w:val="02000000000000000000"/>
    <w:charset w:val="86"/>
    <w:family w:val="auto"/>
    <w:pitch w:val="default"/>
    <w:sig w:usb0="A00002BF" w:usb1="184F6CFA" w:usb2="00000012" w:usb3="00000000" w:csb0="00040001" w:csb1="00000000"/>
    <w:embedRegular r:id="rId5" w:fontKey="{86A4D6E7-8C52-4E1A-AD96-424791AAB5DF}"/>
  </w:font>
  <w:font w:name="华文中宋">
    <w:panose1 w:val="02010600040101010101"/>
    <w:charset w:val="86"/>
    <w:family w:val="auto"/>
    <w:pitch w:val="default"/>
    <w:sig w:usb0="00000287" w:usb1="080F0000" w:usb2="00000000" w:usb3="00000000" w:csb0="0004009F" w:csb1="DFD70000"/>
    <w:embedRegular r:id="rId6" w:fontKey="{6E0AA131-A338-4E80-B982-31A8E50D5A09}"/>
  </w:font>
  <w:font w:name="华文仿宋">
    <w:panose1 w:val="02010600040101010101"/>
    <w:charset w:val="86"/>
    <w:family w:val="auto"/>
    <w:pitch w:val="default"/>
    <w:sig w:usb0="00000287" w:usb1="080F0000" w:usb2="00000000" w:usb3="00000000" w:csb0="0004009F" w:csb1="DFD70000"/>
    <w:embedRegular r:id="rId7" w:fontKey="{7551D172-6714-4562-B1CA-2049EF7D63CA}"/>
  </w:font>
  <w:font w:name="Tahoma">
    <w:panose1 w:val="020B0604030504040204"/>
    <w:charset w:val="00"/>
    <w:family w:val="auto"/>
    <w:pitch w:val="default"/>
    <w:sig w:usb0="E1002EFF" w:usb1="C000605B" w:usb2="00000029" w:usb3="00000000" w:csb0="200101FF" w:csb1="20280000"/>
    <w:embedRegular r:id="rId8" w:fontKey="{5A6A5FD2-662A-4976-A9EC-2B496D319880}"/>
  </w:font>
  <w:font w:name="Calibri Light">
    <w:panose1 w:val="020F0302020204030204"/>
    <w:charset w:val="00"/>
    <w:family w:val="swiss"/>
    <w:pitch w:val="default"/>
    <w:sig w:usb0="E0002AFF" w:usb1="C000247B" w:usb2="00000009" w:usb3="00000000" w:csb0="200001FF" w:csb1="00000000"/>
    <w:embedRegular r:id="rId9" w:fontKey="{C4A75531-33D9-4FB7-B54D-AB04300889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816">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5E14">
    <w:pPr>
      <w:pStyle w:val="17"/>
      <w:rPr>
        <w:rFonts w:hint="eastAsia"/>
        <w:sz w:val="18"/>
        <w:szCs w:val="24"/>
      </w:rPr>
    </w:pPr>
  </w:p>
  <w:p w14:paraId="4B963839">
    <w:pPr>
      <w:pStyle w:val="17"/>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438884">
                          <w:pPr>
                            <w:pStyle w:val="17"/>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49</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50438884">
                    <w:pPr>
                      <w:pStyle w:val="17"/>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49</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2E30">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4C1">
    <w:pPr>
      <w:pStyle w:val="18"/>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C2040"/>
    <w:multiLevelType w:val="singleLevel"/>
    <w:tmpl w:val="8EEC2040"/>
    <w:lvl w:ilvl="0" w:tentative="0">
      <w:start w:val="1"/>
      <w:numFmt w:val="decimal"/>
      <w:suff w:val="nothing"/>
      <w:lvlText w:val="%1．"/>
      <w:lvlJc w:val="left"/>
      <w:pPr>
        <w:ind w:left="0" w:firstLine="400"/>
      </w:pPr>
      <w:rPr>
        <w:rFonts w:hint="default"/>
      </w:rPr>
    </w:lvl>
  </w:abstractNum>
  <w:abstractNum w:abstractNumId="1">
    <w:nsid w:val="B19B1D0D"/>
    <w:multiLevelType w:val="singleLevel"/>
    <w:tmpl w:val="B19B1D0D"/>
    <w:lvl w:ilvl="0" w:tentative="0">
      <w:start w:val="1"/>
      <w:numFmt w:val="decimal"/>
      <w:suff w:val="nothing"/>
      <w:lvlText w:val="（%1）"/>
      <w:lvlJc w:val="left"/>
      <w:rPr>
        <w:rFonts w:hint="default"/>
        <w:b w:val="0"/>
        <w:bCs w:val="0"/>
      </w:rPr>
    </w:lvl>
  </w:abstractNum>
  <w:abstractNum w:abstractNumId="2">
    <w:nsid w:val="C42FDF06"/>
    <w:multiLevelType w:val="singleLevel"/>
    <w:tmpl w:val="C42FDF06"/>
    <w:lvl w:ilvl="0" w:tentative="0">
      <w:start w:val="1"/>
      <w:numFmt w:val="decimal"/>
      <w:suff w:val="nothing"/>
      <w:lvlText w:val="%1．"/>
      <w:lvlJc w:val="left"/>
      <w:pPr>
        <w:ind w:left="0" w:firstLine="400"/>
      </w:pPr>
      <w:rPr>
        <w:rFonts w:hint="default"/>
      </w:rPr>
    </w:lvl>
  </w:abstractNum>
  <w:abstractNum w:abstractNumId="3">
    <w:nsid w:val="C97CBBC1"/>
    <w:multiLevelType w:val="singleLevel"/>
    <w:tmpl w:val="C97CBBC1"/>
    <w:lvl w:ilvl="0" w:tentative="0">
      <w:start w:val="1"/>
      <w:numFmt w:val="decimal"/>
      <w:suff w:val="nothing"/>
      <w:lvlText w:val="%1．"/>
      <w:lvlJc w:val="left"/>
      <w:pPr>
        <w:ind w:left="0" w:firstLine="400"/>
      </w:pPr>
      <w:rPr>
        <w:rFonts w:hint="default"/>
      </w:rPr>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00000001"/>
    <w:multiLevelType w:val="singleLevel"/>
    <w:tmpl w:val="00000001"/>
    <w:lvl w:ilvl="0" w:tentative="0">
      <w:start w:val="2"/>
      <w:numFmt w:val="decimal"/>
      <w:lvlText w:val="%1."/>
      <w:lvlJc w:val="left"/>
      <w:pPr>
        <w:tabs>
          <w:tab w:val="left" w:pos="312"/>
        </w:tabs>
      </w:pPr>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7"/>
    <w:multiLevelType w:val="singleLevel"/>
    <w:tmpl w:val="00000007"/>
    <w:lvl w:ilvl="0" w:tentative="0">
      <w:start w:val="1"/>
      <w:numFmt w:val="decimal"/>
      <w:lvlText w:val="(%1)"/>
      <w:lvlJc w:val="left"/>
      <w:pPr>
        <w:ind w:left="425" w:hanging="425"/>
      </w:pPr>
      <w:rPr>
        <w:rFonts w:hint="default"/>
      </w:rPr>
    </w:lvl>
  </w:abstractNum>
  <w:abstractNum w:abstractNumId="11">
    <w:nsid w:val="00000009"/>
    <w:multiLevelType w:val="singleLevel"/>
    <w:tmpl w:val="00000009"/>
    <w:lvl w:ilvl="0" w:tentative="0">
      <w:start w:val="1"/>
      <w:numFmt w:val="chineseCounting"/>
      <w:suff w:val="nothing"/>
      <w:lvlText w:val="%1、"/>
      <w:lvlJc w:val="left"/>
      <w:rPr>
        <w:rFonts w:hint="eastAsia"/>
      </w:rPr>
    </w:lvl>
  </w:abstractNum>
  <w:abstractNum w:abstractNumId="12">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3">
    <w:nsid w:val="121E35ED"/>
    <w:multiLevelType w:val="singleLevel"/>
    <w:tmpl w:val="121E35ED"/>
    <w:lvl w:ilvl="0" w:tentative="0">
      <w:start w:val="1"/>
      <w:numFmt w:val="decimal"/>
      <w:suff w:val="nothing"/>
      <w:lvlText w:val="%1．"/>
      <w:lvlJc w:val="left"/>
      <w:pPr>
        <w:ind w:left="0" w:firstLine="400"/>
      </w:pPr>
      <w:rPr>
        <w:rFonts w:hint="default"/>
      </w:rPr>
    </w:lvl>
  </w:abstractNum>
  <w:abstractNum w:abstractNumId="14">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5">
    <w:nsid w:val="31054D38"/>
    <w:multiLevelType w:val="singleLevel"/>
    <w:tmpl w:val="31054D38"/>
    <w:lvl w:ilvl="0" w:tentative="0">
      <w:start w:val="2"/>
      <w:numFmt w:val="decimal"/>
      <w:suff w:val="nothing"/>
      <w:lvlText w:val="（%1）"/>
      <w:lvlJc w:val="left"/>
    </w:lvl>
  </w:abstractNum>
  <w:abstractNum w:abstractNumId="16">
    <w:nsid w:val="79031D5C"/>
    <w:multiLevelType w:val="singleLevel"/>
    <w:tmpl w:val="79031D5C"/>
    <w:lvl w:ilvl="0" w:tentative="0">
      <w:start w:val="1"/>
      <w:numFmt w:val="decimal"/>
      <w:suff w:val="nothing"/>
      <w:lvlText w:val="%1．"/>
      <w:lvlJc w:val="left"/>
      <w:pPr>
        <w:ind w:left="0" w:firstLine="400"/>
      </w:pPr>
      <w:rPr>
        <w:rFonts w:hint="default"/>
      </w:rPr>
    </w:lvl>
  </w:abstractNum>
  <w:num w:numId="1">
    <w:abstractNumId w:val="11"/>
  </w:num>
  <w:num w:numId="2">
    <w:abstractNumId w:val="12"/>
  </w:num>
  <w:num w:numId="3">
    <w:abstractNumId w:val="4"/>
  </w:num>
  <w:num w:numId="4">
    <w:abstractNumId w:val="2"/>
  </w:num>
  <w:num w:numId="5">
    <w:abstractNumId w:val="15"/>
  </w:num>
  <w:num w:numId="6">
    <w:abstractNumId w:val="14"/>
  </w:num>
  <w:num w:numId="7">
    <w:abstractNumId w:val="5"/>
  </w:num>
  <w:num w:numId="8">
    <w:abstractNumId w:val="8"/>
  </w:num>
  <w:num w:numId="9">
    <w:abstractNumId w:val="9"/>
  </w:num>
  <w:num w:numId="10">
    <w:abstractNumId w:val="1"/>
  </w:num>
  <w:num w:numId="11">
    <w:abstractNumId w:val="6"/>
  </w:num>
  <w:num w:numId="12">
    <w:abstractNumId w:val="10"/>
  </w:num>
  <w:num w:numId="13">
    <w:abstractNumId w:val="16"/>
  </w:num>
  <w:num w:numId="14">
    <w:abstractNumId w:val="0"/>
  </w:num>
  <w:num w:numId="15">
    <w:abstractNumId w:val="13"/>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1A77EC"/>
    <w:rsid w:val="00F27441"/>
    <w:rsid w:val="0125366D"/>
    <w:rsid w:val="02863742"/>
    <w:rsid w:val="03554899"/>
    <w:rsid w:val="03EA43FF"/>
    <w:rsid w:val="044B421A"/>
    <w:rsid w:val="045F2747"/>
    <w:rsid w:val="049A4077"/>
    <w:rsid w:val="0538688C"/>
    <w:rsid w:val="05C15176"/>
    <w:rsid w:val="068678D2"/>
    <w:rsid w:val="075E00D0"/>
    <w:rsid w:val="07C07152"/>
    <w:rsid w:val="08031F33"/>
    <w:rsid w:val="094E2585"/>
    <w:rsid w:val="09C6146A"/>
    <w:rsid w:val="09D50AC2"/>
    <w:rsid w:val="0AB063A2"/>
    <w:rsid w:val="0AEC01AE"/>
    <w:rsid w:val="0B444D3D"/>
    <w:rsid w:val="0BBA6DAD"/>
    <w:rsid w:val="0BC11370"/>
    <w:rsid w:val="0C10659B"/>
    <w:rsid w:val="0C20617F"/>
    <w:rsid w:val="0C8D626F"/>
    <w:rsid w:val="0CEE4F60"/>
    <w:rsid w:val="0D674D12"/>
    <w:rsid w:val="0D967628"/>
    <w:rsid w:val="0F68198A"/>
    <w:rsid w:val="0FE07C99"/>
    <w:rsid w:val="0FFE370C"/>
    <w:rsid w:val="126F6B43"/>
    <w:rsid w:val="12972723"/>
    <w:rsid w:val="12F8785F"/>
    <w:rsid w:val="135E4402"/>
    <w:rsid w:val="142462D1"/>
    <w:rsid w:val="149411FE"/>
    <w:rsid w:val="14977C8B"/>
    <w:rsid w:val="14F016F6"/>
    <w:rsid w:val="14F72197"/>
    <w:rsid w:val="16013F56"/>
    <w:rsid w:val="17057A51"/>
    <w:rsid w:val="19A16899"/>
    <w:rsid w:val="1ADE17DA"/>
    <w:rsid w:val="1B6E1F8B"/>
    <w:rsid w:val="1DD26459"/>
    <w:rsid w:val="1F053ABF"/>
    <w:rsid w:val="20A35C0A"/>
    <w:rsid w:val="21814378"/>
    <w:rsid w:val="223A031A"/>
    <w:rsid w:val="22D86E65"/>
    <w:rsid w:val="23084722"/>
    <w:rsid w:val="23740CC6"/>
    <w:rsid w:val="23B4003D"/>
    <w:rsid w:val="25066228"/>
    <w:rsid w:val="2551032A"/>
    <w:rsid w:val="25CB3C39"/>
    <w:rsid w:val="25FC618A"/>
    <w:rsid w:val="263B7010"/>
    <w:rsid w:val="26E606A8"/>
    <w:rsid w:val="28497097"/>
    <w:rsid w:val="28AD3ACA"/>
    <w:rsid w:val="295126A7"/>
    <w:rsid w:val="29AB7E6A"/>
    <w:rsid w:val="2A385615"/>
    <w:rsid w:val="2B214250"/>
    <w:rsid w:val="2C0734F1"/>
    <w:rsid w:val="2CF179E8"/>
    <w:rsid w:val="2D6C114A"/>
    <w:rsid w:val="2D806496"/>
    <w:rsid w:val="2E187C37"/>
    <w:rsid w:val="2E1A1DF7"/>
    <w:rsid w:val="2E4E18AB"/>
    <w:rsid w:val="30BB4A5C"/>
    <w:rsid w:val="3150593A"/>
    <w:rsid w:val="315C5288"/>
    <w:rsid w:val="333A4076"/>
    <w:rsid w:val="33CE2DE1"/>
    <w:rsid w:val="341E6BA4"/>
    <w:rsid w:val="34E90DD3"/>
    <w:rsid w:val="357A7E40"/>
    <w:rsid w:val="35BE4460"/>
    <w:rsid w:val="3664498E"/>
    <w:rsid w:val="37135440"/>
    <w:rsid w:val="373F4E47"/>
    <w:rsid w:val="374C2A45"/>
    <w:rsid w:val="38482EC7"/>
    <w:rsid w:val="388859B9"/>
    <w:rsid w:val="38964FE5"/>
    <w:rsid w:val="39024CA6"/>
    <w:rsid w:val="39750149"/>
    <w:rsid w:val="39FC4F8E"/>
    <w:rsid w:val="3AD57AD7"/>
    <w:rsid w:val="3AF37B81"/>
    <w:rsid w:val="3B2F65C0"/>
    <w:rsid w:val="3BBB5DFA"/>
    <w:rsid w:val="3C530F3B"/>
    <w:rsid w:val="3C9C3E85"/>
    <w:rsid w:val="3CBC1403"/>
    <w:rsid w:val="3D092683"/>
    <w:rsid w:val="3E2972F7"/>
    <w:rsid w:val="3E964ABE"/>
    <w:rsid w:val="40ED6414"/>
    <w:rsid w:val="416F3BBA"/>
    <w:rsid w:val="432006F0"/>
    <w:rsid w:val="433D692F"/>
    <w:rsid w:val="44D04970"/>
    <w:rsid w:val="467E0A66"/>
    <w:rsid w:val="46B650D0"/>
    <w:rsid w:val="488F0DE5"/>
    <w:rsid w:val="4953791E"/>
    <w:rsid w:val="49F625B6"/>
    <w:rsid w:val="4A7707C6"/>
    <w:rsid w:val="4C5E4611"/>
    <w:rsid w:val="4C8107A0"/>
    <w:rsid w:val="4CB93F3C"/>
    <w:rsid w:val="4D3B2BA3"/>
    <w:rsid w:val="4DAD3AA0"/>
    <w:rsid w:val="4E52289A"/>
    <w:rsid w:val="4EF83441"/>
    <w:rsid w:val="4F3E7FC5"/>
    <w:rsid w:val="4F4B1237"/>
    <w:rsid w:val="4F8E395E"/>
    <w:rsid w:val="4F9754E8"/>
    <w:rsid w:val="4F9A1E0A"/>
    <w:rsid w:val="4FC155E1"/>
    <w:rsid w:val="519F6438"/>
    <w:rsid w:val="52A95DA2"/>
    <w:rsid w:val="52C03296"/>
    <w:rsid w:val="54063F0A"/>
    <w:rsid w:val="547F3EAC"/>
    <w:rsid w:val="54A13C33"/>
    <w:rsid w:val="573E6EC5"/>
    <w:rsid w:val="57550741"/>
    <w:rsid w:val="5764137E"/>
    <w:rsid w:val="58160494"/>
    <w:rsid w:val="59875ACC"/>
    <w:rsid w:val="59D72CEF"/>
    <w:rsid w:val="5A6F20DD"/>
    <w:rsid w:val="5CCB7A9F"/>
    <w:rsid w:val="5CE045E7"/>
    <w:rsid w:val="5D3430F6"/>
    <w:rsid w:val="5D501232"/>
    <w:rsid w:val="5DC21AEF"/>
    <w:rsid w:val="5DC32E6C"/>
    <w:rsid w:val="5E447075"/>
    <w:rsid w:val="5EE17A4E"/>
    <w:rsid w:val="60924A0D"/>
    <w:rsid w:val="60B371C8"/>
    <w:rsid w:val="61771996"/>
    <w:rsid w:val="61B27C11"/>
    <w:rsid w:val="62567439"/>
    <w:rsid w:val="62EB2DF9"/>
    <w:rsid w:val="63582211"/>
    <w:rsid w:val="63654488"/>
    <w:rsid w:val="646F1F9F"/>
    <w:rsid w:val="64D03DBB"/>
    <w:rsid w:val="663E5786"/>
    <w:rsid w:val="670047E9"/>
    <w:rsid w:val="675B7FBE"/>
    <w:rsid w:val="680B501F"/>
    <w:rsid w:val="68E32614"/>
    <w:rsid w:val="69822EBF"/>
    <w:rsid w:val="6BAA1317"/>
    <w:rsid w:val="6BAD1A08"/>
    <w:rsid w:val="6CDA3D2E"/>
    <w:rsid w:val="6D082649"/>
    <w:rsid w:val="7146339C"/>
    <w:rsid w:val="717165A8"/>
    <w:rsid w:val="7260484F"/>
    <w:rsid w:val="72C7218E"/>
    <w:rsid w:val="73612AB3"/>
    <w:rsid w:val="73F16D7B"/>
    <w:rsid w:val="74D06CEB"/>
    <w:rsid w:val="74F61755"/>
    <w:rsid w:val="75243D99"/>
    <w:rsid w:val="75D52493"/>
    <w:rsid w:val="76632274"/>
    <w:rsid w:val="767F2092"/>
    <w:rsid w:val="771D33A0"/>
    <w:rsid w:val="77446E29"/>
    <w:rsid w:val="776F449C"/>
    <w:rsid w:val="779A31F2"/>
    <w:rsid w:val="77A122B9"/>
    <w:rsid w:val="780B56E4"/>
    <w:rsid w:val="78F817C4"/>
    <w:rsid w:val="79E72BDC"/>
    <w:rsid w:val="79FA156C"/>
    <w:rsid w:val="7A1268B5"/>
    <w:rsid w:val="7A17211E"/>
    <w:rsid w:val="7B4609B1"/>
    <w:rsid w:val="7BB120FE"/>
    <w:rsid w:val="7BF2699E"/>
    <w:rsid w:val="7D6438CC"/>
    <w:rsid w:val="7D9E45FE"/>
    <w:rsid w:val="7FB021A3"/>
    <w:rsid w:val="7FFB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autoRedefine/>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7">
    <w:name w:val="Default Paragraph Font"/>
    <w:autoRedefine/>
    <w:qFormat/>
    <w:uiPriority w:val="0"/>
  </w:style>
  <w:style w:type="table" w:default="1" w:styleId="25">
    <w:name w:val="Normal Table"/>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7">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9"/>
    <w:autoRedefine/>
    <w:qFormat/>
    <w:uiPriority w:val="99"/>
    <w:pPr>
      <w:ind w:firstLine="420"/>
    </w:pPr>
    <w:rPr>
      <w:rFonts w:ascii="Calibri" w:hAnsi="Calibri"/>
      <w:sz w:val="20"/>
      <w:szCs w:val="20"/>
    </w:rPr>
  </w:style>
  <w:style w:type="paragraph" w:styleId="9">
    <w:name w:val="Body Text"/>
    <w:basedOn w:val="1"/>
    <w:next w:val="10"/>
    <w:autoRedefine/>
    <w:qFormat/>
    <w:uiPriority w:val="0"/>
    <w:rPr>
      <w:sz w:val="24"/>
    </w:rPr>
  </w:style>
  <w:style w:type="paragraph" w:customStyle="1" w:styleId="10">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caption"/>
    <w:basedOn w:val="1"/>
    <w:next w:val="1"/>
    <w:autoRedefine/>
    <w:qFormat/>
    <w:uiPriority w:val="99"/>
    <w:rPr>
      <w:rFonts w:ascii="Arial" w:hAnsi="Arial" w:eastAsia="黑体" w:cs="Arial"/>
      <w:sz w:val="20"/>
      <w:szCs w:val="20"/>
    </w:rPr>
  </w:style>
  <w:style w:type="paragraph" w:styleId="12">
    <w:name w:val="annotation text"/>
    <w:basedOn w:val="1"/>
    <w:autoRedefine/>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3">
    <w:name w:val="Body Text 3"/>
    <w:basedOn w:val="1"/>
    <w:autoRedefine/>
    <w:qFormat/>
    <w:uiPriority w:val="99"/>
    <w:pPr>
      <w:spacing w:after="120"/>
    </w:pPr>
    <w:rPr>
      <w:sz w:val="16"/>
      <w:szCs w:val="16"/>
    </w:rPr>
  </w:style>
  <w:style w:type="paragraph" w:styleId="14">
    <w:name w:val="Body Text Indent"/>
    <w:basedOn w:val="1"/>
    <w:autoRedefine/>
    <w:qFormat/>
    <w:uiPriority w:val="0"/>
    <w:pPr>
      <w:ind w:firstLine="570"/>
    </w:pPr>
    <w:rPr>
      <w:rFonts w:ascii="宋体" w:hAnsi="宋体"/>
      <w:sz w:val="28"/>
      <w:szCs w:val="20"/>
    </w:rPr>
  </w:style>
  <w:style w:type="paragraph" w:styleId="15">
    <w:name w:val="Plain Text"/>
    <w:basedOn w:val="1"/>
    <w:autoRedefine/>
    <w:qFormat/>
    <w:uiPriority w:val="0"/>
    <w:rPr>
      <w:rFonts w:ascii="宋体" w:hAnsi="Courier New"/>
      <w:szCs w:val="20"/>
    </w:rPr>
  </w:style>
  <w:style w:type="paragraph" w:styleId="16">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7">
    <w:name w:val="footer"/>
    <w:basedOn w:val="1"/>
    <w:next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20">
    <w:name w:val="toc 2"/>
    <w:basedOn w:val="1"/>
    <w:next w:val="1"/>
    <w:autoRedefine/>
    <w:qFormat/>
    <w:uiPriority w:val="39"/>
    <w:pPr>
      <w:tabs>
        <w:tab w:val="right" w:leader="dot" w:pos="8296"/>
      </w:tabs>
      <w:ind w:left="420" w:leftChars="200"/>
    </w:pPr>
  </w:style>
  <w:style w:type="paragraph" w:styleId="21">
    <w:name w:val="Body Text 2"/>
    <w:basedOn w:val="1"/>
    <w:autoRedefine/>
    <w:qFormat/>
    <w:uiPriority w:val="0"/>
    <w:pPr>
      <w:spacing w:line="360" w:lineRule="auto"/>
    </w:pPr>
    <w:rPr>
      <w:rFonts w:ascii="宋体" w:hAnsi="宋体"/>
      <w:color w:val="000000"/>
      <w:sz w:val="24"/>
      <w:szCs w:val="20"/>
    </w:rPr>
  </w:style>
  <w:style w:type="paragraph" w:styleId="22">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23">
    <w:name w:val="Title"/>
    <w:basedOn w:val="1"/>
    <w:next w:val="1"/>
    <w:autoRedefine/>
    <w:qFormat/>
    <w:uiPriority w:val="0"/>
    <w:pPr>
      <w:spacing w:before="240" w:after="60" w:line="276" w:lineRule="auto"/>
      <w:jc w:val="center"/>
      <w:outlineLvl w:val="0"/>
    </w:pPr>
    <w:rPr>
      <w:rFonts w:ascii="Cambria" w:hAnsi="Cambria"/>
      <w:b/>
      <w:bCs/>
      <w:sz w:val="32"/>
      <w:szCs w:val="32"/>
    </w:rPr>
  </w:style>
  <w:style w:type="paragraph" w:styleId="24">
    <w:name w:val="Body Text First Indent"/>
    <w:basedOn w:val="9"/>
    <w:autoRedefine/>
    <w:qFormat/>
    <w:uiPriority w:val="99"/>
    <w:pPr>
      <w:spacing w:after="120"/>
      <w:ind w:firstLine="420" w:firstLineChars="100"/>
    </w:pPr>
    <w:rPr>
      <w:sz w:val="21"/>
    </w:rPr>
  </w:style>
  <w:style w:type="table" w:styleId="26">
    <w:name w:val="Table Grid"/>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Hyperlink"/>
    <w:autoRedefine/>
    <w:qFormat/>
    <w:uiPriority w:val="99"/>
    <w:rPr>
      <w:color w:val="0000FF"/>
      <w:u w:val="single"/>
    </w:rPr>
  </w:style>
  <w:style w:type="paragraph" w:customStyle="1" w:styleId="30">
    <w:name w:val="_Style 3"/>
    <w:basedOn w:val="1"/>
    <w:autoRedefine/>
    <w:qFormat/>
    <w:uiPriority w:val="0"/>
    <w:pPr>
      <w:ind w:firstLine="420" w:firstLineChars="200"/>
    </w:pPr>
    <w:rPr>
      <w:sz w:val="20"/>
    </w:rPr>
  </w:style>
  <w:style w:type="paragraph" w:customStyle="1" w:styleId="31">
    <w:name w:val="正文缩进1"/>
    <w:basedOn w:val="32"/>
    <w:next w:val="10"/>
    <w:autoRedefine/>
    <w:qFormat/>
    <w:uiPriority w:val="0"/>
    <w:pPr>
      <w:widowControl/>
      <w:ind w:firstLine="420"/>
      <w:jc w:val="left"/>
    </w:pPr>
    <w:rPr>
      <w:rFonts w:ascii="Calibri" w:hAnsi="Calibri"/>
      <w:kern w:val="0"/>
    </w:rPr>
  </w:style>
  <w:style w:type="paragraph" w:customStyle="1" w:styleId="32">
    <w:name w:val="正文_2"/>
    <w:next w:val="31"/>
    <w:autoRedefine/>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autoRedefine/>
    <w:qFormat/>
    <w:uiPriority w:val="0"/>
    <w:rPr>
      <w:rFonts w:hint="eastAsia" w:ascii="宋体" w:hAnsi="宋体" w:eastAsia="宋体" w:cs="宋体"/>
      <w:color w:val="0000FF"/>
      <w:sz w:val="22"/>
      <w:szCs w:val="22"/>
      <w:u w:val="none"/>
    </w:rPr>
  </w:style>
  <w:style w:type="paragraph" w:customStyle="1" w:styleId="3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autoRedefine/>
    <w:qFormat/>
    <w:uiPriority w:val="1"/>
    <w:rPr>
      <w:rFonts w:ascii="宋体" w:hAnsi="宋体" w:eastAsia="宋体" w:cs="宋体"/>
      <w:lang w:val="zh-CN" w:eastAsia="zh-CN" w:bidi="zh-CN"/>
    </w:rPr>
  </w:style>
  <w:style w:type="paragraph" w:styleId="36">
    <w:name w:val="List Paragraph"/>
    <w:basedOn w:val="1"/>
    <w:autoRedefine/>
    <w:qFormat/>
    <w:uiPriority w:val="34"/>
    <w:pPr>
      <w:widowControl/>
      <w:ind w:firstLine="420" w:firstLineChars="200"/>
      <w:jc w:val="left"/>
    </w:pPr>
    <w:rPr>
      <w:kern w:val="0"/>
      <w:sz w:val="20"/>
      <w:szCs w:val="20"/>
    </w:rPr>
  </w:style>
  <w:style w:type="paragraph" w:customStyle="1" w:styleId="37">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7"/>
    <w:autoRedefine/>
    <w:qFormat/>
    <w:uiPriority w:val="0"/>
    <w:rPr>
      <w:rFonts w:hint="eastAsia" w:ascii="宋体" w:hAnsi="宋体" w:eastAsia="宋体" w:cs="宋体"/>
      <w:color w:val="000000"/>
      <w:sz w:val="21"/>
      <w:szCs w:val="21"/>
      <w:u w:val="none"/>
    </w:rPr>
  </w:style>
  <w:style w:type="character" w:customStyle="1" w:styleId="39">
    <w:name w:val="font21"/>
    <w:basedOn w:val="27"/>
    <w:autoRedefine/>
    <w:qFormat/>
    <w:uiPriority w:val="0"/>
    <w:rPr>
      <w:rFonts w:hint="eastAsia" w:ascii="宋体" w:hAnsi="宋体" w:eastAsia="宋体" w:cs="宋体"/>
      <w:b/>
      <w:bCs/>
      <w:color w:val="000000"/>
      <w:sz w:val="18"/>
      <w:szCs w:val="18"/>
      <w:u w:val="none"/>
    </w:rPr>
  </w:style>
  <w:style w:type="character" w:customStyle="1" w:styleId="40">
    <w:name w:val="font31"/>
    <w:basedOn w:val="27"/>
    <w:autoRedefine/>
    <w:qFormat/>
    <w:uiPriority w:val="0"/>
    <w:rPr>
      <w:rFonts w:hint="eastAsia" w:ascii="宋体" w:hAnsi="宋体" w:eastAsia="宋体" w:cs="宋体"/>
      <w:color w:val="000000"/>
      <w:sz w:val="21"/>
      <w:szCs w:val="21"/>
      <w:u w:val="none"/>
    </w:rPr>
  </w:style>
  <w:style w:type="paragraph" w:customStyle="1" w:styleId="41">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autoRedefine/>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11"/>
    <w:autoRedefine/>
    <w:qFormat/>
    <w:uiPriority w:val="0"/>
    <w:pPr>
      <w:jc w:val="center"/>
    </w:pPr>
    <w:rPr>
      <w:b/>
      <w:color w:val="000000"/>
      <w:sz w:val="24"/>
      <w:szCs w:val="21"/>
    </w:rPr>
  </w:style>
  <w:style w:type="paragraph" w:customStyle="1" w:styleId="44">
    <w:name w:val="列出段落1"/>
    <w:basedOn w:val="1"/>
    <w:autoRedefine/>
    <w:qFormat/>
    <w:uiPriority w:val="34"/>
    <w:pPr>
      <w:ind w:firstLine="420" w:firstLineChars="200"/>
    </w:pPr>
  </w:style>
  <w:style w:type="table" w:customStyle="1" w:styleId="45">
    <w:name w:val="Table Normal"/>
    <w:autoRedefine/>
    <w:qFormat/>
    <w:uiPriority w:val="0"/>
    <w:tblPr>
      <w:tblCellMar>
        <w:top w:w="0" w:type="dxa"/>
        <w:left w:w="0" w:type="dxa"/>
        <w:bottom w:w="0" w:type="dxa"/>
        <w:right w:w="0" w:type="dxa"/>
      </w:tblCellMar>
    </w:tblPr>
  </w:style>
  <w:style w:type="character" w:customStyle="1" w:styleId="46">
    <w:name w:val="font41"/>
    <w:basedOn w:val="27"/>
    <w:autoRedefine/>
    <w:qFormat/>
    <w:uiPriority w:val="0"/>
    <w:rPr>
      <w:rFonts w:hint="eastAsia" w:ascii="宋体" w:hAnsi="宋体" w:eastAsia="宋体" w:cs="宋体"/>
      <w:color w:val="000000"/>
      <w:sz w:val="21"/>
      <w:szCs w:val="21"/>
      <w:u w:val="none"/>
    </w:rPr>
  </w:style>
  <w:style w:type="character" w:customStyle="1" w:styleId="47">
    <w:name w:val="font131"/>
    <w:basedOn w:val="27"/>
    <w:autoRedefine/>
    <w:qFormat/>
    <w:uiPriority w:val="0"/>
    <w:rPr>
      <w:rFonts w:hint="eastAsia" w:ascii="宋体" w:hAnsi="宋体" w:eastAsia="宋体" w:cs="宋体"/>
      <w:b/>
      <w:bCs/>
      <w:i/>
      <w:iCs/>
      <w:color w:val="000000"/>
      <w:sz w:val="21"/>
      <w:szCs w:val="21"/>
      <w:u w:val="none"/>
    </w:rPr>
  </w:style>
  <w:style w:type="character" w:customStyle="1" w:styleId="48">
    <w:name w:val="font101"/>
    <w:basedOn w:val="27"/>
    <w:autoRedefine/>
    <w:qFormat/>
    <w:uiPriority w:val="0"/>
    <w:rPr>
      <w:rFonts w:hint="default" w:ascii="Times New Roman" w:hAnsi="Times New Roman" w:cs="Times New Roman"/>
      <w:b/>
      <w:bCs/>
      <w:i/>
      <w:iCs/>
      <w:color w:val="000000"/>
      <w:sz w:val="21"/>
      <w:szCs w:val="21"/>
      <w:u w:val="none"/>
    </w:rPr>
  </w:style>
  <w:style w:type="character" w:customStyle="1" w:styleId="49">
    <w:name w:val="font71"/>
    <w:basedOn w:val="27"/>
    <w:autoRedefine/>
    <w:qFormat/>
    <w:uiPriority w:val="0"/>
    <w:rPr>
      <w:rFonts w:hint="eastAsia" w:ascii="宋体" w:hAnsi="宋体" w:eastAsia="宋体" w:cs="宋体"/>
      <w:b/>
      <w:bCs/>
      <w:color w:val="000000"/>
      <w:sz w:val="21"/>
      <w:szCs w:val="21"/>
      <w:u w:val="none"/>
    </w:rPr>
  </w:style>
  <w:style w:type="paragraph" w:customStyle="1" w:styleId="50">
    <w:name w:val="正文_0_0"/>
    <w:autoRedefine/>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autoRedefine/>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autoRedefine/>
    <w:qFormat/>
    <w:uiPriority w:val="0"/>
  </w:style>
  <w:style w:type="paragraph" w:customStyle="1" w:styleId="55">
    <w:name w:val="Table caption|1"/>
    <w:basedOn w:val="1"/>
    <w:autoRedefine/>
    <w:qFormat/>
    <w:uiPriority w:val="0"/>
    <w:pPr>
      <w:spacing w:line="293" w:lineRule="exact"/>
    </w:pPr>
    <w:rPr>
      <w:rFonts w:ascii="宋体" w:hAnsi="宋体" w:cs="宋体"/>
      <w:sz w:val="19"/>
      <w:szCs w:val="19"/>
      <w:lang w:val="zh-TW" w:eastAsia="zh-TW" w:bidi="zh-TW"/>
    </w:rPr>
  </w:style>
  <w:style w:type="paragraph" w:customStyle="1" w:styleId="56">
    <w:name w:val="USE 1"/>
    <w:basedOn w:val="1"/>
    <w:autoRedefine/>
    <w:qFormat/>
    <w:uiPriority w:val="0"/>
    <w:pPr>
      <w:spacing w:line="200" w:lineRule="atLeast"/>
      <w:jc w:val="left"/>
    </w:pPr>
    <w:rPr>
      <w:rFonts w:ascii="宋体" w:hAnsi="宋体" w:cs="Times New Roman"/>
      <w:b/>
      <w:sz w:val="24"/>
      <w:szCs w:val="28"/>
    </w:rPr>
  </w:style>
  <w:style w:type="paragraph" w:customStyle="1" w:styleId="57">
    <w:name w:val="正文正"/>
    <w:basedOn w:val="1"/>
    <w:autoRedefine/>
    <w:qFormat/>
    <w:uiPriority w:val="0"/>
    <w:pPr>
      <w:spacing w:line="560" w:lineRule="exact"/>
      <w:ind w:firstLine="561"/>
    </w:pPr>
    <w:rPr>
      <w:rFonts w:ascii="Calibri" w:hAnsi="Calibri"/>
      <w:sz w:val="28"/>
      <w:szCs w:val="28"/>
    </w:rPr>
  </w:style>
  <w:style w:type="character" w:customStyle="1" w:styleId="58">
    <w:name w:val="font61"/>
    <w:basedOn w:val="27"/>
    <w:autoRedefine/>
    <w:qFormat/>
    <w:uiPriority w:val="0"/>
    <w:rPr>
      <w:rFonts w:hint="eastAsia" w:ascii="仿宋" w:hAnsi="仿宋" w:eastAsia="仿宋" w:cs="仿宋"/>
      <w:color w:val="000000"/>
      <w:sz w:val="28"/>
      <w:szCs w:val="28"/>
      <w:u w:val="single"/>
    </w:rPr>
  </w:style>
  <w:style w:type="character" w:customStyle="1" w:styleId="59">
    <w:name w:val="font81"/>
    <w:basedOn w:val="27"/>
    <w:autoRedefine/>
    <w:qFormat/>
    <w:uiPriority w:val="0"/>
    <w:rPr>
      <w:rFonts w:hint="eastAsia" w:ascii="宋体" w:hAnsi="宋体" w:eastAsia="宋体" w:cs="宋体"/>
      <w:color w:val="000000"/>
      <w:sz w:val="21"/>
      <w:szCs w:val="21"/>
      <w:u w:val="none"/>
    </w:rPr>
  </w:style>
  <w:style w:type="character" w:customStyle="1" w:styleId="60">
    <w:name w:val="font51"/>
    <w:basedOn w:val="2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24828</Words>
  <Characters>25479</Characters>
  <Paragraphs>2008</Paragraphs>
  <TotalTime>19</TotalTime>
  <ScaleCrop>false</ScaleCrop>
  <LinksUpToDate>false</LinksUpToDate>
  <CharactersWithSpaces>27429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2024-09-11T09:00:10Z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