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C7C65">
      <w:pPr>
        <w:bidi w:val="0"/>
        <w:rPr>
          <w:rFonts w:hint="eastAsia"/>
          <w:color w:val="000000"/>
          <w:highlight w:val="none"/>
          <w:lang w:val="en-US" w:eastAsia="zh-CN"/>
        </w:rPr>
      </w:pPr>
    </w:p>
    <w:p w14:paraId="0A6D3BA8">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14:paraId="547B237A">
      <w:pPr>
        <w:pStyle w:val="28"/>
        <w:rPr>
          <w:rFonts w:hint="eastAsia"/>
          <w:highlight w:val="none"/>
          <w:lang w:val="en-US" w:eastAsia="zh-CN"/>
        </w:rPr>
      </w:pPr>
    </w:p>
    <w:p w14:paraId="52929142">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公开比选</w:t>
      </w:r>
      <w:r>
        <w:rPr>
          <w:rFonts w:hint="eastAsia" w:ascii="微软雅黑" w:hAnsi="微软雅黑" w:eastAsia="微软雅黑" w:cs="微软雅黑"/>
          <w:b/>
          <w:bCs/>
          <w:color w:val="000000"/>
          <w:spacing w:val="-30"/>
          <w:sz w:val="72"/>
          <w:szCs w:val="72"/>
          <w:highlight w:val="none"/>
        </w:rPr>
        <w:t>文件</w:t>
      </w:r>
    </w:p>
    <w:p w14:paraId="6DE3AC4F">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14:paraId="5D37788D">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14:paraId="08B90D11">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14:paraId="5B6268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pPr>
      <w:r>
        <w:rPr>
          <w:rFonts w:hint="eastAsia" w:ascii="方正仿宋简体" w:hAnsi="方正仿宋简体" w:eastAsia="方正仿宋简体" w:cs="方正仿宋简体"/>
          <w:b/>
          <w:bCs/>
          <w:sz w:val="28"/>
          <w:szCs w:val="28"/>
          <w:highlight w:val="none"/>
        </w:rPr>
        <w:t>项目编号：</w:t>
      </w:r>
      <w:r>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t>ZCB-202</w:t>
      </w:r>
      <w:r>
        <w:rPr>
          <w:rFonts w:hint="eastAsia" w:ascii="方正仿宋简体" w:hAnsi="方正仿宋简体" w:eastAsia="方正仿宋简体" w:cs="方正仿宋简体"/>
          <w:b/>
          <w:bCs/>
          <w:i w:val="0"/>
          <w:iCs w:val="0"/>
          <w:color w:val="auto"/>
          <w:kern w:val="2"/>
          <w:sz w:val="28"/>
          <w:szCs w:val="28"/>
          <w:highlight w:val="none"/>
          <w:vertAlign w:val="baseline"/>
          <w:lang w:val="en-US" w:eastAsia="zh-CN" w:bidi="ar-SA"/>
        </w:rPr>
        <w:t>4095</w:t>
      </w:r>
    </w:p>
    <w:p w14:paraId="0AA9787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sz w:val="28"/>
          <w:szCs w:val="28"/>
          <w:highlight w:val="none"/>
          <w:u w:val="single"/>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中山大学附属仁济医院</w:t>
      </w:r>
    </w:p>
    <w:p w14:paraId="12082C0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color w:val="000000"/>
          <w:sz w:val="28"/>
          <w:szCs w:val="28"/>
          <w:highlight w:val="none"/>
          <w:u w:val="single"/>
          <w:lang w:val="en-US" w:eastAsia="zh-CN"/>
        </w:rPr>
      </w:pPr>
      <w:r>
        <w:rPr>
          <w:rFonts w:hint="eastAsia" w:ascii="方正仿宋简体" w:hAnsi="方正仿宋简体" w:eastAsia="方正仿宋简体" w:cs="方正仿宋简体"/>
          <w:b/>
          <w:bCs/>
          <w:sz w:val="28"/>
          <w:szCs w:val="28"/>
          <w:highlight w:val="none"/>
          <w:u w:val="none"/>
          <w:lang w:val="en-US" w:eastAsia="zh-CN"/>
        </w:rPr>
        <w:t xml:space="preserve">         </w:t>
      </w:r>
      <w:r>
        <w:rPr>
          <w:rFonts w:hint="eastAsia" w:ascii="方正仿宋简体" w:hAnsi="方正仿宋简体" w:eastAsia="方正仿宋简体" w:cs="方正仿宋简体"/>
          <w:b/>
          <w:bCs/>
          <w:sz w:val="28"/>
          <w:szCs w:val="28"/>
          <w:highlight w:val="none"/>
          <w:u w:val="single"/>
        </w:rPr>
        <w:t>危险废物处置服务</w:t>
      </w:r>
      <w:r>
        <w:rPr>
          <w:rFonts w:hint="eastAsia" w:ascii="方正仿宋简体" w:hAnsi="方正仿宋简体" w:eastAsia="方正仿宋简体" w:cs="方正仿宋简体"/>
          <w:b/>
          <w:bCs/>
          <w:color w:val="000000"/>
          <w:sz w:val="28"/>
          <w:szCs w:val="28"/>
          <w:highlight w:val="none"/>
          <w:u w:val="single"/>
          <w:lang w:val="en-US" w:eastAsia="zh-CN"/>
        </w:rPr>
        <w:t>采购项目</w:t>
      </w:r>
    </w:p>
    <w:p w14:paraId="58594935">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47F7DD69">
      <w:pPr>
        <w:pStyle w:val="7"/>
        <w:rPr>
          <w:rFonts w:hint="eastAsia"/>
          <w:highlight w:val="none"/>
        </w:rPr>
      </w:pPr>
    </w:p>
    <w:p w14:paraId="2B5FD362">
      <w:pPr>
        <w:pStyle w:val="28"/>
        <w:rPr>
          <w:rFonts w:hint="eastAsia"/>
          <w:highlight w:val="none"/>
        </w:rPr>
      </w:pPr>
    </w:p>
    <w:p w14:paraId="63B49C8E">
      <w:pPr>
        <w:pStyle w:val="28"/>
        <w:rPr>
          <w:rFonts w:hint="eastAsia"/>
          <w:highlight w:val="none"/>
        </w:rPr>
      </w:pPr>
    </w:p>
    <w:p w14:paraId="44DF10A2">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31C646C9">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346189B3">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sz w:val="28"/>
          <w:szCs w:val="28"/>
          <w:highlight w:val="none"/>
        </w:rPr>
      </w:pPr>
    </w:p>
    <w:p w14:paraId="75ED8E98">
      <w:pPr>
        <w:pageBreakBefore w:val="0"/>
        <w:kinsoku/>
        <w:wordWrap/>
        <w:overflowPunct/>
        <w:topLinePunct w:val="0"/>
        <w:bidi w:val="0"/>
        <w:spacing w:line="360" w:lineRule="auto"/>
        <w:ind w:right="0" w:rightChars="0"/>
        <w:jc w:val="center"/>
        <w:rPr>
          <w:rFonts w:hint="eastAsia" w:ascii="宋体" w:hAnsi="宋体" w:eastAsia="宋体" w:cs="宋体"/>
          <w:b/>
          <w:bCs/>
          <w:color w:val="000000"/>
          <w:sz w:val="28"/>
          <w:szCs w:val="28"/>
          <w:highlight w:val="none"/>
          <w:lang w:eastAsia="zh-CN"/>
        </w:rPr>
      </w:pPr>
      <w:r>
        <w:rPr>
          <w:rFonts w:hint="eastAsia" w:ascii="微软雅黑" w:hAnsi="微软雅黑" w:eastAsia="微软雅黑" w:cs="微软雅黑"/>
          <w:b/>
          <w:bCs/>
          <w:color w:val="000000"/>
          <w:sz w:val="28"/>
          <w:szCs w:val="28"/>
          <w:highlight w:val="none"/>
          <w:lang w:eastAsia="zh-CN"/>
        </w:rPr>
        <w:t>中山大学孙逸仙纪念医院</w:t>
      </w:r>
    </w:p>
    <w:p w14:paraId="70F1A802">
      <w:pPr>
        <w:pageBreakBefore w:val="0"/>
        <w:kinsoku/>
        <w:wordWrap/>
        <w:overflowPunct/>
        <w:topLinePunct w:val="0"/>
        <w:bidi w:val="0"/>
        <w:spacing w:line="360" w:lineRule="auto"/>
        <w:ind w:right="0" w:rightChars="0"/>
        <w:jc w:val="center"/>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rPr>
        <w:t>202</w:t>
      </w:r>
      <w:r>
        <w:rPr>
          <w:rFonts w:hint="eastAsia" w:ascii="仿宋" w:hAnsi="仿宋" w:eastAsia="仿宋" w:cs="仿宋"/>
          <w:b/>
          <w:bCs/>
          <w:color w:val="000000"/>
          <w:sz w:val="28"/>
          <w:szCs w:val="28"/>
          <w:highlight w:val="none"/>
          <w:lang w:val="en-US" w:eastAsia="zh-CN"/>
        </w:rPr>
        <w:t>4</w:t>
      </w:r>
      <w:r>
        <w:rPr>
          <w:rFonts w:hint="eastAsia" w:ascii="仿宋" w:hAnsi="仿宋" w:eastAsia="仿宋" w:cs="仿宋"/>
          <w:b/>
          <w:bCs/>
          <w:color w:val="000000"/>
          <w:sz w:val="28"/>
          <w:szCs w:val="28"/>
          <w:highlight w:val="none"/>
        </w:rPr>
        <w:t>年</w:t>
      </w:r>
      <w:r>
        <w:rPr>
          <w:rFonts w:hint="eastAsia" w:ascii="仿宋" w:hAnsi="仿宋" w:eastAsia="仿宋" w:cs="仿宋"/>
          <w:b/>
          <w:bCs/>
          <w:color w:val="000000"/>
          <w:sz w:val="28"/>
          <w:szCs w:val="28"/>
          <w:highlight w:val="none"/>
          <w:lang w:val="en-US" w:eastAsia="zh-CN"/>
        </w:rPr>
        <w:t>9</w:t>
      </w:r>
      <w:r>
        <w:rPr>
          <w:rFonts w:hint="eastAsia" w:ascii="仿宋" w:hAnsi="仿宋" w:eastAsia="仿宋" w:cs="仿宋"/>
          <w:b/>
          <w:bCs/>
          <w:color w:val="000000"/>
          <w:sz w:val="28"/>
          <w:szCs w:val="28"/>
          <w:highlight w:val="none"/>
        </w:rPr>
        <w:t>月</w:t>
      </w:r>
      <w:r>
        <w:rPr>
          <w:rFonts w:hint="eastAsia" w:ascii="仿宋" w:hAnsi="仿宋" w:eastAsia="仿宋" w:cs="仿宋"/>
          <w:b/>
          <w:bCs/>
          <w:color w:val="000000"/>
          <w:sz w:val="28"/>
          <w:szCs w:val="28"/>
          <w:highlight w:val="none"/>
          <w:lang w:val="en-US" w:eastAsia="zh-CN"/>
        </w:rPr>
        <w:t>9日</w:t>
      </w:r>
    </w:p>
    <w:p w14:paraId="5301B718">
      <w:pPr>
        <w:pStyle w:val="30"/>
        <w:rPr>
          <w:rFonts w:hint="eastAsia" w:ascii="宋体" w:hAnsi="宋体" w:cs="宋体"/>
          <w:b/>
          <w:bCs/>
          <w:color w:val="000000"/>
          <w:sz w:val="28"/>
          <w:szCs w:val="28"/>
          <w:highlight w:val="none"/>
        </w:rPr>
      </w:pPr>
    </w:p>
    <w:p w14:paraId="409BA9EA">
      <w:pPr>
        <w:pStyle w:val="30"/>
        <w:rPr>
          <w:rFonts w:hint="eastAsia" w:ascii="宋体" w:hAnsi="宋体" w:cs="宋体"/>
          <w:b/>
          <w:bCs/>
          <w:color w:val="000000"/>
          <w:sz w:val="28"/>
          <w:szCs w:val="28"/>
          <w:highlight w:val="none"/>
        </w:rPr>
      </w:pPr>
    </w:p>
    <w:p w14:paraId="04E8F0C8">
      <w:pPr>
        <w:pStyle w:val="30"/>
        <w:rPr>
          <w:rFonts w:hint="eastAsia" w:ascii="宋体" w:hAnsi="宋体" w:cs="宋体"/>
          <w:b/>
          <w:bCs/>
          <w:color w:val="000000"/>
          <w:sz w:val="28"/>
          <w:szCs w:val="28"/>
          <w:highlight w:val="none"/>
        </w:rPr>
      </w:pPr>
    </w:p>
    <w:p w14:paraId="1B88A998">
      <w:pPr>
        <w:pStyle w:val="30"/>
        <w:rPr>
          <w:rFonts w:hint="eastAsia" w:ascii="宋体" w:hAnsi="宋体" w:cs="宋体"/>
          <w:b/>
          <w:bCs/>
          <w:color w:val="000000"/>
          <w:sz w:val="28"/>
          <w:szCs w:val="28"/>
          <w:highlight w:val="none"/>
        </w:rPr>
      </w:pPr>
    </w:p>
    <w:p w14:paraId="41A415CB">
      <w:pPr>
        <w:pStyle w:val="30"/>
        <w:rPr>
          <w:rFonts w:hint="eastAsia" w:ascii="宋体" w:hAnsi="宋体" w:cs="宋体"/>
          <w:b/>
          <w:bCs/>
          <w:color w:val="000000"/>
          <w:sz w:val="28"/>
          <w:szCs w:val="28"/>
          <w:highlight w:val="none"/>
        </w:rPr>
      </w:pPr>
    </w:p>
    <w:p w14:paraId="113C161D">
      <w:pPr>
        <w:pStyle w:val="30"/>
        <w:rPr>
          <w:rFonts w:hint="eastAsia" w:ascii="宋体" w:hAnsi="宋体" w:cs="宋体"/>
          <w:b/>
          <w:bCs/>
          <w:color w:val="000000"/>
          <w:sz w:val="28"/>
          <w:szCs w:val="28"/>
          <w:highlight w:val="none"/>
        </w:rPr>
      </w:pPr>
    </w:p>
    <w:p w14:paraId="0B7E2E4B">
      <w:pPr>
        <w:pStyle w:val="30"/>
        <w:rPr>
          <w:rFonts w:hint="eastAsia" w:ascii="宋体" w:hAnsi="宋体" w:cs="宋体"/>
          <w:b/>
          <w:bCs/>
          <w:color w:val="000000"/>
          <w:sz w:val="28"/>
          <w:szCs w:val="28"/>
          <w:highlight w:val="none"/>
        </w:rPr>
      </w:pPr>
    </w:p>
    <w:p w14:paraId="5421F945">
      <w:pPr>
        <w:pStyle w:val="30"/>
        <w:rPr>
          <w:rFonts w:hint="eastAsia" w:ascii="宋体" w:hAnsi="宋体" w:cs="宋体"/>
          <w:b/>
          <w:bCs/>
          <w:color w:val="000000"/>
          <w:sz w:val="28"/>
          <w:szCs w:val="28"/>
          <w:highlight w:val="none"/>
        </w:rPr>
      </w:pPr>
    </w:p>
    <w:p w14:paraId="56C65A7C">
      <w:pPr>
        <w:pStyle w:val="30"/>
        <w:rPr>
          <w:rFonts w:hint="eastAsia" w:ascii="宋体" w:hAnsi="宋体" w:cs="宋体"/>
          <w:b/>
          <w:bCs/>
          <w:color w:val="000000"/>
          <w:sz w:val="28"/>
          <w:szCs w:val="28"/>
          <w:highlight w:val="none"/>
        </w:rPr>
      </w:pPr>
    </w:p>
    <w:p w14:paraId="5CA44C55">
      <w:pPr>
        <w:pStyle w:val="30"/>
        <w:rPr>
          <w:rFonts w:hint="eastAsia" w:ascii="宋体" w:hAnsi="宋体" w:cs="宋体"/>
          <w:b/>
          <w:bCs/>
          <w:color w:val="000000"/>
          <w:sz w:val="28"/>
          <w:szCs w:val="28"/>
          <w:highlight w:val="none"/>
        </w:rPr>
      </w:pPr>
    </w:p>
    <w:p w14:paraId="6E2A97E8">
      <w:pPr>
        <w:pStyle w:val="30"/>
        <w:rPr>
          <w:rFonts w:hint="eastAsia" w:ascii="宋体" w:hAnsi="宋体" w:cs="宋体"/>
          <w:b/>
          <w:bCs/>
          <w:color w:val="000000"/>
          <w:sz w:val="28"/>
          <w:szCs w:val="28"/>
          <w:highlight w:val="none"/>
        </w:rPr>
      </w:pPr>
    </w:p>
    <w:p w14:paraId="3E2AC95A">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14:paraId="151F93BA">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14:paraId="46006E62">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r>
        <w:rPr>
          <w:rFonts w:hint="eastAsia" w:ascii="华文中宋" w:hAnsi="华文中宋" w:eastAsia="华文中宋" w:cs="华文中宋"/>
          <w:b/>
          <w:bCs/>
          <w:color w:val="000000"/>
          <w:sz w:val="48"/>
          <w:szCs w:val="48"/>
          <w:highlight w:val="none"/>
        </w:rPr>
        <w:t>目</w:t>
      </w:r>
      <w:r>
        <w:rPr>
          <w:rFonts w:hint="eastAsia" w:ascii="华文中宋" w:hAnsi="华文中宋" w:eastAsia="华文中宋" w:cs="华文中宋"/>
          <w:b/>
          <w:bCs/>
          <w:color w:val="000000"/>
          <w:sz w:val="48"/>
          <w:szCs w:val="48"/>
          <w:highlight w:val="none"/>
          <w:lang w:val="en-US" w:eastAsia="zh-CN"/>
        </w:rPr>
        <w:t xml:space="preserve"> </w:t>
      </w:r>
      <w:r>
        <w:rPr>
          <w:rFonts w:hint="eastAsia" w:ascii="华文中宋" w:hAnsi="华文中宋" w:eastAsia="华文中宋" w:cs="华文中宋"/>
          <w:b/>
          <w:bCs/>
          <w:color w:val="000000"/>
          <w:sz w:val="48"/>
          <w:szCs w:val="48"/>
          <w:highlight w:val="none"/>
        </w:rPr>
        <w:t>录</w:t>
      </w:r>
    </w:p>
    <w:p w14:paraId="3F16A044">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sz w:val="30"/>
          <w:szCs w:val="30"/>
          <w:highlight w:val="none"/>
        </w:rPr>
      </w:pPr>
    </w:p>
    <w:p w14:paraId="0DBEC918">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TOC \o "1-1" \h \z \u </w:instrText>
      </w:r>
      <w:r>
        <w:rPr>
          <w:rFonts w:hint="eastAsia" w:ascii="仿宋" w:hAnsi="仿宋" w:eastAsia="仿宋" w:cs="仿宋"/>
          <w:b/>
          <w:color w:val="000000"/>
          <w:sz w:val="32"/>
          <w:szCs w:val="32"/>
          <w:highlight w:val="none"/>
        </w:rPr>
        <w:fldChar w:fldCharType="separate"/>
      </w: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"_Toc417914517" </w:instrText>
      </w:r>
      <w:r>
        <w:rPr>
          <w:rFonts w:hint="eastAsia" w:ascii="仿宋" w:hAnsi="仿宋" w:eastAsia="仿宋" w:cs="仿宋"/>
          <w:b/>
          <w:color w:val="000000"/>
          <w:sz w:val="32"/>
          <w:szCs w:val="32"/>
          <w:highlight w:val="none"/>
        </w:rPr>
        <w:fldChar w:fldCharType="separate"/>
      </w:r>
      <w:r>
        <w:rPr>
          <w:rStyle w:val="27"/>
          <w:rFonts w:hint="eastAsia" w:ascii="仿宋" w:hAnsi="仿宋" w:eastAsia="仿宋" w:cs="仿宋"/>
          <w:b/>
          <w:color w:val="000000"/>
          <w:sz w:val="32"/>
          <w:szCs w:val="32"/>
          <w:highlight w:val="none"/>
        </w:rPr>
        <w:t>第一章</w:t>
      </w:r>
      <w:r>
        <w:rPr>
          <w:rStyle w:val="27"/>
          <w:rFonts w:hint="eastAsia" w:ascii="仿宋" w:hAnsi="仿宋" w:eastAsia="仿宋" w:cs="仿宋"/>
          <w:b/>
          <w:color w:val="000000"/>
          <w:sz w:val="32"/>
          <w:szCs w:val="32"/>
          <w:highlight w:val="none"/>
          <w:lang w:val="en-US" w:eastAsia="zh-CN"/>
        </w:rPr>
        <w:t xml:space="preserve"> 比选邀请</w:t>
      </w:r>
      <w:r>
        <w:rPr>
          <w:rStyle w:val="27"/>
          <w:rFonts w:hint="eastAsia" w:ascii="仿宋" w:hAnsi="仿宋" w:eastAsia="仿宋" w:cs="仿宋"/>
          <w:b/>
          <w:color w:val="000000"/>
          <w:sz w:val="32"/>
          <w:szCs w:val="32"/>
          <w:highlight w:val="none"/>
        </w:rPr>
        <w:t>函</w:t>
      </w:r>
      <w:r>
        <w:rPr>
          <w:rFonts w:hint="eastAsia" w:ascii="仿宋" w:hAnsi="仿宋" w:eastAsia="仿宋" w:cs="仿宋"/>
          <w:b/>
          <w:color w:val="000000"/>
          <w:sz w:val="32"/>
          <w:szCs w:val="32"/>
          <w:highlight w:val="none"/>
        </w:rPr>
        <w:fldChar w:fldCharType="end"/>
      </w:r>
    </w:p>
    <w:p w14:paraId="64926D2E">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"_Toc417914518" </w:instrText>
      </w:r>
      <w:r>
        <w:rPr>
          <w:rFonts w:hint="eastAsia" w:ascii="仿宋" w:hAnsi="仿宋" w:eastAsia="仿宋" w:cs="仿宋"/>
          <w:b/>
          <w:color w:val="000000"/>
          <w:sz w:val="32"/>
          <w:szCs w:val="32"/>
          <w:highlight w:val="none"/>
        </w:rPr>
        <w:fldChar w:fldCharType="separate"/>
      </w:r>
      <w:r>
        <w:rPr>
          <w:rStyle w:val="27"/>
          <w:rFonts w:hint="eastAsia" w:ascii="仿宋" w:hAnsi="仿宋" w:eastAsia="仿宋" w:cs="仿宋"/>
          <w:b/>
          <w:color w:val="000000"/>
          <w:sz w:val="32"/>
          <w:szCs w:val="32"/>
          <w:highlight w:val="none"/>
        </w:rPr>
        <w:t>第二章</w:t>
      </w:r>
      <w:r>
        <w:rPr>
          <w:rStyle w:val="27"/>
          <w:rFonts w:hint="eastAsia" w:ascii="仿宋" w:hAnsi="仿宋" w:eastAsia="仿宋" w:cs="仿宋"/>
          <w:b/>
          <w:color w:val="000000"/>
          <w:sz w:val="32"/>
          <w:szCs w:val="32"/>
          <w:highlight w:val="none"/>
          <w:lang w:val="en-US" w:eastAsia="zh-CN"/>
        </w:rPr>
        <w:t xml:space="preserve"> </w:t>
      </w:r>
      <w:r>
        <w:rPr>
          <w:rStyle w:val="27"/>
          <w:rFonts w:hint="eastAsia" w:ascii="仿宋" w:hAnsi="仿宋" w:eastAsia="仿宋" w:cs="仿宋"/>
          <w:b/>
          <w:color w:val="000000"/>
          <w:sz w:val="32"/>
          <w:szCs w:val="32"/>
          <w:highlight w:val="none"/>
          <w:lang w:eastAsia="zh-CN"/>
        </w:rPr>
        <w:t>用户</w:t>
      </w:r>
      <w:r>
        <w:rPr>
          <w:rStyle w:val="27"/>
          <w:rFonts w:hint="eastAsia" w:ascii="仿宋" w:hAnsi="仿宋" w:eastAsia="仿宋" w:cs="仿宋"/>
          <w:b/>
          <w:color w:val="000000"/>
          <w:sz w:val="32"/>
          <w:szCs w:val="32"/>
          <w:highlight w:val="none"/>
        </w:rPr>
        <w:t>需求书</w:t>
      </w:r>
      <w:r>
        <w:rPr>
          <w:rFonts w:hint="eastAsia" w:ascii="仿宋" w:hAnsi="仿宋" w:eastAsia="仿宋" w:cs="仿宋"/>
          <w:b/>
          <w:color w:val="000000"/>
          <w:sz w:val="32"/>
          <w:szCs w:val="32"/>
          <w:highlight w:val="none"/>
        </w:rPr>
        <w:fldChar w:fldCharType="end"/>
      </w:r>
    </w:p>
    <w:p w14:paraId="4306902B">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"_Toc417914519" </w:instrText>
      </w:r>
      <w:r>
        <w:rPr>
          <w:rFonts w:hint="eastAsia" w:ascii="仿宋" w:hAnsi="仿宋" w:eastAsia="仿宋" w:cs="仿宋"/>
          <w:b/>
          <w:color w:val="000000"/>
          <w:sz w:val="32"/>
          <w:szCs w:val="32"/>
          <w:highlight w:val="none"/>
        </w:rPr>
        <w:fldChar w:fldCharType="separate"/>
      </w:r>
      <w:r>
        <w:rPr>
          <w:rStyle w:val="27"/>
          <w:rFonts w:hint="eastAsia" w:ascii="仿宋" w:hAnsi="仿宋" w:eastAsia="仿宋" w:cs="仿宋"/>
          <w:b/>
          <w:color w:val="000000"/>
          <w:sz w:val="32"/>
          <w:szCs w:val="32"/>
          <w:highlight w:val="none"/>
        </w:rPr>
        <w:t>第三章</w:t>
      </w:r>
      <w:r>
        <w:rPr>
          <w:rStyle w:val="27"/>
          <w:rFonts w:hint="eastAsia" w:ascii="仿宋" w:hAnsi="仿宋" w:eastAsia="仿宋" w:cs="仿宋"/>
          <w:b/>
          <w:color w:val="000000"/>
          <w:sz w:val="32"/>
          <w:szCs w:val="32"/>
          <w:highlight w:val="none"/>
          <w:lang w:val="en-US" w:eastAsia="zh-CN"/>
        </w:rPr>
        <w:t xml:space="preserve"> 响应</w:t>
      </w:r>
      <w:r>
        <w:rPr>
          <w:rStyle w:val="27"/>
          <w:rFonts w:hint="eastAsia" w:ascii="仿宋" w:hAnsi="仿宋" w:eastAsia="仿宋" w:cs="仿宋"/>
          <w:b/>
          <w:color w:val="000000"/>
          <w:sz w:val="32"/>
          <w:szCs w:val="32"/>
          <w:highlight w:val="none"/>
          <w:lang w:eastAsia="zh-CN"/>
        </w:rPr>
        <w:t>须知</w:t>
      </w:r>
      <w:r>
        <w:rPr>
          <w:rFonts w:hint="eastAsia" w:ascii="仿宋" w:hAnsi="仿宋" w:eastAsia="仿宋" w:cs="仿宋"/>
          <w:b/>
          <w:color w:val="000000"/>
          <w:sz w:val="32"/>
          <w:szCs w:val="32"/>
          <w:highlight w:val="none"/>
        </w:rPr>
        <w:fldChar w:fldCharType="end"/>
      </w:r>
    </w:p>
    <w:p w14:paraId="66AD832D">
      <w:pPr>
        <w:keepNext w:val="0"/>
        <w:keepLines w:val="0"/>
        <w:pageBreakBefore w:val="0"/>
        <w:widowControl w:val="0"/>
        <w:kinsoku/>
        <w:wordWrap/>
        <w:overflowPunct/>
        <w:topLinePunct w:val="0"/>
        <w:autoSpaceDE/>
        <w:autoSpaceDN/>
        <w:bidi w:val="0"/>
        <w:adjustRightInd w:val="0"/>
        <w:snapToGrid w:val="0"/>
        <w:spacing w:line="480" w:lineRule="auto"/>
        <w:ind w:firstLine="3213" w:firstLineChars="1000"/>
        <w:jc w:val="left"/>
        <w:textAlignment w:val="auto"/>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lang w:val="en-US" w:eastAsia="zh-CN"/>
        </w:rPr>
        <w:t>第四章 合同参考文本</w:t>
      </w:r>
    </w:p>
    <w:p w14:paraId="62275237">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lang w:val="en-US" w:eastAsia="zh-CN"/>
        </w:rPr>
        <w:t>第五章 响应文件编制要求</w:t>
      </w:r>
    </w:p>
    <w:p w14:paraId="0B2E53EE">
      <w:pPr>
        <w:pStyle w:val="30"/>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sz w:val="28"/>
          <w:szCs w:val="28"/>
          <w:highlight w:val="none"/>
        </w:rPr>
      </w:pPr>
      <w:r>
        <w:rPr>
          <w:rFonts w:hint="eastAsia" w:ascii="仿宋" w:hAnsi="仿宋" w:eastAsia="仿宋" w:cs="仿宋"/>
          <w:b/>
          <w:color w:val="000000"/>
          <w:sz w:val="32"/>
          <w:szCs w:val="32"/>
          <w:highlight w:val="none"/>
        </w:rPr>
        <w:fldChar w:fldCharType="end"/>
      </w:r>
    </w:p>
    <w:p w14:paraId="5D9E2458">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63375432">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39772375">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4B20A196">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01FE88B2">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1BB38E65">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232ACEE8">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0C9BA383">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000000"/>
          <w:sz w:val="36"/>
          <w:szCs w:val="36"/>
          <w:highlight w:val="none"/>
        </w:rPr>
        <w:sectPr>
          <w:headerReference r:id="rId3" w:type="default"/>
          <w:footerReference r:id="rId4" w:type="default"/>
          <w:pgSz w:w="11910" w:h="16840"/>
          <w:pgMar w:top="1060" w:right="1280" w:bottom="860" w:left="1300" w:header="720" w:footer="720" w:gutter="0"/>
          <w:pgBorders>
            <w:top w:val="none" w:sz="0" w:space="0"/>
            <w:left w:val="none" w:sz="0" w:space="0"/>
            <w:bottom w:val="none" w:sz="0" w:space="0"/>
            <w:right w:val="none" w:sz="0" w:space="0"/>
          </w:pgBorders>
          <w:cols w:space="720" w:num="1"/>
        </w:sectPr>
      </w:pPr>
    </w:p>
    <w:p w14:paraId="16B07F55">
      <w:pPr>
        <w:pStyle w:val="28"/>
        <w:rPr>
          <w:rFonts w:hint="eastAsia"/>
          <w:highlight w:val="none"/>
        </w:rPr>
      </w:pPr>
    </w:p>
    <w:p w14:paraId="69D6D8DC">
      <w:pPr>
        <w:rPr>
          <w:color w:val="000000"/>
          <w:highlight w:val="none"/>
        </w:rPr>
      </w:pPr>
    </w:p>
    <w:p w14:paraId="0844E894">
      <w:pPr>
        <w:pStyle w:val="30"/>
        <w:rPr>
          <w:color w:val="000000"/>
          <w:highlight w:val="none"/>
        </w:rPr>
      </w:pPr>
    </w:p>
    <w:p w14:paraId="257E9C11">
      <w:pPr>
        <w:pStyle w:val="30"/>
        <w:rPr>
          <w:color w:val="000000"/>
          <w:highlight w:val="none"/>
        </w:rPr>
      </w:pPr>
    </w:p>
    <w:p w14:paraId="484185A9">
      <w:pPr>
        <w:pStyle w:val="30"/>
        <w:rPr>
          <w:color w:val="000000"/>
          <w:highlight w:val="none"/>
        </w:rPr>
      </w:pPr>
    </w:p>
    <w:p w14:paraId="25781AD5">
      <w:pPr>
        <w:pStyle w:val="30"/>
        <w:rPr>
          <w:color w:val="000000"/>
          <w:highlight w:val="none"/>
        </w:rPr>
      </w:pPr>
    </w:p>
    <w:p w14:paraId="5BDD560E">
      <w:pPr>
        <w:pStyle w:val="30"/>
        <w:rPr>
          <w:color w:val="000000"/>
          <w:highlight w:val="none"/>
        </w:rPr>
      </w:pPr>
    </w:p>
    <w:p w14:paraId="5DA17303">
      <w:pPr>
        <w:pStyle w:val="30"/>
        <w:rPr>
          <w:color w:val="000000"/>
          <w:highlight w:val="none"/>
        </w:rPr>
      </w:pPr>
    </w:p>
    <w:p w14:paraId="7FDF95DF">
      <w:pPr>
        <w:pStyle w:val="30"/>
        <w:rPr>
          <w:color w:val="000000"/>
          <w:highlight w:val="none"/>
        </w:rPr>
      </w:pPr>
    </w:p>
    <w:p w14:paraId="24726310">
      <w:pPr>
        <w:pStyle w:val="30"/>
        <w:rPr>
          <w:color w:val="000000"/>
          <w:highlight w:val="none"/>
        </w:rPr>
      </w:pPr>
    </w:p>
    <w:p w14:paraId="103E28CA">
      <w:pPr>
        <w:pStyle w:val="30"/>
        <w:rPr>
          <w:color w:val="000000"/>
          <w:highlight w:val="none"/>
        </w:rPr>
      </w:pPr>
    </w:p>
    <w:p w14:paraId="59889958">
      <w:pPr>
        <w:pStyle w:val="30"/>
        <w:rPr>
          <w:color w:val="000000"/>
          <w:highlight w:val="none"/>
        </w:rPr>
      </w:pPr>
    </w:p>
    <w:p w14:paraId="0BCB1126">
      <w:pPr>
        <w:pStyle w:val="30"/>
        <w:rPr>
          <w:color w:val="000000"/>
          <w:highlight w:val="none"/>
        </w:rPr>
      </w:pPr>
    </w:p>
    <w:p w14:paraId="4877ADD8">
      <w:pPr>
        <w:pStyle w:val="30"/>
        <w:rPr>
          <w:color w:val="000000"/>
          <w:highlight w:val="none"/>
        </w:rPr>
      </w:pPr>
    </w:p>
    <w:p w14:paraId="7B7E1FFA">
      <w:pPr>
        <w:pStyle w:val="30"/>
        <w:rPr>
          <w:color w:val="000000"/>
          <w:highlight w:val="none"/>
        </w:rPr>
      </w:pPr>
    </w:p>
    <w:p w14:paraId="23CD036E">
      <w:pPr>
        <w:pStyle w:val="30"/>
        <w:ind w:left="0" w:leftChars="0" w:firstLine="0" w:firstLineChars="0"/>
        <w:rPr>
          <w:color w:val="000000"/>
          <w:highlight w:val="none"/>
        </w:rPr>
      </w:pPr>
    </w:p>
    <w:p w14:paraId="696D0A22">
      <w:pPr>
        <w:pStyle w:val="30"/>
        <w:rPr>
          <w:color w:val="000000"/>
          <w:highlight w:val="none"/>
        </w:rPr>
      </w:pPr>
    </w:p>
    <w:p w14:paraId="2BF55A84">
      <w:pPr>
        <w:pStyle w:val="30"/>
        <w:rPr>
          <w:color w:val="000000"/>
          <w:highlight w:val="none"/>
        </w:rPr>
      </w:pPr>
    </w:p>
    <w:p w14:paraId="03B0C041">
      <w:pPr>
        <w:pStyle w:val="30"/>
        <w:rPr>
          <w:color w:val="000000"/>
          <w:highlight w:val="none"/>
        </w:rPr>
      </w:pPr>
    </w:p>
    <w:p w14:paraId="6CD57F8C">
      <w:pPr>
        <w:pStyle w:val="30"/>
        <w:rPr>
          <w:color w:val="000000"/>
          <w:highlight w:val="none"/>
        </w:rPr>
      </w:pPr>
    </w:p>
    <w:p w14:paraId="066664FF">
      <w:pPr>
        <w:pStyle w:val="30"/>
        <w:rPr>
          <w:color w:val="000000"/>
          <w:highlight w:val="none"/>
        </w:rPr>
      </w:pPr>
    </w:p>
    <w:p w14:paraId="6406EBA9">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0" w:name="_Toc50737285"/>
      <w:bookmarkStart w:id="1" w:name="_Toc50691018"/>
      <w:bookmarkStart w:id="2" w:name="_Toc50736465"/>
      <w:bookmarkStart w:id="3" w:name="_Toc50737317"/>
      <w:bookmarkStart w:id="4" w:name="_Toc76354913"/>
      <w:bookmarkStart w:id="5" w:name="_Toc385940868"/>
      <w:bookmarkStart w:id="6" w:name="_Toc385939527"/>
      <w:bookmarkStart w:id="7" w:name="_Toc417914517"/>
      <w:r>
        <w:rPr>
          <w:rFonts w:hint="eastAsia" w:ascii="微软雅黑" w:hAnsi="微软雅黑" w:eastAsia="微软雅黑" w:cs="微软雅黑"/>
          <w:color w:val="000000"/>
          <w:highlight w:val="none"/>
        </w:rPr>
        <w:t>第一章</w:t>
      </w:r>
      <w:bookmarkEnd w:id="0"/>
      <w:bookmarkEnd w:id="1"/>
      <w:bookmarkEnd w:id="2"/>
      <w:bookmarkEnd w:id="3"/>
      <w:bookmarkEnd w:id="4"/>
      <w:bookmarkEnd w:id="5"/>
      <w:bookmarkEnd w:id="6"/>
      <w:r>
        <w:rPr>
          <w:rFonts w:hint="eastAsia" w:ascii="微软雅黑" w:hAnsi="微软雅黑" w:eastAsia="微软雅黑" w:cs="微软雅黑"/>
          <w:color w:val="000000"/>
          <w:highlight w:val="none"/>
          <w:lang w:val="en-US" w:eastAsia="zh-CN"/>
        </w:rPr>
        <w:t xml:space="preserve"> 比选邀请</w:t>
      </w:r>
      <w:r>
        <w:rPr>
          <w:rFonts w:hint="eastAsia" w:ascii="微软雅黑" w:hAnsi="微软雅黑" w:eastAsia="微软雅黑" w:cs="微软雅黑"/>
          <w:color w:val="000000"/>
          <w:highlight w:val="none"/>
        </w:rPr>
        <w:t>函</w:t>
      </w:r>
      <w:bookmarkEnd w:id="7"/>
    </w:p>
    <w:p w14:paraId="3AD43A24">
      <w:pPr>
        <w:pStyle w:val="30"/>
        <w:rPr>
          <w:color w:val="000000"/>
          <w:highlight w:val="none"/>
        </w:rPr>
      </w:pPr>
    </w:p>
    <w:p w14:paraId="32E715E1">
      <w:pPr>
        <w:pStyle w:val="30"/>
        <w:rPr>
          <w:color w:val="000000"/>
          <w:highlight w:val="none"/>
        </w:rPr>
      </w:pPr>
    </w:p>
    <w:p w14:paraId="54448988">
      <w:pPr>
        <w:pStyle w:val="30"/>
        <w:rPr>
          <w:color w:val="000000"/>
          <w:highlight w:val="none"/>
        </w:rPr>
      </w:pPr>
    </w:p>
    <w:p w14:paraId="2AEA74C1">
      <w:pPr>
        <w:pStyle w:val="30"/>
        <w:rPr>
          <w:color w:val="000000"/>
          <w:highlight w:val="none"/>
        </w:rPr>
      </w:pPr>
    </w:p>
    <w:p w14:paraId="61BE7C16">
      <w:pPr>
        <w:pStyle w:val="30"/>
        <w:rPr>
          <w:color w:val="000000"/>
          <w:highlight w:val="none"/>
        </w:rPr>
      </w:pPr>
    </w:p>
    <w:p w14:paraId="60D06DB7">
      <w:pPr>
        <w:pStyle w:val="30"/>
        <w:rPr>
          <w:color w:val="000000"/>
          <w:highlight w:val="none"/>
        </w:rPr>
      </w:pPr>
    </w:p>
    <w:p w14:paraId="70B6352E">
      <w:pPr>
        <w:pStyle w:val="30"/>
        <w:rPr>
          <w:color w:val="000000"/>
          <w:highlight w:val="none"/>
        </w:rPr>
      </w:pPr>
    </w:p>
    <w:p w14:paraId="3E73432F">
      <w:pPr>
        <w:pStyle w:val="30"/>
        <w:rPr>
          <w:color w:val="000000"/>
          <w:highlight w:val="none"/>
        </w:rPr>
      </w:pPr>
    </w:p>
    <w:p w14:paraId="777CBB49">
      <w:pPr>
        <w:pStyle w:val="30"/>
        <w:rPr>
          <w:color w:val="000000"/>
          <w:highlight w:val="none"/>
        </w:rPr>
      </w:pPr>
    </w:p>
    <w:p w14:paraId="6BC2A4F5">
      <w:pPr>
        <w:pStyle w:val="30"/>
        <w:rPr>
          <w:color w:val="000000"/>
          <w:highlight w:val="none"/>
        </w:rPr>
      </w:pPr>
    </w:p>
    <w:p w14:paraId="746ED7EA">
      <w:pPr>
        <w:pStyle w:val="30"/>
        <w:rPr>
          <w:color w:val="000000"/>
          <w:highlight w:val="none"/>
        </w:rPr>
      </w:pPr>
    </w:p>
    <w:p w14:paraId="5A501B29">
      <w:pPr>
        <w:pStyle w:val="30"/>
        <w:rPr>
          <w:color w:val="000000"/>
          <w:highlight w:val="none"/>
        </w:rPr>
      </w:pPr>
    </w:p>
    <w:p w14:paraId="2A6FF7BF">
      <w:pPr>
        <w:pStyle w:val="30"/>
        <w:rPr>
          <w:color w:val="000000"/>
          <w:highlight w:val="none"/>
        </w:rPr>
      </w:pPr>
    </w:p>
    <w:p w14:paraId="07687E97">
      <w:pPr>
        <w:pStyle w:val="30"/>
        <w:rPr>
          <w:color w:val="000000"/>
          <w:highlight w:val="none"/>
        </w:rPr>
      </w:pPr>
    </w:p>
    <w:p w14:paraId="1001E486">
      <w:pPr>
        <w:pStyle w:val="30"/>
        <w:rPr>
          <w:color w:val="000000"/>
          <w:highlight w:val="none"/>
        </w:rPr>
      </w:pPr>
    </w:p>
    <w:p w14:paraId="02CD458A">
      <w:pPr>
        <w:pStyle w:val="30"/>
        <w:rPr>
          <w:color w:val="000000"/>
          <w:highlight w:val="none"/>
        </w:rPr>
      </w:pPr>
    </w:p>
    <w:p w14:paraId="630EA551">
      <w:pPr>
        <w:pStyle w:val="30"/>
        <w:rPr>
          <w:color w:val="000000"/>
          <w:highlight w:val="none"/>
        </w:rPr>
      </w:pPr>
    </w:p>
    <w:p w14:paraId="26B6D211">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3F6601DA">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r>
        <w:rPr>
          <w:rFonts w:hint="eastAsia" w:ascii="华文中宋" w:hAnsi="华文中宋" w:eastAsia="华文中宋" w:cs="华文中宋"/>
          <w:b/>
          <w:bCs/>
          <w:color w:val="000000"/>
          <w:kern w:val="44"/>
          <w:sz w:val="36"/>
          <w:szCs w:val="36"/>
          <w:highlight w:val="none"/>
          <w:lang w:val="en-US" w:eastAsia="zh-CN"/>
        </w:rPr>
        <w:t>比选邀请</w:t>
      </w:r>
      <w:r>
        <w:rPr>
          <w:rFonts w:hint="eastAsia" w:ascii="华文中宋" w:hAnsi="华文中宋" w:eastAsia="华文中宋" w:cs="华文中宋"/>
          <w:b/>
          <w:bCs/>
          <w:color w:val="000000"/>
          <w:kern w:val="44"/>
          <w:sz w:val="36"/>
          <w:szCs w:val="36"/>
          <w:highlight w:val="none"/>
        </w:rPr>
        <w:t>函</w:t>
      </w:r>
    </w:p>
    <w:p w14:paraId="35F4FB0A">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各</w:t>
      </w:r>
      <w:r>
        <w:rPr>
          <w:rFonts w:hint="eastAsia" w:ascii="仿宋" w:hAnsi="仿宋" w:eastAsia="仿宋" w:cs="仿宋"/>
          <w:b/>
          <w:bCs w:val="0"/>
          <w:color w:val="000000"/>
          <w:sz w:val="24"/>
          <w:szCs w:val="24"/>
          <w:highlight w:val="none"/>
          <w:lang w:eastAsia="zh-CN"/>
        </w:rPr>
        <w:t>供应商</w:t>
      </w:r>
      <w:r>
        <w:rPr>
          <w:rFonts w:hint="eastAsia" w:ascii="仿宋" w:hAnsi="仿宋" w:eastAsia="仿宋" w:cs="仿宋"/>
          <w:b/>
          <w:bCs w:val="0"/>
          <w:color w:val="000000"/>
          <w:sz w:val="24"/>
          <w:szCs w:val="24"/>
          <w:highlight w:val="none"/>
        </w:rPr>
        <w:t>：</w:t>
      </w:r>
    </w:p>
    <w:p w14:paraId="2BC30ABE">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eastAsia="zh-CN"/>
        </w:rPr>
        <w:t>中山大学孙逸仙纪念医院（</w:t>
      </w:r>
      <w:r>
        <w:rPr>
          <w:rFonts w:hint="eastAsia" w:ascii="仿宋" w:hAnsi="仿宋" w:eastAsia="仿宋" w:cs="仿宋"/>
          <w:bCs/>
          <w:color w:val="000000"/>
          <w:sz w:val="24"/>
          <w:szCs w:val="24"/>
          <w:highlight w:val="none"/>
          <w:lang w:val="en-US" w:eastAsia="zh-CN"/>
        </w:rPr>
        <w:t>以下简称“我院”</w:t>
      </w:r>
      <w:r>
        <w:rPr>
          <w:rFonts w:hint="eastAsia" w:ascii="仿宋" w:hAnsi="仿宋" w:eastAsia="仿宋" w:cs="仿宋"/>
          <w:bCs/>
          <w:color w:val="000000"/>
          <w:sz w:val="24"/>
          <w:szCs w:val="24"/>
          <w:highlight w:val="none"/>
          <w:lang w:eastAsia="zh-CN"/>
        </w:rPr>
        <w:t>）受</w:t>
      </w:r>
      <w:r>
        <w:rPr>
          <w:rFonts w:hint="eastAsia" w:ascii="仿宋" w:hAnsi="仿宋" w:eastAsia="仿宋" w:cs="仿宋"/>
          <w:bCs/>
          <w:color w:val="000000"/>
          <w:sz w:val="24"/>
          <w:szCs w:val="24"/>
          <w:highlight w:val="none"/>
          <w:lang w:val="en-US" w:eastAsia="zh-CN"/>
        </w:rPr>
        <w:t>广州市花都区卫生健康局</w:t>
      </w:r>
      <w:r>
        <w:rPr>
          <w:rFonts w:hint="eastAsia" w:ascii="仿宋" w:hAnsi="仿宋" w:eastAsia="仿宋" w:cs="仿宋"/>
          <w:bCs/>
          <w:color w:val="000000"/>
          <w:sz w:val="24"/>
          <w:szCs w:val="24"/>
          <w:highlight w:val="none"/>
          <w:lang w:eastAsia="zh-CN"/>
        </w:rPr>
        <w:t>的委托，</w:t>
      </w:r>
      <w:r>
        <w:rPr>
          <w:rFonts w:hint="eastAsia" w:ascii="仿宋" w:hAnsi="仿宋" w:eastAsia="仿宋" w:cs="仿宋"/>
          <w:bCs/>
          <w:color w:val="000000"/>
          <w:sz w:val="24"/>
          <w:szCs w:val="24"/>
          <w:highlight w:val="none"/>
          <w:lang w:val="en-US" w:eastAsia="zh-CN"/>
        </w:rPr>
        <w:t>依据中山大学附属仁济医院</w:t>
      </w:r>
      <w:r>
        <w:rPr>
          <w:rFonts w:hint="eastAsia" w:ascii="仿宋" w:hAnsi="仿宋" w:eastAsia="仿宋" w:cs="仿宋"/>
          <w:bCs/>
          <w:color w:val="000000"/>
          <w:sz w:val="24"/>
          <w:szCs w:val="24"/>
          <w:highlight w:val="none"/>
        </w:rPr>
        <w:t>（以下简称“</w:t>
      </w:r>
      <w:r>
        <w:rPr>
          <w:rFonts w:hint="eastAsia" w:ascii="仿宋" w:hAnsi="仿宋" w:eastAsia="仿宋" w:cs="仿宋"/>
          <w:bCs/>
          <w:color w:val="000000"/>
          <w:sz w:val="24"/>
          <w:szCs w:val="24"/>
          <w:highlight w:val="none"/>
          <w:lang w:val="en-US" w:eastAsia="zh-CN"/>
        </w:rPr>
        <w:t>仁济医院</w:t>
      </w:r>
      <w:r>
        <w:rPr>
          <w:rFonts w:hint="eastAsia" w:ascii="仿宋" w:hAnsi="仿宋" w:eastAsia="仿宋" w:cs="仿宋"/>
          <w:bCs/>
          <w:color w:val="000000"/>
          <w:sz w:val="24"/>
          <w:szCs w:val="24"/>
          <w:highlight w:val="none"/>
        </w:rPr>
        <w:t>”）</w:t>
      </w:r>
      <w:r>
        <w:rPr>
          <w:rFonts w:hint="eastAsia" w:ascii="仿宋" w:hAnsi="仿宋" w:eastAsia="仿宋" w:cs="仿宋"/>
          <w:bCs/>
          <w:color w:val="000000"/>
          <w:sz w:val="24"/>
          <w:szCs w:val="24"/>
          <w:highlight w:val="none"/>
          <w:lang w:val="en-US" w:eastAsia="zh-CN"/>
        </w:rPr>
        <w:t>的需求，现对中山大学附属仁济医院危险废物处置服务采购项目</w:t>
      </w:r>
      <w:r>
        <w:rPr>
          <w:rFonts w:hint="eastAsia" w:ascii="仿宋" w:hAnsi="仿宋" w:eastAsia="仿宋" w:cs="仿宋"/>
          <w:bCs/>
          <w:color w:val="000000"/>
          <w:sz w:val="24"/>
          <w:szCs w:val="24"/>
          <w:highlight w:val="none"/>
          <w:lang w:eastAsia="zh-CN"/>
        </w:rPr>
        <w:t>公开挂网</w:t>
      </w:r>
      <w:r>
        <w:rPr>
          <w:rFonts w:hint="eastAsia" w:ascii="仿宋" w:hAnsi="仿宋" w:eastAsia="仿宋" w:cs="仿宋"/>
          <w:bCs/>
          <w:color w:val="000000"/>
          <w:sz w:val="24"/>
          <w:szCs w:val="24"/>
          <w:highlight w:val="none"/>
        </w:rPr>
        <w:t>采购，欢迎符合条件的</w:t>
      </w:r>
      <w:r>
        <w:rPr>
          <w:rFonts w:hint="eastAsia" w:ascii="仿宋" w:hAnsi="仿宋" w:eastAsia="仿宋" w:cs="仿宋"/>
          <w:bCs/>
          <w:color w:val="000000"/>
          <w:sz w:val="24"/>
          <w:szCs w:val="24"/>
          <w:highlight w:val="none"/>
          <w:lang w:val="en-US" w:eastAsia="zh-CN"/>
        </w:rPr>
        <w:t>供应商</w:t>
      </w:r>
      <w:r>
        <w:rPr>
          <w:rFonts w:hint="eastAsia" w:ascii="仿宋" w:hAnsi="仿宋" w:eastAsia="仿宋" w:cs="仿宋"/>
          <w:bCs/>
          <w:color w:val="000000"/>
          <w:sz w:val="24"/>
          <w:szCs w:val="24"/>
          <w:highlight w:val="none"/>
        </w:rPr>
        <w:t>参加</w:t>
      </w:r>
      <w:r>
        <w:rPr>
          <w:rFonts w:hint="eastAsia" w:ascii="仿宋" w:hAnsi="仿宋" w:eastAsia="仿宋" w:cs="仿宋"/>
          <w:bCs/>
          <w:color w:val="000000"/>
          <w:sz w:val="24"/>
          <w:szCs w:val="24"/>
          <w:highlight w:val="none"/>
          <w:lang w:eastAsia="zh-CN"/>
        </w:rPr>
        <w:t>响应</w:t>
      </w:r>
      <w:r>
        <w:rPr>
          <w:rFonts w:hint="eastAsia" w:ascii="仿宋" w:hAnsi="仿宋" w:eastAsia="仿宋" w:cs="仿宋"/>
          <w:bCs/>
          <w:color w:val="000000"/>
          <w:sz w:val="24"/>
          <w:szCs w:val="24"/>
          <w:highlight w:val="none"/>
        </w:rPr>
        <w:t>。</w:t>
      </w:r>
    </w:p>
    <w:p w14:paraId="7971404D">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项目编号：</w:t>
      </w:r>
      <w:r>
        <w:rPr>
          <w:rFonts w:hint="eastAsia" w:ascii="仿宋" w:hAnsi="仿宋" w:eastAsia="仿宋" w:cs="仿宋"/>
          <w:b/>
          <w:bCs/>
          <w:i w:val="0"/>
          <w:iCs w:val="0"/>
          <w:color w:val="000000"/>
          <w:kern w:val="2"/>
          <w:sz w:val="24"/>
          <w:szCs w:val="24"/>
          <w:highlight w:val="none"/>
          <w:vertAlign w:val="baseline"/>
          <w:lang w:val="en-US" w:eastAsia="zh-CN" w:bidi="ar-SA"/>
        </w:rPr>
        <w:t>ZCB-2024095</w:t>
      </w:r>
    </w:p>
    <w:p w14:paraId="6499695A">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项目名称</w:t>
      </w:r>
      <w:r>
        <w:rPr>
          <w:rFonts w:hint="eastAsia" w:ascii="仿宋" w:hAnsi="仿宋" w:eastAsia="仿宋" w:cs="仿宋"/>
          <w:b/>
          <w:bCs w:val="0"/>
          <w:color w:val="000000"/>
          <w:sz w:val="24"/>
          <w:szCs w:val="24"/>
          <w:highlight w:val="none"/>
          <w:lang w:eastAsia="zh-CN"/>
        </w:rPr>
        <w:t>：中山大学附属仁济医院危险废物处置服务采购项目</w:t>
      </w: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color w:val="000000"/>
          <w:sz w:val="24"/>
          <w:szCs w:val="24"/>
          <w:highlight w:val="none"/>
        </w:rPr>
        <w:instrText xml:space="preserve"> DOCVARIABLE  项目名称  \* MERGEFORMAT </w:instrText>
      </w:r>
      <w:r>
        <w:rPr>
          <w:rFonts w:hint="eastAsia" w:ascii="仿宋" w:hAnsi="仿宋" w:eastAsia="仿宋" w:cs="仿宋"/>
          <w:b/>
          <w:bCs w:val="0"/>
          <w:color w:val="000000"/>
          <w:sz w:val="24"/>
          <w:szCs w:val="24"/>
          <w:highlight w:val="none"/>
        </w:rPr>
        <w:fldChar w:fldCharType="end"/>
      </w:r>
    </w:p>
    <w:p w14:paraId="02480463">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lang w:eastAsia="zh-CN"/>
        </w:rPr>
        <w:t>项目</w:t>
      </w:r>
      <w:r>
        <w:rPr>
          <w:rFonts w:hint="eastAsia" w:ascii="仿宋" w:hAnsi="仿宋" w:eastAsia="仿宋" w:cs="仿宋"/>
          <w:b/>
          <w:bCs w:val="0"/>
          <w:color w:val="000000"/>
          <w:sz w:val="24"/>
          <w:szCs w:val="24"/>
          <w:highlight w:val="none"/>
        </w:rPr>
        <w:t>内容及需求：</w:t>
      </w:r>
    </w:p>
    <w:tbl>
      <w:tblPr>
        <w:tblStyle w:val="23"/>
        <w:tblW w:w="41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1"/>
        <w:gridCol w:w="1274"/>
        <w:gridCol w:w="1981"/>
        <w:gridCol w:w="2857"/>
      </w:tblGrid>
      <w:tr w14:paraId="230EE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380" w:type="pct"/>
            <w:tcBorders>
              <w:top w:val="single" w:color="auto" w:sz="4" w:space="0"/>
              <w:left w:val="single" w:color="auto" w:sz="4" w:space="0"/>
              <w:bottom w:val="single" w:color="auto" w:sz="4" w:space="0"/>
              <w:right w:val="single" w:color="auto" w:sz="4" w:space="0"/>
            </w:tcBorders>
            <w:vAlign w:val="center"/>
          </w:tcPr>
          <w:p w14:paraId="4AF62EB5">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rPr>
              <w:t>服务内容</w:t>
            </w:r>
          </w:p>
        </w:tc>
        <w:tc>
          <w:tcPr>
            <w:tcW w:w="754" w:type="pct"/>
            <w:tcBorders>
              <w:top w:val="single" w:color="auto" w:sz="4" w:space="0"/>
              <w:left w:val="nil"/>
              <w:bottom w:val="single" w:color="auto" w:sz="4" w:space="0"/>
              <w:right w:val="single" w:color="auto" w:sz="4" w:space="0"/>
            </w:tcBorders>
            <w:vAlign w:val="center"/>
          </w:tcPr>
          <w:p w14:paraId="7F2FDEEB">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rPr>
              <w:t>服务期限</w:t>
            </w:r>
          </w:p>
        </w:tc>
        <w:tc>
          <w:tcPr>
            <w:tcW w:w="1173" w:type="pct"/>
            <w:tcBorders>
              <w:top w:val="single" w:color="auto" w:sz="4" w:space="0"/>
              <w:left w:val="nil"/>
              <w:bottom w:val="single" w:color="auto" w:sz="4" w:space="0"/>
              <w:right w:val="single" w:color="auto" w:sz="4" w:space="0"/>
            </w:tcBorders>
            <w:vAlign w:val="center"/>
          </w:tcPr>
          <w:p w14:paraId="7301F18E">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技术规格、参数及要求</w:t>
            </w:r>
          </w:p>
        </w:tc>
        <w:tc>
          <w:tcPr>
            <w:tcW w:w="1691" w:type="pct"/>
            <w:tcBorders>
              <w:top w:val="single" w:color="auto" w:sz="4" w:space="0"/>
              <w:left w:val="nil"/>
              <w:bottom w:val="single" w:color="auto" w:sz="4" w:space="0"/>
              <w:right w:val="single" w:color="auto" w:sz="4" w:space="0"/>
            </w:tcBorders>
            <w:vAlign w:val="center"/>
          </w:tcPr>
          <w:p w14:paraId="1AE0B2B7">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lang w:val="en-US" w:eastAsia="zh-CN"/>
              </w:rPr>
              <w:t>项目</w:t>
            </w:r>
            <w:r>
              <w:rPr>
                <w:rFonts w:hint="eastAsia" w:ascii="仿宋" w:hAnsi="仿宋" w:eastAsia="仿宋" w:cs="仿宋"/>
                <w:sz w:val="24"/>
                <w:szCs w:val="24"/>
              </w:rPr>
              <w:t>最高限价</w:t>
            </w:r>
          </w:p>
        </w:tc>
      </w:tr>
      <w:tr w14:paraId="5143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1380" w:type="pct"/>
            <w:tcBorders>
              <w:top w:val="single" w:color="auto" w:sz="4" w:space="0"/>
              <w:left w:val="single" w:color="auto" w:sz="4" w:space="0"/>
              <w:bottom w:val="single" w:color="auto" w:sz="4" w:space="0"/>
              <w:right w:val="single" w:color="auto" w:sz="4" w:space="0"/>
            </w:tcBorders>
            <w:vAlign w:val="center"/>
          </w:tcPr>
          <w:p w14:paraId="4955EA13">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lang w:val="zh-CN"/>
              </w:rPr>
            </w:pPr>
            <w:r>
              <w:rPr>
                <w:rFonts w:hint="eastAsia" w:ascii="仿宋" w:hAnsi="仿宋" w:eastAsia="仿宋" w:cs="仿宋"/>
                <w:sz w:val="24"/>
                <w:szCs w:val="24"/>
                <w:lang w:val="zh-CN"/>
              </w:rPr>
              <w:t>仁济医院危险废物处置服务</w:t>
            </w:r>
          </w:p>
        </w:tc>
        <w:tc>
          <w:tcPr>
            <w:tcW w:w="754" w:type="pct"/>
            <w:tcBorders>
              <w:top w:val="single" w:color="auto" w:sz="4" w:space="0"/>
              <w:left w:val="nil"/>
              <w:bottom w:val="single" w:color="auto" w:sz="4" w:space="0"/>
              <w:right w:val="single" w:color="auto" w:sz="4" w:space="0"/>
            </w:tcBorders>
            <w:vAlign w:val="center"/>
          </w:tcPr>
          <w:p w14:paraId="2CF874FC">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36个月</w:t>
            </w:r>
          </w:p>
        </w:tc>
        <w:tc>
          <w:tcPr>
            <w:tcW w:w="1173" w:type="pct"/>
            <w:tcBorders>
              <w:top w:val="single" w:color="auto" w:sz="4" w:space="0"/>
              <w:left w:val="nil"/>
              <w:bottom w:val="single" w:color="auto" w:sz="4" w:space="0"/>
              <w:right w:val="single" w:color="auto" w:sz="4" w:space="0"/>
            </w:tcBorders>
            <w:vAlign w:val="center"/>
          </w:tcPr>
          <w:p w14:paraId="2CD94558">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详见用户需求书</w:t>
            </w:r>
          </w:p>
        </w:tc>
        <w:tc>
          <w:tcPr>
            <w:tcW w:w="1691" w:type="pct"/>
            <w:tcBorders>
              <w:top w:val="single" w:color="auto" w:sz="4" w:space="0"/>
              <w:left w:val="nil"/>
              <w:bottom w:val="single" w:color="auto" w:sz="4" w:space="0"/>
              <w:right w:val="single" w:color="auto" w:sz="4" w:space="0"/>
            </w:tcBorders>
            <w:vAlign w:val="center"/>
          </w:tcPr>
          <w:p w14:paraId="2ED8E46A">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rPr>
              <w:t>人</w:t>
            </w:r>
            <w:r>
              <w:rPr>
                <w:rFonts w:hint="eastAsia" w:ascii="仿宋" w:hAnsi="仿宋" w:eastAsia="仿宋" w:cs="仿宋"/>
                <w:sz w:val="24"/>
                <w:szCs w:val="24"/>
                <w:highlight w:val="none"/>
              </w:rPr>
              <w:t>民币</w:t>
            </w:r>
            <w:r>
              <w:rPr>
                <w:rFonts w:hint="eastAsia" w:ascii="仿宋" w:hAnsi="仿宋" w:eastAsia="仿宋" w:cs="仿宋"/>
                <w:sz w:val="24"/>
                <w:szCs w:val="24"/>
                <w:highlight w:val="none"/>
                <w:lang w:val="en-US" w:eastAsia="zh-CN"/>
              </w:rPr>
              <w:t>570000</w:t>
            </w:r>
            <w:r>
              <w:rPr>
                <w:rFonts w:hint="eastAsia" w:ascii="仿宋" w:hAnsi="仿宋" w:eastAsia="仿宋" w:cs="仿宋"/>
                <w:sz w:val="24"/>
                <w:szCs w:val="24"/>
              </w:rPr>
              <w:t>元</w:t>
            </w:r>
          </w:p>
        </w:tc>
      </w:tr>
    </w:tbl>
    <w:p w14:paraId="66F076FC">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400" w:firstLineChars="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bCs/>
          <w:color w:val="000000"/>
          <w:sz w:val="24"/>
          <w:szCs w:val="24"/>
          <w:highlight w:val="none"/>
        </w:rPr>
        <w:t>详细技术规范请参阅</w:t>
      </w:r>
      <w:r>
        <w:rPr>
          <w:rFonts w:hint="eastAsia" w:ascii="仿宋" w:hAnsi="仿宋" w:eastAsia="仿宋" w:cs="仿宋"/>
          <w:bCs/>
          <w:color w:val="000000"/>
          <w:sz w:val="24"/>
          <w:szCs w:val="24"/>
          <w:highlight w:val="none"/>
          <w:lang w:eastAsia="zh-CN"/>
        </w:rPr>
        <w:t>比选文件</w:t>
      </w:r>
      <w:r>
        <w:rPr>
          <w:rFonts w:hint="eastAsia" w:ascii="仿宋" w:hAnsi="仿宋" w:eastAsia="仿宋" w:cs="仿宋"/>
          <w:bCs/>
          <w:color w:val="000000"/>
          <w:sz w:val="24"/>
          <w:szCs w:val="24"/>
          <w:highlight w:val="none"/>
        </w:rPr>
        <w:t>中的“用户需求书”。</w:t>
      </w:r>
    </w:p>
    <w:p w14:paraId="40BEAA17">
      <w:pPr>
        <w:pStyle w:val="13"/>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服务时间：按采购人要求。</w:t>
      </w:r>
    </w:p>
    <w:p w14:paraId="5C936A38">
      <w:pPr>
        <w:pStyle w:val="13"/>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服务地点：</w:t>
      </w:r>
      <w:r>
        <w:rPr>
          <w:rFonts w:hint="eastAsia" w:ascii="仿宋" w:hAnsi="仿宋" w:eastAsia="仿宋" w:cs="仿宋"/>
          <w:b w:val="0"/>
          <w:bCs/>
          <w:color w:val="000000"/>
          <w:sz w:val="24"/>
          <w:szCs w:val="24"/>
          <w:highlight w:val="none"/>
          <w:lang w:eastAsia="zh-CN"/>
        </w:rPr>
        <w:t>中山大学附属仁济医院</w:t>
      </w:r>
      <w:r>
        <w:rPr>
          <w:rFonts w:hint="eastAsia" w:ascii="仿宋" w:hAnsi="仿宋" w:eastAsia="仿宋" w:cs="仿宋"/>
          <w:sz w:val="24"/>
          <w:szCs w:val="24"/>
          <w:lang w:val="zh-CN"/>
        </w:rPr>
        <w:t>（广州市花都区新雅街镜湖大道北以东，雅瑶东路以南，黄冈中学以西）</w:t>
      </w:r>
      <w:r>
        <w:rPr>
          <w:rFonts w:hint="eastAsia" w:ascii="仿宋" w:hAnsi="仿宋" w:eastAsia="仿宋" w:cs="仿宋"/>
          <w:bCs/>
          <w:color w:val="000000"/>
          <w:sz w:val="24"/>
          <w:szCs w:val="24"/>
          <w:highlight w:val="none"/>
          <w:lang w:val="en-US" w:eastAsia="zh-CN"/>
        </w:rPr>
        <w:t>。</w:t>
      </w:r>
    </w:p>
    <w:p w14:paraId="03B88EBF">
      <w:pPr>
        <w:pStyle w:val="13"/>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本项目不接受联合体响应，成交供应商不得以任何方式转包或分包本项目。</w:t>
      </w:r>
    </w:p>
    <w:p w14:paraId="0246D0A3">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6"/>
          <w:rFonts w:hint="eastAsia" w:ascii="仿宋" w:hAnsi="仿宋" w:eastAsia="仿宋" w:cs="仿宋"/>
          <w:b/>
          <w:bCs/>
          <w:i w:val="0"/>
          <w:iCs w:val="0"/>
          <w:caps w:val="0"/>
          <w:color w:val="000000"/>
          <w:spacing w:val="0"/>
          <w:sz w:val="24"/>
          <w:szCs w:val="24"/>
          <w:highlight w:val="none"/>
          <w:u w:val="none"/>
          <w:vertAlign w:val="baseline"/>
          <w:lang w:val="en-US" w:eastAsia="zh-CN"/>
        </w:rPr>
        <w:t>四</w:t>
      </w:r>
      <w:r>
        <w:rPr>
          <w:rStyle w:val="26"/>
          <w:rFonts w:hint="eastAsia" w:ascii="仿宋" w:hAnsi="仿宋" w:eastAsia="仿宋" w:cs="仿宋"/>
          <w:b/>
          <w:bCs/>
          <w:i w:val="0"/>
          <w:iCs w:val="0"/>
          <w:caps w:val="0"/>
          <w:color w:val="000000"/>
          <w:spacing w:val="0"/>
          <w:sz w:val="24"/>
          <w:szCs w:val="24"/>
          <w:highlight w:val="none"/>
          <w:u w:val="none"/>
          <w:vertAlign w:val="baseline"/>
        </w:rPr>
        <w:t>、提供资料相关事项</w:t>
      </w:r>
    </w:p>
    <w:p w14:paraId="33CB750F">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 w:val="0"/>
          <w:bCs w:val="0"/>
          <w:i w:val="0"/>
          <w:iCs w:val="0"/>
          <w:caps w:val="0"/>
          <w:color w:val="000000"/>
          <w:spacing w:val="0"/>
          <w:sz w:val="24"/>
          <w:szCs w:val="24"/>
          <w:highlight w:val="none"/>
          <w:u w:val="none"/>
          <w:vertAlign w:val="baseline"/>
        </w:rPr>
      </w:pPr>
      <w:r>
        <w:rPr>
          <w:rStyle w:val="26"/>
          <w:rFonts w:hint="eastAsia" w:ascii="仿宋" w:hAnsi="仿宋" w:eastAsia="仿宋" w:cs="仿宋"/>
          <w:b w:val="0"/>
          <w:bCs w:val="0"/>
          <w:i w:val="0"/>
          <w:iCs w:val="0"/>
          <w:caps w:val="0"/>
          <w:color w:val="000000"/>
          <w:spacing w:val="0"/>
          <w:sz w:val="24"/>
          <w:szCs w:val="24"/>
          <w:highlight w:val="none"/>
          <w:u w:val="none"/>
          <w:vertAlign w:val="baseline"/>
          <w:lang w:val="en-US" w:eastAsia="zh-CN"/>
        </w:rPr>
        <w:t>1</w:t>
      </w:r>
      <w:r>
        <w:rPr>
          <w:rStyle w:val="26"/>
          <w:rFonts w:hint="eastAsia" w:ascii="仿宋" w:hAnsi="仿宋" w:eastAsia="仿宋" w:cs="仿宋"/>
          <w:b w:val="0"/>
          <w:bCs w:val="0"/>
          <w:i w:val="0"/>
          <w:iCs w:val="0"/>
          <w:caps w:val="0"/>
          <w:color w:val="000000"/>
          <w:spacing w:val="0"/>
          <w:sz w:val="24"/>
          <w:szCs w:val="24"/>
          <w:highlight w:val="none"/>
          <w:u w:val="none"/>
          <w:vertAlign w:val="baseline"/>
        </w:rPr>
        <w:t>.报名方式：</w:t>
      </w:r>
      <w:r>
        <w:rPr>
          <w:rFonts w:hint="eastAsia" w:ascii="仿宋" w:hAnsi="仿宋" w:eastAsia="仿宋" w:cs="仿宋"/>
          <w:b w:val="0"/>
          <w:bCs w:val="0"/>
          <w:i w:val="0"/>
          <w:iCs w:val="0"/>
          <w:caps w:val="0"/>
          <w:color w:val="000000"/>
          <w:spacing w:val="0"/>
          <w:sz w:val="24"/>
          <w:szCs w:val="24"/>
          <w:highlight w:val="none"/>
          <w:u w:val="none"/>
          <w:vertAlign w:val="baseline"/>
        </w:rPr>
        <w:t>电子邮件报名。</w:t>
      </w:r>
    </w:p>
    <w:p w14:paraId="01FCFBD1">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2</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邮件主题：</w:t>
      </w:r>
      <w:r>
        <w:rPr>
          <w:rFonts w:hint="eastAsia" w:ascii="仿宋" w:hAnsi="仿宋" w:eastAsia="仿宋" w:cs="仿宋"/>
          <w:kern w:val="0"/>
          <w:sz w:val="24"/>
          <w:highlight w:val="none"/>
          <w:lang w:val="en-US" w:eastAsia="zh-CN"/>
        </w:rPr>
        <w:t>仁济医院危险废物处置</w:t>
      </w:r>
      <w:r>
        <w:rPr>
          <w:rFonts w:hint="eastAsia" w:ascii="仿宋" w:hAnsi="仿宋" w:eastAsia="仿宋" w:cs="仿宋"/>
          <w:i w:val="0"/>
          <w:iCs w:val="0"/>
          <w:caps w:val="0"/>
          <w:color w:val="000000"/>
          <w:spacing w:val="0"/>
          <w:sz w:val="24"/>
          <w:szCs w:val="24"/>
          <w:highlight w:val="none"/>
          <w:u w:val="none"/>
          <w:vertAlign w:val="baseline"/>
        </w:rPr>
        <w:t>-某某公司</w:t>
      </w:r>
    </w:p>
    <w:p w14:paraId="61FD3434">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3</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邮件正文：公司名称全称、项目联系人、联系电话（手机号码）</w:t>
      </w:r>
    </w:p>
    <w:p w14:paraId="195AE639">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报名截止时间：202</w:t>
      </w: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rPr>
        <w:t>年</w:t>
      </w:r>
      <w:r>
        <w:rPr>
          <w:rFonts w:hint="eastAsia" w:ascii="仿宋" w:hAnsi="仿宋" w:eastAsia="仿宋" w:cs="仿宋"/>
          <w:i w:val="0"/>
          <w:iCs w:val="0"/>
          <w:caps w:val="0"/>
          <w:color w:val="000000"/>
          <w:spacing w:val="0"/>
          <w:sz w:val="24"/>
          <w:szCs w:val="24"/>
          <w:highlight w:val="none"/>
          <w:u w:val="none"/>
          <w:vertAlign w:val="baseline"/>
          <w:lang w:val="en-US" w:eastAsia="zh-CN"/>
        </w:rPr>
        <w:t>9</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13</w:t>
      </w:r>
      <w:r>
        <w:rPr>
          <w:rFonts w:hint="eastAsia" w:ascii="仿宋" w:hAnsi="仿宋" w:eastAsia="仿宋" w:cs="仿宋"/>
          <w:i w:val="0"/>
          <w:iCs w:val="0"/>
          <w:caps w:val="0"/>
          <w:color w:val="000000"/>
          <w:spacing w:val="0"/>
          <w:sz w:val="24"/>
          <w:szCs w:val="24"/>
          <w:highlight w:val="none"/>
          <w:u w:val="none"/>
          <w:vertAlign w:val="baseline"/>
        </w:rPr>
        <w:t>日下午17:00，以邮件接收时间为准，超时视为无效报名。</w:t>
      </w:r>
    </w:p>
    <w:p w14:paraId="7D3DF828">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6"/>
          <w:rFonts w:hint="eastAsia" w:ascii="仿宋" w:hAnsi="仿宋" w:eastAsia="仿宋" w:cs="仿宋"/>
          <w:i w:val="0"/>
          <w:iCs w:val="0"/>
          <w:caps w:val="0"/>
          <w:color w:val="FF0000"/>
          <w:spacing w:val="0"/>
          <w:sz w:val="24"/>
          <w:szCs w:val="24"/>
          <w:highlight w:val="none"/>
          <w:u w:val="none"/>
          <w:vertAlign w:val="baseline"/>
          <w:lang w:val="en-US" w:eastAsia="zh-CN"/>
        </w:rPr>
        <w:t>5</w:t>
      </w:r>
      <w:r>
        <w:rPr>
          <w:rStyle w:val="26"/>
          <w:rFonts w:hint="eastAsia" w:ascii="仿宋" w:hAnsi="仿宋" w:eastAsia="仿宋" w:cs="仿宋"/>
          <w:i w:val="0"/>
          <w:iCs w:val="0"/>
          <w:caps w:val="0"/>
          <w:color w:val="FF0000"/>
          <w:spacing w:val="0"/>
          <w:sz w:val="24"/>
          <w:szCs w:val="24"/>
          <w:highlight w:val="none"/>
          <w:u w:val="none"/>
          <w:vertAlign w:val="baseline"/>
        </w:rPr>
        <w:t>.报名所需提供资料及要求</w:t>
      </w:r>
      <w:r>
        <w:rPr>
          <w:rFonts w:hint="eastAsia" w:ascii="仿宋" w:hAnsi="仿宋" w:eastAsia="仿宋" w:cs="仿宋"/>
          <w:i w:val="0"/>
          <w:iCs w:val="0"/>
          <w:caps w:val="0"/>
          <w:color w:val="FF0000"/>
          <w:spacing w:val="0"/>
          <w:sz w:val="24"/>
          <w:szCs w:val="24"/>
          <w:highlight w:val="none"/>
          <w:u w:val="none"/>
          <w:vertAlign w:val="baseline"/>
        </w:rPr>
        <w:t>：详见附件</w:t>
      </w:r>
      <w:r>
        <w:rPr>
          <w:rFonts w:hint="eastAsia" w:ascii="仿宋" w:hAnsi="仿宋" w:eastAsia="仿宋" w:cs="仿宋"/>
          <w:i w:val="0"/>
          <w:iCs w:val="0"/>
          <w:caps w:val="0"/>
          <w:color w:val="FF0000"/>
          <w:spacing w:val="0"/>
          <w:sz w:val="24"/>
          <w:szCs w:val="24"/>
          <w:highlight w:val="none"/>
          <w:u w:val="none"/>
          <w:vertAlign w:val="baseline"/>
          <w:lang w:val="en-US" w:eastAsia="zh-CN"/>
        </w:rPr>
        <w:t>2</w:t>
      </w:r>
      <w:r>
        <w:rPr>
          <w:rFonts w:hint="eastAsia" w:ascii="仿宋" w:hAnsi="仿宋" w:eastAsia="仿宋" w:cs="仿宋"/>
          <w:i w:val="0"/>
          <w:iCs w:val="0"/>
          <w:caps w:val="0"/>
          <w:color w:val="FF0000"/>
          <w:spacing w:val="0"/>
          <w:sz w:val="24"/>
          <w:szCs w:val="24"/>
          <w:highlight w:val="none"/>
          <w:u w:val="none"/>
          <w:vertAlign w:val="baseline"/>
        </w:rPr>
        <w:t>报名资料。</w:t>
      </w:r>
    </w:p>
    <w:p w14:paraId="22E6F926">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000000"/>
          <w:spacing w:val="0"/>
          <w:sz w:val="24"/>
          <w:szCs w:val="24"/>
          <w:highlight w:val="none"/>
          <w:u w:val="none"/>
        </w:rPr>
      </w:pPr>
      <w:r>
        <w:rPr>
          <w:rStyle w:val="26"/>
          <w:rFonts w:hint="eastAsia" w:ascii="仿宋" w:hAnsi="仿宋" w:eastAsia="仿宋" w:cs="仿宋"/>
          <w:b/>
          <w:bCs/>
          <w:i w:val="0"/>
          <w:iCs w:val="0"/>
          <w:caps w:val="0"/>
          <w:color w:val="FF0000"/>
          <w:spacing w:val="0"/>
          <w:sz w:val="24"/>
          <w:szCs w:val="24"/>
          <w:highlight w:val="none"/>
          <w:u w:val="none"/>
          <w:vertAlign w:val="baseline"/>
        </w:rPr>
        <w:t>*温馨告知：</w:t>
      </w:r>
      <w:r>
        <w:rPr>
          <w:rFonts w:hint="eastAsia" w:ascii="仿宋" w:hAnsi="仿宋" w:eastAsia="仿宋" w:cs="仿宋"/>
          <w:i w:val="0"/>
          <w:iCs w:val="0"/>
          <w:caps w:val="0"/>
          <w:color w:val="FF0000"/>
          <w:spacing w:val="0"/>
          <w:sz w:val="24"/>
          <w:szCs w:val="24"/>
          <w:highlight w:val="none"/>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FF0000"/>
          <w:spacing w:val="0"/>
          <w:sz w:val="24"/>
          <w:szCs w:val="24"/>
          <w:highlight w:val="none"/>
          <w:u w:val="none"/>
          <w:vertAlign w:val="baseline"/>
          <w:lang w:eastAsia="zh-CN"/>
        </w:rPr>
        <w:t>比选环节</w:t>
      </w:r>
      <w:r>
        <w:rPr>
          <w:rFonts w:hint="eastAsia" w:ascii="仿宋" w:hAnsi="仿宋" w:eastAsia="仿宋" w:cs="仿宋"/>
          <w:i w:val="0"/>
          <w:iCs w:val="0"/>
          <w:caps w:val="0"/>
          <w:color w:val="FF0000"/>
          <w:spacing w:val="0"/>
          <w:sz w:val="24"/>
          <w:szCs w:val="24"/>
          <w:highlight w:val="none"/>
          <w:u w:val="none"/>
          <w:vertAlign w:val="baseline"/>
        </w:rPr>
        <w:t>等严重后果由供应商自行负责。</w:t>
      </w:r>
    </w:p>
    <w:p w14:paraId="328A6FF3">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w:t>
      </w:r>
      <w:r>
        <w:rPr>
          <w:rFonts w:hint="eastAsia" w:ascii="仿宋" w:hAnsi="仿宋" w:eastAsia="仿宋" w:cs="仿宋"/>
          <w:b/>
          <w:bCs/>
          <w:color w:val="000000"/>
          <w:sz w:val="24"/>
          <w:szCs w:val="24"/>
          <w:highlight w:val="none"/>
          <w:lang w:val="en-US" w:eastAsia="zh-CN"/>
        </w:rPr>
        <w:t>供应商资质要求（提供声明函，模板详见附件2报名资料）</w:t>
      </w:r>
    </w:p>
    <w:p w14:paraId="3448F563">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应具备</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条件：</w:t>
      </w:r>
    </w:p>
    <w:p w14:paraId="3F3EB69B">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（1）具有良好的商业信誉和健全的财务会计制度；</w:t>
      </w:r>
    </w:p>
    <w:p w14:paraId="37C7C41C">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（2）有依法缴纳税收和社会保障资金的良好记录；</w:t>
      </w:r>
    </w:p>
    <w:p w14:paraId="43A01949">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（3）具备履行合同所必需的设备和专业技术能力；</w:t>
      </w:r>
    </w:p>
    <w:p w14:paraId="3B1FE88D">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（4）参加本次采购活动前三年内，在经营活动中没有重大违法记录。</w:t>
      </w:r>
    </w:p>
    <w:p w14:paraId="466140F6">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14:paraId="2E6D6640">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4"/>
          <w:szCs w:val="24"/>
          <w:highlight w:val="none"/>
          <w:lang w:val="en-US" w:eastAsia="zh-CN"/>
        </w:rPr>
        <w:t>。</w:t>
      </w:r>
    </w:p>
    <w:p w14:paraId="3965D16E">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4、为本采购项目提供过整体设计、规范编制或者项目管理、监理、检测等服务的供应商及其附属机构，不得再参加本采购项目的响应。</w:t>
      </w:r>
    </w:p>
    <w:p w14:paraId="4C34D465">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val="en-US" w:eastAsia="zh-CN"/>
        </w:rPr>
        <w:t>5</w:t>
      </w:r>
      <w:r>
        <w:rPr>
          <w:rFonts w:hint="eastAsia" w:ascii="仿宋" w:hAnsi="仿宋" w:eastAsia="仿宋" w:cs="仿宋"/>
          <w:sz w:val="24"/>
          <w:szCs w:val="24"/>
          <w:highlight w:val="none"/>
          <w:u w:val="none"/>
        </w:rPr>
        <w:t>、</w:t>
      </w:r>
      <w:r>
        <w:rPr>
          <w:rFonts w:hint="eastAsia" w:ascii="仿宋" w:hAnsi="仿宋" w:eastAsia="仿宋" w:cs="仿宋"/>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提供有效的营业执照（或事业法人登记证或身份证等相关证明）副本复印件</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如非“三证合一”证照，同时提供税务登记证副本复印件,加盖公章</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如为分公司</w:t>
      </w:r>
      <w:r>
        <w:rPr>
          <w:rFonts w:hint="eastAsia" w:ascii="仿宋" w:hAnsi="仿宋" w:eastAsia="仿宋" w:cs="仿宋"/>
          <w:sz w:val="24"/>
          <w:szCs w:val="24"/>
          <w:highlight w:val="none"/>
          <w:u w:val="none"/>
          <w:lang w:val="en-US" w:eastAsia="zh-CN"/>
        </w:rPr>
        <w:t>报名</w:t>
      </w:r>
      <w:r>
        <w:rPr>
          <w:rFonts w:hint="eastAsia" w:ascii="仿宋" w:hAnsi="仿宋" w:eastAsia="仿宋" w:cs="仿宋"/>
          <w:sz w:val="24"/>
          <w:szCs w:val="24"/>
          <w:highlight w:val="none"/>
          <w:u w:val="none"/>
        </w:rPr>
        <w:t>，必须</w:t>
      </w:r>
      <w:r>
        <w:rPr>
          <w:rFonts w:hint="eastAsia" w:ascii="仿宋" w:hAnsi="仿宋" w:eastAsia="仿宋" w:cs="仿宋"/>
          <w:sz w:val="24"/>
          <w:szCs w:val="24"/>
          <w:highlight w:val="none"/>
          <w:u w:val="none"/>
          <w:lang w:val="en-US" w:eastAsia="zh-CN"/>
        </w:rPr>
        <w:t>同时</w:t>
      </w:r>
      <w:r>
        <w:rPr>
          <w:rFonts w:hint="eastAsia" w:ascii="仿宋" w:hAnsi="仿宋" w:eastAsia="仿宋" w:cs="仿宋"/>
          <w:sz w:val="24"/>
          <w:szCs w:val="24"/>
          <w:highlight w:val="none"/>
          <w:u w:val="none"/>
        </w:rPr>
        <w:t>提供总公司的营业执照副本复印件及总公司授权书</w:t>
      </w:r>
      <w:r>
        <w:rPr>
          <w:rFonts w:hint="eastAsia" w:ascii="仿宋" w:hAnsi="仿宋" w:eastAsia="仿宋" w:cs="仿宋"/>
          <w:sz w:val="24"/>
          <w:szCs w:val="24"/>
          <w:highlight w:val="none"/>
          <w:u w:val="none"/>
          <w:lang w:eastAsia="zh-CN"/>
        </w:rPr>
        <w:t>。</w:t>
      </w:r>
    </w:p>
    <w:p w14:paraId="5018C2DE">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本项目不接受联合体响应</w:t>
      </w:r>
      <w:r>
        <w:rPr>
          <w:rFonts w:hint="eastAsia" w:ascii="仿宋" w:hAnsi="仿宋" w:eastAsia="仿宋" w:cs="仿宋"/>
          <w:sz w:val="24"/>
          <w:szCs w:val="24"/>
          <w:highlight w:val="none"/>
          <w:lang w:val="en-US" w:eastAsia="zh-CN"/>
        </w:rPr>
        <w:t>，成交供应商不得以任何方式转包或分包本项目。</w:t>
      </w:r>
    </w:p>
    <w:p w14:paraId="78A73486">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7、</w:t>
      </w:r>
      <w:r>
        <w:rPr>
          <w:rFonts w:hint="eastAsia" w:ascii="仿宋" w:hAnsi="仿宋" w:eastAsia="仿宋" w:cs="仿宋"/>
          <w:b w:val="0"/>
          <w:bCs w:val="0"/>
          <w:sz w:val="24"/>
          <w:szCs w:val="24"/>
          <w:highlight w:val="none"/>
          <w:u w:val="none"/>
          <w:lang w:val="en-US" w:eastAsia="zh-CN"/>
        </w:rPr>
        <w:t>供应商</w:t>
      </w:r>
      <w:r>
        <w:rPr>
          <w:rFonts w:hint="eastAsia" w:ascii="仿宋" w:hAnsi="仿宋" w:eastAsia="仿宋" w:cs="仿宋"/>
          <w:b w:val="0"/>
          <w:bCs w:val="0"/>
          <w:color w:val="000000"/>
          <w:sz w:val="24"/>
          <w:szCs w:val="24"/>
          <w:highlight w:val="none"/>
          <w:lang w:val="en-US" w:eastAsia="zh-CN"/>
        </w:rPr>
        <w:t>须具备生态环境主管部门颁发的在有效期内的《危险废物经营许可证》且核准经营危险废物类别代码需包含本项目全部危险废物（详见下图）。(提供有效证书的复印件，加盖公章）</w:t>
      </w:r>
    </w:p>
    <w:p w14:paraId="7581A747">
      <w:pPr>
        <w:pStyle w:val="13"/>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hint="eastAsia" w:ascii="仿宋" w:hAnsi="仿宋" w:eastAsia="仿宋" w:cs="仿宋"/>
          <w:b w:val="0"/>
          <w:bCs w:val="0"/>
          <w:color w:val="000000"/>
          <w:sz w:val="24"/>
          <w:szCs w:val="24"/>
          <w:highlight w:val="none"/>
          <w:lang w:val="en-US" w:eastAsia="zh-CN"/>
        </w:rPr>
      </w:pPr>
      <w:r>
        <w:drawing>
          <wp:anchor distT="0" distB="0" distL="114300" distR="114300" simplePos="0" relativeHeight="251660288" behindDoc="0" locked="0" layoutInCell="1" allowOverlap="1">
            <wp:simplePos x="0" y="0"/>
            <wp:positionH relativeFrom="column">
              <wp:posOffset>970915</wp:posOffset>
            </wp:positionH>
            <wp:positionV relativeFrom="paragraph">
              <wp:posOffset>77470</wp:posOffset>
            </wp:positionV>
            <wp:extent cx="4144010" cy="3016250"/>
            <wp:effectExtent l="0" t="0" r="8890" b="12700"/>
            <wp:wrapTopAndBottom/>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8"/>
                    <a:stretch>
                      <a:fillRect/>
                    </a:stretch>
                  </pic:blipFill>
                  <pic:spPr>
                    <a:xfrm>
                      <a:off x="0" y="0"/>
                      <a:ext cx="4144010" cy="3016250"/>
                    </a:xfrm>
                    <a:prstGeom prst="rect">
                      <a:avLst/>
                    </a:prstGeom>
                    <a:noFill/>
                    <a:ln>
                      <a:noFill/>
                    </a:ln>
                  </pic:spPr>
                </pic:pic>
              </a:graphicData>
            </a:graphic>
          </wp:anchor>
        </w:drawing>
      </w:r>
      <w:r>
        <w:rPr>
          <w:rFonts w:hint="eastAsia" w:ascii="仿宋" w:hAnsi="仿宋" w:eastAsia="仿宋" w:cs="仿宋"/>
          <w:b w:val="0"/>
          <w:bCs w:val="0"/>
          <w:color w:val="000000"/>
          <w:sz w:val="24"/>
          <w:szCs w:val="24"/>
          <w:highlight w:val="none"/>
          <w:lang w:val="en-US" w:eastAsia="zh-CN"/>
        </w:rPr>
        <w:t>8、如供应商自身运输危险废物的，</w:t>
      </w:r>
      <w:r>
        <w:rPr>
          <w:rFonts w:hint="eastAsia" w:ascii="仿宋" w:hAnsi="仿宋" w:eastAsia="仿宋" w:cs="仿宋"/>
          <w:b w:val="0"/>
          <w:bCs w:val="0"/>
          <w:sz w:val="24"/>
          <w:szCs w:val="24"/>
          <w:highlight w:val="none"/>
          <w:u w:val="none"/>
          <w:lang w:val="en-US" w:eastAsia="zh-CN"/>
        </w:rPr>
        <w:t>供应商</w:t>
      </w:r>
      <w:r>
        <w:rPr>
          <w:rFonts w:hint="eastAsia" w:ascii="仿宋" w:hAnsi="仿宋" w:eastAsia="仿宋" w:cs="仿宋"/>
          <w:b w:val="0"/>
          <w:bCs w:val="0"/>
          <w:color w:val="000000"/>
          <w:sz w:val="24"/>
          <w:szCs w:val="24"/>
          <w:highlight w:val="none"/>
          <w:lang w:val="en-US" w:eastAsia="zh-CN"/>
        </w:rPr>
        <w:t>须具备交通管理部门颁发的且在有效期内的《道路运输经营许可证》(经营范围包含危险货物运输)或《道路危险货物运输许可证》。若</w:t>
      </w:r>
      <w:r>
        <w:rPr>
          <w:rFonts w:hint="eastAsia" w:ascii="仿宋" w:hAnsi="仿宋" w:eastAsia="仿宋" w:cs="仿宋"/>
          <w:b w:val="0"/>
          <w:bCs w:val="0"/>
          <w:sz w:val="24"/>
          <w:szCs w:val="24"/>
          <w:highlight w:val="none"/>
          <w:u w:val="none"/>
          <w:lang w:val="en-US" w:eastAsia="zh-CN"/>
        </w:rPr>
        <w:t>供应商</w:t>
      </w:r>
      <w:r>
        <w:rPr>
          <w:rFonts w:hint="eastAsia" w:ascii="仿宋" w:hAnsi="仿宋" w:eastAsia="仿宋" w:cs="仿宋"/>
          <w:b w:val="0"/>
          <w:bCs w:val="0"/>
          <w:color w:val="000000"/>
          <w:sz w:val="24"/>
          <w:szCs w:val="24"/>
          <w:highlight w:val="none"/>
          <w:lang w:val="en-US" w:eastAsia="zh-CN"/>
        </w:rPr>
        <w:t>有合作运输单位的，须提供</w:t>
      </w:r>
      <w:r>
        <w:rPr>
          <w:rFonts w:hint="eastAsia" w:ascii="仿宋" w:hAnsi="仿宋" w:eastAsia="仿宋" w:cs="仿宋"/>
          <w:b w:val="0"/>
          <w:bCs w:val="0"/>
          <w:sz w:val="24"/>
          <w:szCs w:val="24"/>
          <w:highlight w:val="none"/>
          <w:u w:val="none"/>
          <w:lang w:val="en-US" w:eastAsia="zh-CN"/>
        </w:rPr>
        <w:t>供应商</w:t>
      </w:r>
      <w:r>
        <w:rPr>
          <w:rFonts w:hint="eastAsia" w:ascii="仿宋" w:hAnsi="仿宋" w:eastAsia="仿宋" w:cs="仿宋"/>
          <w:b w:val="0"/>
          <w:bCs w:val="0"/>
          <w:color w:val="000000"/>
          <w:sz w:val="24"/>
          <w:szCs w:val="24"/>
          <w:highlight w:val="none"/>
          <w:lang w:val="en-US" w:eastAsia="zh-CN"/>
        </w:rPr>
        <w:t>与其合作运输单位的合作协议，以及合作运输单位在有效期内的《道路运输经营许可证》(经营范围包含危险货物运输)或《道路危险货物运输许可证》，上述证明材料复印件须加盖公章。</w:t>
      </w:r>
    </w:p>
    <w:p w14:paraId="725B40E8">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注：供应商若不能同时满足以上条件则视为响应参与无效。（如发现提供虚假材料者，取消其参加比选资格，并列入采购人失信供应商名单。）</w:t>
      </w:r>
    </w:p>
    <w:p w14:paraId="1206C87D">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六、联系方式</w:t>
      </w:r>
    </w:p>
    <w:p w14:paraId="42DFBD88">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联系人：梁老师</w:t>
      </w:r>
    </w:p>
    <w:p w14:paraId="4248F432">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电话：020-81338019、81338035工作日8:30-12:00、15:00-17:00，其余时间请勿电联。</w:t>
      </w:r>
    </w:p>
    <w:p w14:paraId="6554A612">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电子邮箱：liangfj5@mail.sysu.edu.cn</w:t>
      </w:r>
    </w:p>
    <w:p w14:paraId="3FEC3C9A">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联系地址：广州市越秀区长堤大马路171号一方长堤健康产业中心（原威力斯大楼）907室 中山大学孙逸仙纪念医院招投标与采购管理办公室</w:t>
      </w:r>
    </w:p>
    <w:p w14:paraId="70FC5F42">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邮编：510120</w:t>
      </w:r>
    </w:p>
    <w:p w14:paraId="796C2A81">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七、公告期限</w:t>
      </w:r>
    </w:p>
    <w:p w14:paraId="38966771">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自本公告发布之日起5个工作日。</w:t>
      </w:r>
    </w:p>
    <w:p w14:paraId="0A2CFA9D">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color w:val="FF0000"/>
          <w:sz w:val="24"/>
          <w:szCs w:val="24"/>
          <w:highlight w:val="none"/>
          <w:lang w:eastAsia="zh-CN"/>
        </w:rPr>
      </w:pPr>
      <w:r>
        <w:rPr>
          <w:rFonts w:hint="eastAsia" w:ascii="仿宋" w:hAnsi="仿宋" w:eastAsia="仿宋" w:cs="仿宋"/>
          <w:b/>
          <w:bCs/>
          <w:color w:val="FF0000"/>
          <w:sz w:val="24"/>
          <w:szCs w:val="24"/>
          <w:highlight w:val="none"/>
          <w:lang w:val="en-US" w:eastAsia="zh-CN"/>
        </w:rPr>
        <w:t>八</w:t>
      </w:r>
      <w:r>
        <w:rPr>
          <w:rFonts w:hint="eastAsia" w:ascii="仿宋" w:hAnsi="仿宋" w:eastAsia="仿宋" w:cs="仿宋"/>
          <w:b/>
          <w:bCs/>
          <w:color w:val="FF0000"/>
          <w:sz w:val="24"/>
          <w:szCs w:val="24"/>
          <w:highlight w:val="none"/>
          <w:lang w:eastAsia="zh-CN"/>
        </w:rPr>
        <w:t>、响应文件提交的截止时间、地点：</w:t>
      </w:r>
      <w:r>
        <w:rPr>
          <w:rFonts w:hint="eastAsia" w:ascii="仿宋" w:hAnsi="仿宋" w:eastAsia="仿宋" w:cs="仿宋"/>
          <w:b/>
          <w:bCs/>
          <w:color w:val="FF0000"/>
          <w:sz w:val="24"/>
          <w:szCs w:val="24"/>
          <w:highlight w:val="none"/>
          <w:lang w:val="en-US" w:eastAsia="zh-CN"/>
        </w:rPr>
        <w:t>2024年9月19日下午12:00，广州市越秀区长堤大马路171号一方长堤健康产业中心（原威力斯大楼）907室。</w:t>
      </w:r>
    </w:p>
    <w:p w14:paraId="5A2623A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u w:val="single"/>
          <w:lang w:val="en-US" w:eastAsia="zh-CN"/>
        </w:rPr>
        <w:t>1、响应文件仅受理纸质，</w:t>
      </w:r>
      <w:r>
        <w:rPr>
          <w:rFonts w:hint="eastAsia" w:ascii="仿宋" w:hAnsi="仿宋" w:eastAsia="仿宋" w:cs="仿宋"/>
          <w:sz w:val="24"/>
          <w:szCs w:val="24"/>
          <w:highlight w:val="none"/>
          <w:u w:val="single"/>
        </w:rPr>
        <w:t>纸质材料一式叁份（正本1份/副本2份），具体要求详见格式《</w:t>
      </w:r>
      <w:r>
        <w:rPr>
          <w:rFonts w:hint="eastAsia" w:ascii="仿宋" w:hAnsi="仿宋" w:eastAsia="仿宋" w:cs="仿宋"/>
          <w:sz w:val="24"/>
          <w:szCs w:val="24"/>
          <w:highlight w:val="none"/>
          <w:u w:val="single"/>
          <w:lang w:val="en-US" w:eastAsia="zh-CN"/>
        </w:rPr>
        <w:t>公开比选文件</w:t>
      </w:r>
      <w:r>
        <w:rPr>
          <w:rFonts w:hint="eastAsia" w:ascii="仿宋" w:hAnsi="仿宋" w:eastAsia="仿宋" w:cs="仿宋"/>
          <w:sz w:val="24"/>
          <w:szCs w:val="24"/>
          <w:highlight w:val="none"/>
          <w:u w:val="single"/>
        </w:rPr>
        <w:t>》的第五章</w:t>
      </w:r>
      <w:r>
        <w:rPr>
          <w:rFonts w:hint="eastAsia" w:ascii="仿宋" w:hAnsi="仿宋" w:eastAsia="仿宋" w:cs="仿宋"/>
          <w:sz w:val="24"/>
          <w:szCs w:val="24"/>
          <w:highlight w:val="none"/>
          <w:u w:val="single"/>
          <w:lang w:eastAsia="zh-CN"/>
        </w:rPr>
        <w:t>响应</w:t>
      </w:r>
      <w:r>
        <w:rPr>
          <w:rFonts w:hint="eastAsia" w:ascii="仿宋" w:hAnsi="仿宋" w:eastAsia="仿宋" w:cs="仿宋"/>
          <w:sz w:val="24"/>
          <w:szCs w:val="24"/>
          <w:highlight w:val="none"/>
          <w:u w:val="single"/>
        </w:rPr>
        <w:t>文件</w:t>
      </w:r>
      <w:r>
        <w:rPr>
          <w:rFonts w:hint="eastAsia" w:ascii="仿宋" w:hAnsi="仿宋" w:eastAsia="仿宋" w:cs="仿宋"/>
          <w:sz w:val="24"/>
          <w:szCs w:val="24"/>
          <w:highlight w:val="none"/>
          <w:u w:val="single"/>
          <w:lang w:val="en-US" w:eastAsia="zh-CN"/>
        </w:rPr>
        <w:t>编制要求</w:t>
      </w:r>
      <w:r>
        <w:rPr>
          <w:rFonts w:hint="eastAsia" w:ascii="仿宋" w:hAnsi="仿宋" w:eastAsia="仿宋" w:cs="仿宋"/>
          <w:sz w:val="24"/>
          <w:szCs w:val="24"/>
          <w:highlight w:val="none"/>
          <w:u w:val="single"/>
          <w:lang w:eastAsia="zh-CN"/>
        </w:rPr>
        <w:t>；</w:t>
      </w:r>
    </w:p>
    <w:p w14:paraId="24587477">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2、纸质响应文件原则上接受快递寄送形式递交。</w:t>
      </w:r>
      <w:r>
        <w:rPr>
          <w:rFonts w:hint="eastAsia" w:ascii="仿宋" w:hAnsi="仿宋" w:eastAsia="仿宋" w:cs="仿宋"/>
          <w:b/>
          <w:bCs/>
          <w:color w:val="FF0000"/>
          <w:sz w:val="24"/>
          <w:szCs w:val="24"/>
          <w:highlight w:val="none"/>
          <w:u w:val="single"/>
          <w:lang w:val="en-US" w:eastAsia="zh-CN"/>
        </w:rPr>
        <w:t>如若采取快递寄送，请务必于响应文件提交截止时间前寄达。</w:t>
      </w:r>
    </w:p>
    <w:p w14:paraId="5CFDD8B8">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color w:val="000000"/>
          <w:sz w:val="24"/>
          <w:szCs w:val="24"/>
          <w:highlight w:val="none"/>
          <w:lang w:val="en-US" w:eastAsia="zh-CN"/>
        </w:rPr>
        <w:t>九、比选会议时间、地点：待定</w:t>
      </w:r>
      <w:r>
        <w:rPr>
          <w:rFonts w:hint="eastAsia" w:ascii="仿宋" w:hAnsi="仿宋" w:eastAsia="仿宋" w:cs="仿宋"/>
          <w:b w:val="0"/>
          <w:bCs w:val="0"/>
          <w:color w:val="000000"/>
          <w:sz w:val="24"/>
          <w:szCs w:val="24"/>
          <w:highlight w:val="none"/>
          <w:lang w:val="en-US" w:eastAsia="zh-CN"/>
        </w:rPr>
        <w:t>（根据医院工作安排开展评审，供应商无需出席比选现场）</w:t>
      </w:r>
      <w:r>
        <w:rPr>
          <w:rFonts w:hint="eastAsia" w:ascii="仿宋" w:hAnsi="仿宋" w:eastAsia="仿宋" w:cs="仿宋"/>
          <w:b/>
          <w:bCs/>
          <w:color w:val="000000"/>
          <w:sz w:val="24"/>
          <w:szCs w:val="24"/>
          <w:highlight w:val="none"/>
        </w:rPr>
        <w:t>。</w:t>
      </w:r>
    </w:p>
    <w:p w14:paraId="1F577135">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rPr>
      </w:pPr>
    </w:p>
    <w:p w14:paraId="30967A6A">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rPr>
      </w:pPr>
    </w:p>
    <w:p w14:paraId="6219D322">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中山大学</w:t>
      </w:r>
      <w:r>
        <w:rPr>
          <w:rFonts w:hint="eastAsia" w:ascii="仿宋" w:hAnsi="仿宋" w:eastAsia="仿宋" w:cs="仿宋"/>
          <w:color w:val="000000"/>
          <w:sz w:val="24"/>
          <w:szCs w:val="24"/>
          <w:highlight w:val="none"/>
          <w:lang w:eastAsia="zh-CN"/>
        </w:rPr>
        <w:t>孙逸仙纪念医院</w:t>
      </w:r>
    </w:p>
    <w:p w14:paraId="457ED1F3">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202</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9</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9</w:t>
      </w:r>
      <w:bookmarkStart w:id="22" w:name="_GoBack"/>
      <w:bookmarkEnd w:id="22"/>
      <w:r>
        <w:rPr>
          <w:rFonts w:hint="eastAsia" w:ascii="仿宋" w:hAnsi="仿宋" w:eastAsia="仿宋" w:cs="仿宋"/>
          <w:color w:val="000000"/>
          <w:sz w:val="24"/>
          <w:szCs w:val="24"/>
          <w:highlight w:val="none"/>
          <w:lang w:val="en-US" w:eastAsia="zh-CN"/>
        </w:rPr>
        <w:t>日</w:t>
      </w:r>
    </w:p>
    <w:p w14:paraId="55E200B0">
      <w:pPr>
        <w:pStyle w:val="30"/>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rPr>
      </w:pPr>
    </w:p>
    <w:p w14:paraId="15616C93">
      <w:pPr>
        <w:pStyle w:val="30"/>
        <w:rPr>
          <w:color w:val="000000"/>
          <w:highlight w:val="none"/>
        </w:rPr>
      </w:pPr>
    </w:p>
    <w:p w14:paraId="469C16BF">
      <w:pPr>
        <w:pStyle w:val="2"/>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bookmarkStart w:id="8" w:name="_Toc50691021"/>
      <w:bookmarkStart w:id="9" w:name="_Toc50736468"/>
      <w:bookmarkStart w:id="10" w:name="_Toc76354916"/>
      <w:bookmarkStart w:id="11" w:name="_Toc50737320"/>
      <w:bookmarkStart w:id="12" w:name="_Toc50737288"/>
      <w:bookmarkStart w:id="13" w:name="_Toc385939528"/>
      <w:bookmarkStart w:id="14" w:name="_Toc385940869"/>
      <w:bookmarkStart w:id="15" w:name="_Toc417914518"/>
    </w:p>
    <w:p w14:paraId="60D97592">
      <w:pPr>
        <w:pStyle w:val="28"/>
        <w:rPr>
          <w:rFonts w:hint="eastAsia"/>
        </w:rPr>
      </w:pPr>
    </w:p>
    <w:p w14:paraId="08031A5D">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4CBA4AD8">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5BEF62F8">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4FD936CC">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539CDF0F">
      <w:pPr>
        <w:rPr>
          <w:rFonts w:hint="eastAsia" w:ascii="微软雅黑" w:hAnsi="微软雅黑" w:eastAsia="微软雅黑" w:cs="微软雅黑"/>
          <w:color w:val="000000"/>
          <w:highlight w:val="none"/>
        </w:rPr>
      </w:pPr>
    </w:p>
    <w:p w14:paraId="2333F41C">
      <w:pPr>
        <w:rPr>
          <w:rFonts w:hint="eastAsia" w:ascii="微软雅黑" w:hAnsi="微软雅黑" w:eastAsia="微软雅黑" w:cs="微软雅黑"/>
          <w:color w:val="000000"/>
          <w:highlight w:val="none"/>
        </w:rPr>
      </w:pPr>
    </w:p>
    <w:p w14:paraId="3B7E367C">
      <w:pPr>
        <w:rPr>
          <w:rFonts w:hint="eastAsia" w:ascii="微软雅黑" w:hAnsi="微软雅黑" w:eastAsia="微软雅黑" w:cs="微软雅黑"/>
          <w:color w:val="000000"/>
          <w:highlight w:val="none"/>
        </w:rPr>
      </w:pPr>
    </w:p>
    <w:p w14:paraId="6C95CBEA">
      <w:pPr>
        <w:rPr>
          <w:rFonts w:hint="eastAsia" w:ascii="微软雅黑" w:hAnsi="微软雅黑" w:eastAsia="微软雅黑" w:cs="微软雅黑"/>
          <w:color w:val="000000"/>
          <w:highlight w:val="none"/>
        </w:rPr>
      </w:pPr>
    </w:p>
    <w:p w14:paraId="43AA46B4">
      <w:pPr>
        <w:rPr>
          <w:rFonts w:hint="eastAsia" w:ascii="微软雅黑" w:hAnsi="微软雅黑" w:eastAsia="微软雅黑" w:cs="微软雅黑"/>
          <w:color w:val="000000"/>
          <w:highlight w:val="none"/>
        </w:rPr>
      </w:pPr>
    </w:p>
    <w:p w14:paraId="4D915F97">
      <w:pPr>
        <w:rPr>
          <w:rFonts w:hint="eastAsia" w:ascii="微软雅黑" w:hAnsi="微软雅黑" w:eastAsia="微软雅黑" w:cs="微软雅黑"/>
          <w:color w:val="000000"/>
          <w:highlight w:val="none"/>
        </w:rPr>
      </w:pPr>
    </w:p>
    <w:p w14:paraId="265B2529">
      <w:pPr>
        <w:rPr>
          <w:rFonts w:hint="eastAsia" w:ascii="微软雅黑" w:hAnsi="微软雅黑" w:eastAsia="微软雅黑" w:cs="微软雅黑"/>
          <w:color w:val="000000"/>
          <w:highlight w:val="none"/>
        </w:rPr>
      </w:pPr>
    </w:p>
    <w:p w14:paraId="6164C5AD">
      <w:pPr>
        <w:rPr>
          <w:rFonts w:hint="eastAsia" w:ascii="微软雅黑" w:hAnsi="微软雅黑" w:eastAsia="微软雅黑" w:cs="微软雅黑"/>
          <w:color w:val="000000"/>
          <w:highlight w:val="none"/>
        </w:rPr>
      </w:pPr>
    </w:p>
    <w:p w14:paraId="41B53A07">
      <w:pPr>
        <w:rPr>
          <w:rFonts w:hint="eastAsia" w:ascii="微软雅黑" w:hAnsi="微软雅黑" w:eastAsia="微软雅黑" w:cs="微软雅黑"/>
          <w:color w:val="000000"/>
          <w:highlight w:val="none"/>
        </w:rPr>
      </w:pPr>
    </w:p>
    <w:p w14:paraId="4E2670FB">
      <w:pPr>
        <w:rPr>
          <w:rFonts w:hint="eastAsia" w:ascii="微软雅黑" w:hAnsi="微软雅黑" w:eastAsia="微软雅黑" w:cs="微软雅黑"/>
          <w:color w:val="000000"/>
          <w:highlight w:val="none"/>
        </w:rPr>
      </w:pPr>
    </w:p>
    <w:p w14:paraId="1B1F1100">
      <w:pPr>
        <w:rPr>
          <w:rFonts w:hint="eastAsia" w:ascii="微软雅黑" w:hAnsi="微软雅黑" w:eastAsia="微软雅黑" w:cs="微软雅黑"/>
          <w:color w:val="000000"/>
          <w:highlight w:val="none"/>
        </w:rPr>
      </w:pPr>
    </w:p>
    <w:p w14:paraId="22E95F46">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第二章</w:t>
      </w:r>
      <w:bookmarkEnd w:id="8"/>
      <w:bookmarkEnd w:id="9"/>
      <w:bookmarkEnd w:id="10"/>
      <w:bookmarkEnd w:id="11"/>
      <w:bookmarkEnd w:id="12"/>
      <w:r>
        <w:rPr>
          <w:rFonts w:hint="eastAsia" w:ascii="微软雅黑" w:hAnsi="微软雅黑" w:eastAsia="微软雅黑" w:cs="微软雅黑"/>
          <w:color w:val="000000"/>
          <w:highlight w:val="none"/>
          <w:lang w:val="en-US" w:eastAsia="zh-CN"/>
        </w:rPr>
        <w:t xml:space="preserve"> </w:t>
      </w:r>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14:paraId="07F04BE3">
      <w:pPr>
        <w:pStyle w:val="30"/>
        <w:rPr>
          <w:color w:val="000000"/>
          <w:highlight w:val="none"/>
        </w:rPr>
      </w:pPr>
    </w:p>
    <w:p w14:paraId="2970EAC8">
      <w:pPr>
        <w:pStyle w:val="30"/>
        <w:rPr>
          <w:color w:val="000000"/>
          <w:highlight w:val="none"/>
        </w:rPr>
      </w:pPr>
    </w:p>
    <w:p w14:paraId="2BC3BC82">
      <w:pPr>
        <w:pStyle w:val="30"/>
        <w:rPr>
          <w:color w:val="000000"/>
          <w:highlight w:val="none"/>
        </w:rPr>
      </w:pPr>
    </w:p>
    <w:p w14:paraId="75580613">
      <w:pPr>
        <w:pStyle w:val="30"/>
        <w:rPr>
          <w:color w:val="000000"/>
          <w:highlight w:val="none"/>
        </w:rPr>
      </w:pPr>
    </w:p>
    <w:p w14:paraId="63094DE4">
      <w:pPr>
        <w:pStyle w:val="30"/>
        <w:rPr>
          <w:color w:val="000000"/>
          <w:highlight w:val="none"/>
        </w:rPr>
      </w:pPr>
    </w:p>
    <w:p w14:paraId="5DE5BFA6">
      <w:pPr>
        <w:pStyle w:val="30"/>
        <w:rPr>
          <w:color w:val="000000"/>
          <w:highlight w:val="none"/>
        </w:rPr>
      </w:pPr>
    </w:p>
    <w:p w14:paraId="6BB78249">
      <w:pPr>
        <w:pStyle w:val="30"/>
        <w:rPr>
          <w:color w:val="000000"/>
          <w:highlight w:val="none"/>
        </w:rPr>
      </w:pPr>
    </w:p>
    <w:p w14:paraId="77100BE0">
      <w:pPr>
        <w:pStyle w:val="30"/>
        <w:rPr>
          <w:color w:val="000000"/>
          <w:highlight w:val="none"/>
        </w:rPr>
      </w:pPr>
    </w:p>
    <w:p w14:paraId="31FE32FD">
      <w:pPr>
        <w:pStyle w:val="30"/>
        <w:rPr>
          <w:color w:val="000000"/>
          <w:highlight w:val="none"/>
        </w:rPr>
      </w:pPr>
    </w:p>
    <w:p w14:paraId="6F3FB45B">
      <w:pPr>
        <w:pStyle w:val="30"/>
        <w:rPr>
          <w:color w:val="000000"/>
          <w:highlight w:val="none"/>
        </w:rPr>
      </w:pPr>
    </w:p>
    <w:p w14:paraId="52E1B1E4">
      <w:pPr>
        <w:pStyle w:val="30"/>
        <w:rPr>
          <w:color w:val="000000"/>
          <w:highlight w:val="none"/>
        </w:rPr>
      </w:pPr>
    </w:p>
    <w:p w14:paraId="0C4906CE">
      <w:pPr>
        <w:pStyle w:val="30"/>
        <w:rPr>
          <w:color w:val="000000"/>
          <w:highlight w:val="none"/>
        </w:rPr>
      </w:pPr>
    </w:p>
    <w:p w14:paraId="0499B7B7">
      <w:pPr>
        <w:pStyle w:val="30"/>
        <w:rPr>
          <w:color w:val="000000"/>
          <w:highlight w:val="none"/>
        </w:rPr>
      </w:pPr>
    </w:p>
    <w:p w14:paraId="4AC295E9">
      <w:pPr>
        <w:pStyle w:val="30"/>
        <w:rPr>
          <w:color w:val="000000"/>
          <w:highlight w:val="none"/>
        </w:rPr>
      </w:pPr>
    </w:p>
    <w:p w14:paraId="4100EAFF">
      <w:pPr>
        <w:pStyle w:val="30"/>
        <w:rPr>
          <w:color w:val="000000"/>
          <w:highlight w:val="none"/>
        </w:rPr>
      </w:pPr>
    </w:p>
    <w:p w14:paraId="36927FAC">
      <w:pPr>
        <w:pStyle w:val="30"/>
        <w:rPr>
          <w:color w:val="000000"/>
          <w:highlight w:val="none"/>
        </w:rPr>
      </w:pPr>
    </w:p>
    <w:p w14:paraId="306FD583">
      <w:pPr>
        <w:pStyle w:val="30"/>
        <w:rPr>
          <w:color w:val="000000"/>
          <w:highlight w:val="none"/>
        </w:rPr>
      </w:pPr>
    </w:p>
    <w:p w14:paraId="25B4571C">
      <w:pPr>
        <w:pStyle w:val="30"/>
        <w:rPr>
          <w:color w:val="000000"/>
          <w:highlight w:val="none"/>
        </w:rPr>
      </w:pPr>
    </w:p>
    <w:p w14:paraId="02457180">
      <w:pPr>
        <w:pStyle w:val="30"/>
        <w:rPr>
          <w:color w:val="000000"/>
          <w:highlight w:val="none"/>
        </w:rPr>
      </w:pPr>
    </w:p>
    <w:p w14:paraId="0C01F081">
      <w:pPr>
        <w:pStyle w:val="30"/>
        <w:rPr>
          <w:color w:val="000000"/>
          <w:highlight w:val="none"/>
        </w:rPr>
      </w:pPr>
    </w:p>
    <w:p w14:paraId="108919A8">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7A2E6592">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65E47849">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right="0" w:rightChars="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14:paraId="380E2F55">
      <w:pPr>
        <w:keepNext w:val="0"/>
        <w:keepLines w:val="0"/>
        <w:widowControl/>
        <w:suppressLineNumbers w:val="0"/>
        <w:jc w:val="left"/>
        <w:rPr>
          <w:rFonts w:hint="eastAsia" w:ascii="仿宋" w:hAnsi="仿宋" w:eastAsia="仿宋" w:cs="仿宋"/>
          <w:color w:val="000000"/>
          <w:sz w:val="21"/>
          <w:szCs w:val="21"/>
          <w:highlight w:val="none"/>
        </w:rPr>
      </w:pPr>
      <w:bookmarkStart w:id="16" w:name="_Toc385940875"/>
      <w:bookmarkStart w:id="17" w:name="_Toc385939529"/>
      <w:bookmarkStart w:id="18" w:name="_Toc417914519"/>
      <w:r>
        <w:rPr>
          <w:rFonts w:hint="eastAsia" w:ascii="仿宋" w:hAnsi="仿宋" w:eastAsia="仿宋" w:cs="仿宋"/>
          <w:b/>
          <w:bCs/>
          <w:color w:val="000000"/>
          <w:kern w:val="0"/>
          <w:sz w:val="21"/>
          <w:szCs w:val="21"/>
          <w:highlight w:val="none"/>
          <w:lang w:val="en-US" w:eastAsia="zh-CN"/>
        </w:rPr>
        <w:t xml:space="preserve">说明： </w:t>
      </w:r>
    </w:p>
    <w:p w14:paraId="06CFEFD2">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14:paraId="22BC7574">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14:paraId="0AF81E1E">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14:paraId="271A3FF3">
      <w:pPr>
        <w:keepNext w:val="0"/>
        <w:keepLines w:val="0"/>
        <w:widowControl/>
        <w:suppressLineNumbers w:val="0"/>
        <w:jc w:val="left"/>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14:paraId="6D05D344">
      <w:pPr>
        <w:keepNext w:val="0"/>
        <w:keepLines w:val="0"/>
        <w:widowControl/>
        <w:suppressLineNumbers w:val="0"/>
        <w:jc w:val="left"/>
        <w:rPr>
          <w:b/>
          <w:bCs/>
          <w:color w:val="000000"/>
          <w:highlight w:val="none"/>
        </w:rPr>
      </w:pPr>
    </w:p>
    <w:p w14:paraId="39B772F5">
      <w:pPr>
        <w:pStyle w:val="30"/>
        <w:rPr>
          <w:rFonts w:hint="eastAsia"/>
          <w:color w:val="000000"/>
          <w:highlight w:val="none"/>
        </w:rPr>
      </w:pPr>
    </w:p>
    <w:p w14:paraId="18F8E24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中山大学附属仁济医院选址位于广州市花都区新雅街，在广州空港经济区范围内，总用地面积约8.06万平方米(一期建设用地约120.92亩)，总建筑面积约17万平方米，按三级甲等综合医院标准建设，床位数1000床。目前，仁济医院已基本完成建设，拟于今年内投入使用。</w:t>
      </w:r>
    </w:p>
    <w:p w14:paraId="0F4B3724">
      <w:pPr>
        <w:pStyle w:val="3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采购项目内容</w:t>
      </w:r>
    </w:p>
    <w:p w14:paraId="24517B5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（一）采购项目一览表</w:t>
      </w:r>
    </w:p>
    <w:tbl>
      <w:tblPr>
        <w:tblStyle w:val="23"/>
        <w:tblW w:w="361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40"/>
        <w:gridCol w:w="1576"/>
        <w:gridCol w:w="2561"/>
      </w:tblGrid>
      <w:tr w14:paraId="2C533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jc w:val="center"/>
        </w:trPr>
        <w:tc>
          <w:tcPr>
            <w:tcW w:w="21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64DB4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themeColor="text1"/>
                <w:sz w:val="22"/>
                <w:szCs w:val="22"/>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2"/>
                <w:szCs w:val="22"/>
                <w:highlight w:val="none"/>
                <w:u w:val="none"/>
                <w:lang w:val="en-US" w:eastAsia="zh-CN" w:bidi="ar"/>
                <w14:textFill>
                  <w14:solidFill>
                    <w14:schemeClr w14:val="tx1"/>
                  </w14:solidFill>
                </w14:textFill>
              </w:rPr>
              <w:t>采购内容</w:t>
            </w:r>
          </w:p>
        </w:tc>
        <w:tc>
          <w:tcPr>
            <w:tcW w:w="1083" w:type="pct"/>
            <w:tcBorders>
              <w:top w:val="single" w:color="000000" w:sz="8" w:space="0"/>
              <w:left w:val="single" w:color="000000" w:sz="8" w:space="0"/>
              <w:bottom w:val="single" w:color="000000" w:sz="8" w:space="0"/>
              <w:right w:val="single" w:color="000000" w:sz="8" w:space="0"/>
            </w:tcBorders>
            <w:shd w:val="clear" w:color="auto" w:fill="auto"/>
            <w:vAlign w:val="top"/>
          </w:tcPr>
          <w:p w14:paraId="1505473D">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b/>
                <w:bCs/>
                <w:i w:val="0"/>
                <w:iCs w:val="0"/>
                <w:color w:val="000000" w:themeColor="text1"/>
                <w:sz w:val="22"/>
                <w:szCs w:val="22"/>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2"/>
                <w:szCs w:val="22"/>
                <w:highlight w:val="none"/>
                <w:u w:val="none"/>
                <w:lang w:val="en-US" w:eastAsia="zh-CN" w:bidi="ar"/>
                <w14:textFill>
                  <w14:solidFill>
                    <w14:schemeClr w14:val="tx1"/>
                  </w14:solidFill>
                </w14:textFill>
              </w:rPr>
              <w:t>服务期限</w:t>
            </w:r>
          </w:p>
        </w:tc>
        <w:tc>
          <w:tcPr>
            <w:tcW w:w="1759" w:type="pct"/>
            <w:tcBorders>
              <w:top w:val="single" w:color="000000" w:sz="8" w:space="0"/>
              <w:left w:val="single" w:color="000000" w:sz="8" w:space="0"/>
              <w:bottom w:val="single" w:color="000000" w:sz="8" w:space="0"/>
              <w:right w:val="single" w:color="000000" w:sz="8" w:space="0"/>
            </w:tcBorders>
            <w:shd w:val="clear" w:color="auto" w:fill="auto"/>
            <w:vAlign w:val="top"/>
          </w:tcPr>
          <w:p w14:paraId="43937397">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b/>
                <w:bCs/>
                <w:i w:val="0"/>
                <w:iCs w:val="0"/>
                <w:color w:val="000000" w:themeColor="text1"/>
                <w:sz w:val="22"/>
                <w:szCs w:val="22"/>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2"/>
                <w:szCs w:val="22"/>
                <w:highlight w:val="none"/>
                <w:u w:val="none"/>
                <w:lang w:val="en-US" w:eastAsia="zh-CN" w:bidi="ar"/>
                <w14:textFill>
                  <w14:solidFill>
                    <w14:schemeClr w14:val="tx1"/>
                  </w14:solidFill>
                </w14:textFill>
              </w:rPr>
              <w:t>采购预算（最高限价）</w:t>
            </w:r>
          </w:p>
        </w:tc>
      </w:tr>
      <w:tr w14:paraId="59EF2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 w:hRule="atLeast"/>
          <w:jc w:val="center"/>
        </w:trPr>
        <w:tc>
          <w:tcPr>
            <w:tcW w:w="2157" w:type="pct"/>
            <w:tcBorders>
              <w:top w:val="nil"/>
              <w:left w:val="single" w:color="000000" w:sz="8" w:space="0"/>
              <w:bottom w:val="single" w:color="000000" w:sz="8" w:space="0"/>
              <w:right w:val="single" w:color="000000" w:sz="8" w:space="0"/>
            </w:tcBorders>
            <w:shd w:val="clear" w:color="auto" w:fill="auto"/>
            <w:vAlign w:val="center"/>
          </w:tcPr>
          <w:p w14:paraId="3B9421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危险废物处置服务</w:t>
            </w:r>
          </w:p>
        </w:tc>
        <w:tc>
          <w:tcPr>
            <w:tcW w:w="1083" w:type="pct"/>
            <w:tcBorders>
              <w:top w:val="nil"/>
              <w:left w:val="single" w:color="000000" w:sz="8" w:space="0"/>
              <w:bottom w:val="single" w:color="000000" w:sz="8" w:space="0"/>
              <w:right w:val="single" w:color="000000" w:sz="8" w:space="0"/>
            </w:tcBorders>
            <w:shd w:val="clear" w:color="auto" w:fill="auto"/>
            <w:vAlign w:val="center"/>
          </w:tcPr>
          <w:p w14:paraId="79FD36B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themeColor="text1"/>
                <w:sz w:val="22"/>
                <w:szCs w:val="22"/>
                <w:highlight w:val="none"/>
                <w:u w:val="none"/>
                <w:lang w:val="en-US"/>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3年</w:t>
            </w:r>
          </w:p>
        </w:tc>
        <w:tc>
          <w:tcPr>
            <w:tcW w:w="1759" w:type="pct"/>
            <w:tcBorders>
              <w:top w:val="nil"/>
              <w:left w:val="single" w:color="000000" w:sz="8" w:space="0"/>
              <w:bottom w:val="single" w:color="000000" w:sz="8" w:space="0"/>
              <w:right w:val="single" w:color="000000" w:sz="8" w:space="0"/>
            </w:tcBorders>
            <w:shd w:val="clear" w:color="auto" w:fill="auto"/>
            <w:vAlign w:val="center"/>
          </w:tcPr>
          <w:p w14:paraId="61EDA48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人民币57万元</w:t>
            </w:r>
          </w:p>
        </w:tc>
      </w:tr>
    </w:tbl>
    <w:p w14:paraId="52E3BD76">
      <w:pPr>
        <w:pStyle w:val="30"/>
        <w:numPr>
          <w:ilvl w:val="0"/>
          <w:numId w:val="0"/>
        </w:numPr>
        <w:ind w:firstLine="480" w:firstLineChars="200"/>
        <w:rPr>
          <w:rFonts w:hint="eastAsia" w:ascii="仿宋" w:hAnsi="仿宋" w:eastAsia="仿宋" w:cs="仿宋"/>
          <w:sz w:val="24"/>
          <w:szCs w:val="24"/>
          <w:lang w:eastAsia="zh-CN"/>
        </w:rPr>
      </w:pPr>
      <w:r>
        <w:rPr>
          <w:rFonts w:hint="eastAsia" w:ascii="仿宋" w:hAnsi="仿宋" w:eastAsia="仿宋" w:cs="仿宋"/>
          <w:kern w:val="2"/>
          <w:sz w:val="24"/>
          <w:szCs w:val="24"/>
          <w:lang w:val="en-US" w:eastAsia="zh-CN" w:bidi="ar-SA"/>
        </w:rPr>
        <w:t>（二）</w:t>
      </w:r>
      <w:r>
        <w:rPr>
          <w:rFonts w:hint="eastAsia" w:ascii="仿宋" w:hAnsi="仿宋" w:eastAsia="仿宋" w:cs="仿宋"/>
          <w:sz w:val="24"/>
          <w:szCs w:val="24"/>
          <w:lang w:val="en-US" w:eastAsia="zh-CN"/>
        </w:rPr>
        <w:t>危险废物处置、运输装卸及其单价最高限价</w:t>
      </w:r>
    </w:p>
    <w:p w14:paraId="1F4CF862">
      <w:pPr>
        <w:pStyle w:val="30"/>
        <w:numPr>
          <w:ilvl w:val="0"/>
          <w:numId w:val="0"/>
        </w:num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1.危险废物处置清单及单价最高限价</w:t>
      </w:r>
    </w:p>
    <w:tbl>
      <w:tblPr>
        <w:tblStyle w:val="23"/>
        <w:tblW w:w="9536" w:type="dxa"/>
        <w:jc w:val="center"/>
        <w:tblLayout w:type="fixed"/>
        <w:tblCellMar>
          <w:top w:w="0" w:type="dxa"/>
          <w:left w:w="108" w:type="dxa"/>
          <w:bottom w:w="0" w:type="dxa"/>
          <w:right w:w="108" w:type="dxa"/>
        </w:tblCellMar>
      </w:tblPr>
      <w:tblGrid>
        <w:gridCol w:w="944"/>
        <w:gridCol w:w="730"/>
        <w:gridCol w:w="2430"/>
        <w:gridCol w:w="1180"/>
        <w:gridCol w:w="760"/>
        <w:gridCol w:w="593"/>
        <w:gridCol w:w="981"/>
        <w:gridCol w:w="1169"/>
        <w:gridCol w:w="749"/>
      </w:tblGrid>
      <w:tr w14:paraId="5923E160">
        <w:tblPrEx>
          <w:tblCellMar>
            <w:top w:w="0" w:type="dxa"/>
            <w:left w:w="108" w:type="dxa"/>
            <w:bottom w:w="0" w:type="dxa"/>
            <w:right w:w="108" w:type="dxa"/>
          </w:tblCellMar>
        </w:tblPrEx>
        <w:trPr>
          <w:trHeight w:val="174"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9820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废物类别</w:t>
            </w:r>
          </w:p>
        </w:tc>
        <w:tc>
          <w:tcPr>
            <w:tcW w:w="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F78B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废物代码</w:t>
            </w:r>
          </w:p>
        </w:tc>
        <w:tc>
          <w:tcPr>
            <w:tcW w:w="2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8A948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废物名称</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16EC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9"/>
                <w:szCs w:val="19"/>
                <w:u w:val="none"/>
                <w:lang w:val="en-US" w:eastAsia="zh-CN" w:bidi="ar"/>
              </w:rPr>
              <w:t>质量标准</w:t>
            </w:r>
          </w:p>
        </w:tc>
        <w:tc>
          <w:tcPr>
            <w:tcW w:w="7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653F1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9"/>
                <w:szCs w:val="19"/>
                <w:u w:val="none"/>
                <w:lang w:val="en-US" w:eastAsia="zh-CN" w:bidi="ar"/>
              </w:rPr>
              <w:t>包装标准</w:t>
            </w: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2E7C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危险特性</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37B67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计划量</w:t>
            </w:r>
            <w:r>
              <w:rPr>
                <w:rFonts w:hint="eastAsia" w:ascii="仿宋" w:hAnsi="仿宋" w:eastAsia="仿宋" w:cs="仿宋"/>
                <w:b/>
                <w:bCs/>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（吨/年）</w:t>
            </w:r>
          </w:p>
        </w:tc>
        <w:tc>
          <w:tcPr>
            <w:tcW w:w="11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70A4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单价最高限价（元/吨）</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665D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服务期限</w:t>
            </w:r>
          </w:p>
        </w:tc>
      </w:tr>
      <w:tr w14:paraId="58506AA2">
        <w:tblPrEx>
          <w:tblCellMar>
            <w:top w:w="0" w:type="dxa"/>
            <w:left w:w="108" w:type="dxa"/>
            <w:bottom w:w="0" w:type="dxa"/>
            <w:right w:w="108" w:type="dxa"/>
          </w:tblCellMar>
        </w:tblPrEx>
        <w:trPr>
          <w:trHeight w:val="656"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E8D1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HW49</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其他废物</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E147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900-047-49</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5CF4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废弃有机溶剂与有机溶剂废物（含甲醇/二甲苯/ 甲醛/丙酮等废水）</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0CB17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分类存放，独立包装，标识清晰</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E747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桶装</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18FB8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T/C/I/R</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6D4E9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1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4A174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6000</w:t>
            </w:r>
          </w:p>
        </w:tc>
        <w:tc>
          <w:tcPr>
            <w:tcW w:w="749" w:type="dxa"/>
            <w:vMerge w:val="restart"/>
            <w:tcBorders>
              <w:top w:val="single" w:color="000000" w:sz="4" w:space="0"/>
              <w:left w:val="single" w:color="000000" w:sz="4" w:space="0"/>
              <w:right w:val="single" w:color="000000" w:sz="4" w:space="0"/>
            </w:tcBorders>
            <w:shd w:val="clear" w:color="auto" w:fill="FFFFFF"/>
            <w:noWrap w:val="0"/>
            <w:vAlign w:val="center"/>
          </w:tcPr>
          <w:p w14:paraId="490E9E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3年</w:t>
            </w:r>
          </w:p>
        </w:tc>
      </w:tr>
      <w:tr w14:paraId="0B93AA95">
        <w:tblPrEx>
          <w:tblCellMar>
            <w:top w:w="0" w:type="dxa"/>
            <w:left w:w="108" w:type="dxa"/>
            <w:bottom w:w="0" w:type="dxa"/>
            <w:right w:w="108" w:type="dxa"/>
          </w:tblCellMar>
        </w:tblPrEx>
        <w:trPr>
          <w:trHeight w:val="154"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7462F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HW49</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其他废物</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2653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900-047-49</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C0B66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实验室废弃试剂</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F14DE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独立包装，无破损</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FFE9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桶装/瓶装</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7F7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T/C/I/R</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9D606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kern w:val="0"/>
                <w:sz w:val="18"/>
                <w:szCs w:val="18"/>
                <w:u w:val="none"/>
                <w:lang w:val="en-US" w:eastAsia="zh-CN" w:bidi="ar"/>
              </w:rPr>
              <w:t>1</w:t>
            </w:r>
          </w:p>
        </w:tc>
        <w:tc>
          <w:tcPr>
            <w:tcW w:w="11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CFC7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kern w:val="0"/>
                <w:sz w:val="18"/>
                <w:szCs w:val="18"/>
                <w:u w:val="none"/>
                <w:lang w:val="en-US" w:eastAsia="zh-CN" w:bidi="ar"/>
              </w:rPr>
              <w:t>15000</w:t>
            </w:r>
          </w:p>
        </w:tc>
        <w:tc>
          <w:tcPr>
            <w:tcW w:w="749" w:type="dxa"/>
            <w:vMerge w:val="continue"/>
            <w:tcBorders>
              <w:left w:val="single" w:color="000000" w:sz="4" w:space="0"/>
              <w:right w:val="single" w:color="000000" w:sz="4" w:space="0"/>
            </w:tcBorders>
            <w:shd w:val="clear" w:color="auto" w:fill="FFFFFF"/>
            <w:noWrap w:val="0"/>
            <w:vAlign w:val="center"/>
          </w:tcPr>
          <w:p w14:paraId="74277B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FC8854C">
        <w:tblPrEx>
          <w:tblCellMar>
            <w:top w:w="0" w:type="dxa"/>
            <w:left w:w="108" w:type="dxa"/>
            <w:bottom w:w="0" w:type="dxa"/>
            <w:right w:w="108" w:type="dxa"/>
          </w:tblCellMar>
        </w:tblPrEx>
        <w:trPr>
          <w:trHeight w:val="394"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A0622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HW49</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其他废物</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C5A6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900-047-49</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8A566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实验室特殊废试剂</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4768E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19"/>
                <w:szCs w:val="19"/>
                <w:u w:val="none"/>
                <w:lang w:val="en-US" w:eastAsia="zh-CN" w:bidi="ar"/>
              </w:rPr>
            </w:pPr>
            <w:r>
              <w:rPr>
                <w:rFonts w:hint="eastAsia" w:ascii="仿宋" w:hAnsi="仿宋" w:eastAsia="仿宋" w:cs="仿宋"/>
                <w:i w:val="0"/>
                <w:iCs w:val="0"/>
                <w:color w:val="000000"/>
                <w:kern w:val="0"/>
                <w:sz w:val="18"/>
                <w:szCs w:val="18"/>
                <w:u w:val="none"/>
                <w:lang w:val="en-US" w:eastAsia="zh-CN" w:bidi="ar"/>
              </w:rPr>
              <w:t>独立包装，无破损</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20E50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19"/>
                <w:szCs w:val="19"/>
                <w:u w:val="none"/>
                <w:lang w:val="en-US" w:eastAsia="zh-CN" w:bidi="ar"/>
              </w:rPr>
            </w:pPr>
            <w:r>
              <w:rPr>
                <w:rFonts w:hint="eastAsia" w:ascii="仿宋" w:hAnsi="仿宋" w:eastAsia="仿宋" w:cs="仿宋"/>
                <w:i w:val="0"/>
                <w:iCs w:val="0"/>
                <w:color w:val="000000"/>
                <w:kern w:val="0"/>
                <w:sz w:val="18"/>
                <w:szCs w:val="18"/>
                <w:u w:val="none"/>
                <w:lang w:val="en-US" w:eastAsia="zh-CN" w:bidi="ar"/>
              </w:rPr>
              <w:t>桶装/瓶装</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4270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T/C/I/R</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D152D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kern w:val="0"/>
                <w:sz w:val="18"/>
                <w:szCs w:val="18"/>
                <w:u w:val="none"/>
                <w:lang w:val="en-US" w:eastAsia="zh-CN" w:bidi="ar"/>
              </w:rPr>
              <w:t>0.005</w:t>
            </w:r>
          </w:p>
        </w:tc>
        <w:tc>
          <w:tcPr>
            <w:tcW w:w="11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C1F0A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5000000</w:t>
            </w:r>
          </w:p>
        </w:tc>
        <w:tc>
          <w:tcPr>
            <w:tcW w:w="749" w:type="dxa"/>
            <w:vMerge w:val="continue"/>
            <w:tcBorders>
              <w:left w:val="single" w:color="000000" w:sz="4" w:space="0"/>
              <w:right w:val="single" w:color="000000" w:sz="4" w:space="0"/>
            </w:tcBorders>
            <w:shd w:val="clear" w:color="auto" w:fill="FFFFFF"/>
            <w:noWrap w:val="0"/>
            <w:vAlign w:val="center"/>
          </w:tcPr>
          <w:p w14:paraId="1E7458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56A8EFA">
        <w:tblPrEx>
          <w:tblCellMar>
            <w:top w:w="0" w:type="dxa"/>
            <w:left w:w="108" w:type="dxa"/>
            <w:bottom w:w="0" w:type="dxa"/>
            <w:right w:w="108" w:type="dxa"/>
          </w:tblCellMar>
        </w:tblPrEx>
        <w:trPr>
          <w:trHeight w:val="394"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03FF6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HW49</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其他废物</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441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900-041-49</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7C79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废弃实验室容器</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0C934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19"/>
                <w:szCs w:val="19"/>
                <w:u w:val="none"/>
                <w:lang w:val="en-US" w:eastAsia="zh-CN" w:bidi="ar"/>
              </w:rPr>
            </w:pPr>
            <w:r>
              <w:rPr>
                <w:rFonts w:hint="eastAsia" w:ascii="仿宋" w:hAnsi="仿宋" w:eastAsia="仿宋" w:cs="仿宋"/>
                <w:i w:val="0"/>
                <w:iCs w:val="0"/>
                <w:color w:val="000000"/>
                <w:kern w:val="0"/>
                <w:sz w:val="18"/>
                <w:szCs w:val="18"/>
                <w:u w:val="none"/>
                <w:lang w:val="en-US" w:eastAsia="zh-CN" w:bidi="ar"/>
              </w:rPr>
              <w:t>独立包装，无破损</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436A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19"/>
                <w:szCs w:val="19"/>
                <w:u w:val="none"/>
                <w:lang w:val="en-US" w:eastAsia="zh-CN" w:bidi="ar"/>
              </w:rPr>
            </w:pPr>
            <w:r>
              <w:rPr>
                <w:rFonts w:hint="eastAsia" w:ascii="仿宋" w:hAnsi="仿宋" w:eastAsia="仿宋" w:cs="仿宋"/>
                <w:i w:val="0"/>
                <w:iCs w:val="0"/>
                <w:color w:val="000000"/>
                <w:kern w:val="0"/>
                <w:sz w:val="18"/>
                <w:szCs w:val="18"/>
                <w:u w:val="none"/>
                <w:lang w:val="en-US" w:eastAsia="zh-CN" w:bidi="ar"/>
              </w:rPr>
              <w:t>袋装</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B82A8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T/In</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43338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kern w:val="0"/>
                <w:sz w:val="18"/>
                <w:szCs w:val="18"/>
                <w:u w:val="none"/>
                <w:lang w:val="en-US" w:eastAsia="zh-CN" w:bidi="ar"/>
              </w:rPr>
              <w:t>5.7</w:t>
            </w:r>
          </w:p>
        </w:tc>
        <w:tc>
          <w:tcPr>
            <w:tcW w:w="11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6917C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6000</w:t>
            </w:r>
          </w:p>
        </w:tc>
        <w:tc>
          <w:tcPr>
            <w:tcW w:w="749" w:type="dxa"/>
            <w:vMerge w:val="continue"/>
            <w:tcBorders>
              <w:left w:val="single" w:color="000000" w:sz="4" w:space="0"/>
              <w:right w:val="single" w:color="000000" w:sz="4" w:space="0"/>
            </w:tcBorders>
            <w:shd w:val="clear" w:color="auto" w:fill="FFFFFF"/>
            <w:noWrap w:val="0"/>
            <w:vAlign w:val="center"/>
          </w:tcPr>
          <w:p w14:paraId="300A11C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4743D38">
        <w:tblPrEx>
          <w:tblCellMar>
            <w:top w:w="0" w:type="dxa"/>
            <w:left w:w="108" w:type="dxa"/>
            <w:bottom w:w="0" w:type="dxa"/>
            <w:right w:w="108" w:type="dxa"/>
          </w:tblCellMar>
        </w:tblPrEx>
        <w:trPr>
          <w:trHeight w:val="394"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ED5F1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HW49</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其他废物</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76BC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900-041-49</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22FA3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废活性碳</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95FD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19"/>
                <w:szCs w:val="19"/>
                <w:u w:val="none"/>
                <w:lang w:val="en-US" w:eastAsia="zh-CN" w:bidi="ar"/>
              </w:rPr>
            </w:pPr>
            <w:r>
              <w:rPr>
                <w:rFonts w:hint="eastAsia" w:ascii="仿宋" w:hAnsi="仿宋" w:eastAsia="仿宋" w:cs="仿宋"/>
                <w:i w:val="0"/>
                <w:iCs w:val="0"/>
                <w:color w:val="000000"/>
                <w:kern w:val="0"/>
                <w:sz w:val="18"/>
                <w:szCs w:val="18"/>
                <w:u w:val="none"/>
                <w:lang w:val="en-US" w:eastAsia="zh-CN" w:bidi="ar"/>
              </w:rPr>
              <w:t>独立包装，无破损</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EB2E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19"/>
                <w:szCs w:val="19"/>
                <w:u w:val="none"/>
                <w:lang w:val="en-US" w:eastAsia="zh-CN" w:bidi="ar"/>
              </w:rPr>
            </w:pPr>
            <w:r>
              <w:rPr>
                <w:rFonts w:hint="eastAsia" w:ascii="仿宋" w:hAnsi="仿宋" w:eastAsia="仿宋" w:cs="仿宋"/>
                <w:i w:val="0"/>
                <w:iCs w:val="0"/>
                <w:color w:val="000000"/>
                <w:kern w:val="0"/>
                <w:sz w:val="18"/>
                <w:szCs w:val="18"/>
                <w:u w:val="none"/>
                <w:lang w:val="en-US" w:eastAsia="zh-CN" w:bidi="ar"/>
              </w:rPr>
              <w:t>箱装</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B1580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T/In</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A4BA3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kern w:val="0"/>
                <w:sz w:val="18"/>
                <w:szCs w:val="18"/>
                <w:u w:val="none"/>
                <w:lang w:val="en-US" w:eastAsia="zh-CN" w:bidi="ar"/>
              </w:rPr>
              <w:t>3</w:t>
            </w:r>
          </w:p>
        </w:tc>
        <w:tc>
          <w:tcPr>
            <w:tcW w:w="11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34DC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6000</w:t>
            </w:r>
          </w:p>
        </w:tc>
        <w:tc>
          <w:tcPr>
            <w:tcW w:w="749" w:type="dxa"/>
            <w:vMerge w:val="continue"/>
            <w:tcBorders>
              <w:left w:val="single" w:color="000000" w:sz="4" w:space="0"/>
              <w:right w:val="single" w:color="000000" w:sz="4" w:space="0"/>
            </w:tcBorders>
            <w:shd w:val="clear" w:color="auto" w:fill="FFFFFF"/>
            <w:noWrap w:val="0"/>
            <w:vAlign w:val="center"/>
          </w:tcPr>
          <w:p w14:paraId="69847A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ED964B4">
        <w:tblPrEx>
          <w:tblCellMar>
            <w:top w:w="0" w:type="dxa"/>
            <w:left w:w="108" w:type="dxa"/>
            <w:bottom w:w="0" w:type="dxa"/>
            <w:right w:w="108" w:type="dxa"/>
          </w:tblCellMar>
        </w:tblPrEx>
        <w:trPr>
          <w:trHeight w:val="394"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E91C7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HW34</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废酸</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3420D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900-349-34</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24230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含盐酸/硫酸等废水</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72C5C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分类存放，独立包装，标识清晰</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36990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桶装</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1B93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C/T</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F9CF6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kern w:val="0"/>
                <w:sz w:val="18"/>
                <w:szCs w:val="18"/>
                <w:u w:val="none"/>
                <w:lang w:val="en-US" w:eastAsia="zh-CN" w:bidi="ar"/>
              </w:rPr>
              <w:t>1</w:t>
            </w:r>
          </w:p>
        </w:tc>
        <w:tc>
          <w:tcPr>
            <w:tcW w:w="11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47B09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kern w:val="0"/>
                <w:sz w:val="18"/>
                <w:szCs w:val="18"/>
                <w:u w:val="none"/>
                <w:lang w:val="en-US" w:eastAsia="zh-CN" w:bidi="ar"/>
              </w:rPr>
              <w:t>3000</w:t>
            </w:r>
          </w:p>
        </w:tc>
        <w:tc>
          <w:tcPr>
            <w:tcW w:w="749" w:type="dxa"/>
            <w:vMerge w:val="continue"/>
            <w:tcBorders>
              <w:left w:val="single" w:color="000000" w:sz="4" w:space="0"/>
              <w:right w:val="single" w:color="000000" w:sz="4" w:space="0"/>
            </w:tcBorders>
            <w:shd w:val="clear" w:color="auto" w:fill="FFFFFF"/>
            <w:noWrap w:val="0"/>
            <w:vAlign w:val="center"/>
          </w:tcPr>
          <w:p w14:paraId="0FD7DF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62B666C">
        <w:tblPrEx>
          <w:tblCellMar>
            <w:top w:w="0" w:type="dxa"/>
            <w:left w:w="108" w:type="dxa"/>
            <w:bottom w:w="0" w:type="dxa"/>
            <w:right w:w="108" w:type="dxa"/>
          </w:tblCellMar>
        </w:tblPrEx>
        <w:trPr>
          <w:trHeight w:val="394"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A6F5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HW35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废碱</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9662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900-399-35</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1F91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含氢氧化钠等废水</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9A238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分类存放，独立包装，标识清晰</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57332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桶装</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42B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C/T</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D5469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w:t>
            </w:r>
          </w:p>
        </w:tc>
        <w:tc>
          <w:tcPr>
            <w:tcW w:w="11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7C190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3000</w:t>
            </w:r>
          </w:p>
        </w:tc>
        <w:tc>
          <w:tcPr>
            <w:tcW w:w="749" w:type="dxa"/>
            <w:vMerge w:val="continue"/>
            <w:tcBorders>
              <w:left w:val="single" w:color="000000" w:sz="4" w:space="0"/>
              <w:right w:val="single" w:color="000000" w:sz="4" w:space="0"/>
            </w:tcBorders>
            <w:shd w:val="clear" w:color="auto" w:fill="FFFFFF"/>
            <w:noWrap w:val="0"/>
            <w:vAlign w:val="center"/>
          </w:tcPr>
          <w:p w14:paraId="2A43732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941D736">
        <w:tblPrEx>
          <w:tblCellMar>
            <w:top w:w="0" w:type="dxa"/>
            <w:left w:w="108" w:type="dxa"/>
            <w:bottom w:w="0" w:type="dxa"/>
            <w:right w:w="108" w:type="dxa"/>
          </w:tblCellMar>
        </w:tblPrEx>
        <w:trPr>
          <w:trHeight w:val="426"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89C81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HW16</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感光材料废物</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6154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900-019-016</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ACFE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废CT、X光、MR胶片和废（显）定影剂等类感光材料废物</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E8F6C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分类存放，独立包装，标识清晰</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F751A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袋装/箱装</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8EE6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0D5A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w:t>
            </w:r>
          </w:p>
        </w:tc>
        <w:tc>
          <w:tcPr>
            <w:tcW w:w="11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4EA6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15000</w:t>
            </w:r>
          </w:p>
        </w:tc>
        <w:tc>
          <w:tcPr>
            <w:tcW w:w="749" w:type="dxa"/>
            <w:vMerge w:val="continue"/>
            <w:tcBorders>
              <w:left w:val="single" w:color="000000" w:sz="4" w:space="0"/>
              <w:bottom w:val="single" w:color="000000" w:sz="4" w:space="0"/>
              <w:right w:val="single" w:color="000000" w:sz="4" w:space="0"/>
            </w:tcBorders>
            <w:shd w:val="clear" w:color="auto" w:fill="FFFFFF"/>
            <w:noWrap w:val="0"/>
            <w:vAlign w:val="center"/>
          </w:tcPr>
          <w:p w14:paraId="2731D2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0465BB44">
      <w:pPr>
        <w:pStyle w:val="30"/>
        <w:numPr>
          <w:ilvl w:val="0"/>
          <w:numId w:val="0"/>
        </w:numPr>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sz w:val="24"/>
          <w:szCs w:val="24"/>
          <w:lang w:val="en-US" w:eastAsia="zh-CN"/>
        </w:rPr>
        <w:t>危险废物运输装卸单价最高限价</w:t>
      </w:r>
    </w:p>
    <w:tbl>
      <w:tblPr>
        <w:tblStyle w:val="23"/>
        <w:tblW w:w="7151" w:type="dxa"/>
        <w:jc w:val="center"/>
        <w:tblLayout w:type="fixed"/>
        <w:tblCellMar>
          <w:top w:w="0" w:type="dxa"/>
          <w:left w:w="108" w:type="dxa"/>
          <w:bottom w:w="0" w:type="dxa"/>
          <w:right w:w="108" w:type="dxa"/>
        </w:tblCellMar>
      </w:tblPr>
      <w:tblGrid>
        <w:gridCol w:w="1159"/>
        <w:gridCol w:w="1566"/>
        <w:gridCol w:w="1097"/>
        <w:gridCol w:w="1839"/>
        <w:gridCol w:w="1490"/>
      </w:tblGrid>
      <w:tr w14:paraId="57ACEBB6">
        <w:tblPrEx>
          <w:tblCellMar>
            <w:top w:w="0" w:type="dxa"/>
            <w:left w:w="108" w:type="dxa"/>
            <w:bottom w:w="0" w:type="dxa"/>
            <w:right w:w="108" w:type="dxa"/>
          </w:tblCellMar>
        </w:tblPrEx>
        <w:trPr>
          <w:trHeight w:val="174" w:hRule="atLeast"/>
          <w:jc w:val="center"/>
        </w:trPr>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733B0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服务内容</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5B273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专用车辆载重量</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6D111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服务期限</w:t>
            </w:r>
          </w:p>
        </w:tc>
        <w:tc>
          <w:tcPr>
            <w:tcW w:w="18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5B20B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计划运输次数</w:t>
            </w:r>
            <w:r>
              <w:rPr>
                <w:rFonts w:hint="eastAsia" w:ascii="仿宋" w:hAnsi="仿宋" w:eastAsia="仿宋" w:cs="仿宋"/>
                <w:b/>
                <w:bCs/>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（次/年）</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0B82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单价最高限价（元/次）</w:t>
            </w:r>
          </w:p>
        </w:tc>
      </w:tr>
      <w:tr w14:paraId="57A83DCA">
        <w:tblPrEx>
          <w:tblCellMar>
            <w:top w:w="0" w:type="dxa"/>
            <w:left w:w="108" w:type="dxa"/>
            <w:bottom w:w="0" w:type="dxa"/>
            <w:right w:w="108" w:type="dxa"/>
          </w:tblCellMar>
        </w:tblPrEx>
        <w:trPr>
          <w:trHeight w:val="656" w:hRule="atLeast"/>
          <w:jc w:val="center"/>
        </w:trPr>
        <w:tc>
          <w:tcPr>
            <w:tcW w:w="11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91EF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危险废物运输装卸</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111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1.5吨/车</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857D4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3年</w:t>
            </w:r>
          </w:p>
        </w:tc>
        <w:tc>
          <w:tcPr>
            <w:tcW w:w="18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57AD1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12</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522C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1400</w:t>
            </w:r>
          </w:p>
        </w:tc>
      </w:tr>
    </w:tbl>
    <w:p w14:paraId="4A516D8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详细技术规范请参阅</w:t>
      </w:r>
      <w:r>
        <w:rPr>
          <w:rFonts w:hint="eastAsia" w:ascii="仿宋" w:hAnsi="仿宋" w:eastAsia="仿宋" w:cs="仿宋"/>
          <w:color w:val="000000" w:themeColor="text1"/>
          <w:sz w:val="24"/>
          <w:szCs w:val="24"/>
          <w:highlight w:val="none"/>
          <w:lang w:eastAsia="zh-CN"/>
          <w14:textFill>
            <w14:solidFill>
              <w14:schemeClr w14:val="tx1"/>
            </w14:solidFill>
          </w14:textFill>
        </w:rPr>
        <w:t>比选文件</w:t>
      </w:r>
      <w:r>
        <w:rPr>
          <w:rFonts w:hint="eastAsia" w:ascii="仿宋" w:hAnsi="仿宋" w:eastAsia="仿宋" w:cs="仿宋"/>
          <w:color w:val="000000" w:themeColor="text1"/>
          <w:sz w:val="24"/>
          <w:szCs w:val="24"/>
          <w:highlight w:val="none"/>
          <w14:textFill>
            <w14:solidFill>
              <w14:schemeClr w14:val="tx1"/>
            </w14:solidFill>
          </w14:textFill>
        </w:rPr>
        <w:t>中的“用户需求书”。</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响应人</w:t>
      </w:r>
      <w:r>
        <w:rPr>
          <w:rFonts w:hint="eastAsia" w:ascii="仿宋" w:hAnsi="仿宋" w:eastAsia="仿宋" w:cs="仿宋"/>
          <w:color w:val="000000" w:themeColor="text1"/>
          <w:sz w:val="24"/>
          <w:szCs w:val="24"/>
          <w:highlight w:val="none"/>
          <w14:textFill>
            <w14:solidFill>
              <w14:schemeClr w14:val="tx1"/>
            </w14:solidFill>
          </w14:textFill>
        </w:rPr>
        <w:t>必须对本项目的全部内容进行响应报价，如有缺漏或超出</w:t>
      </w:r>
      <w:r>
        <w:rPr>
          <w:rFonts w:hint="eastAsia" w:ascii="仿宋" w:hAnsi="仿宋" w:eastAsia="仿宋" w:cs="仿宋"/>
          <w:color w:val="000000" w:themeColor="text1"/>
          <w:sz w:val="24"/>
          <w:szCs w:val="24"/>
          <w:highlight w:val="none"/>
          <w:lang w:val="en-US" w:eastAsia="zh-CN"/>
          <w14:textFill>
            <w14:solidFill>
              <w14:schemeClr w14:val="tx1"/>
            </w14:solidFill>
          </w14:textFill>
        </w:rPr>
        <w:t>单价最高限价/采购预算</w:t>
      </w:r>
      <w:r>
        <w:rPr>
          <w:rFonts w:hint="eastAsia" w:ascii="仿宋" w:hAnsi="仿宋" w:eastAsia="仿宋" w:cs="仿宋"/>
          <w:color w:val="000000" w:themeColor="text1"/>
          <w:sz w:val="24"/>
          <w:szCs w:val="24"/>
          <w:highlight w:val="none"/>
          <w14:textFill>
            <w14:solidFill>
              <w14:schemeClr w14:val="tx1"/>
            </w14:solidFill>
          </w14:textFill>
        </w:rPr>
        <w:t>，将导致响应无效</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1638DE7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二、项目概况</w:t>
      </w:r>
    </w:p>
    <w:p w14:paraId="2820D4DA">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服务地点：中山大学附属仁济医院（广州市花都区新雅街镜湖大道北以东，雅瑶东路以南，黄冈中学以西）。</w:t>
      </w:r>
    </w:p>
    <w:p w14:paraId="23D82626">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服务时间：按采购人要求。</w:t>
      </w:r>
    </w:p>
    <w:p w14:paraId="6AF8DB18">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服务范围：服务地点的科室和实验室。</w:t>
      </w:r>
    </w:p>
    <w:p w14:paraId="64C0595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三、服务要求</w:t>
      </w:r>
    </w:p>
    <w:p w14:paraId="1F99A40A">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响应人严格执行环保相关法律、法规，守法经营，安全处理处置危险废物。双方必须严格执行《中华人民共和国固体废物污染环境防治法》的规定，本合同涉及的危险废物必须执行国家危险废物转移联单管理制度。</w:t>
      </w:r>
    </w:p>
    <w:p w14:paraId="15644681">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响应人应熟悉本项目内危险废物的理化性质，以及由于危险废物或危险废物处理过程所导致或引起的健康、安全和环境风险；响应人应根据本项目需求提供服务所需的设施、设备、人员、专业技术等，并保证设施、设备等状态良好，人员具备从事相应工作的专业能力。</w:t>
      </w:r>
    </w:p>
    <w:p w14:paraId="354D663F">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采购人医疗、教学、科研工作产生的危险废物，品目较多，危险特性复杂，响应人应具备识别各类危险废物危险特性且经验丰富的专业技术人员。</w:t>
      </w:r>
    </w:p>
    <w:p w14:paraId="0F57A1FB">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对采购人产生的危险废物按照相关规定进行分拣、分类打包装箱，内部转运以及规范处置，服务频率具体以双方协商时间为准。</w:t>
      </w:r>
    </w:p>
    <w:p w14:paraId="6FBC2871">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响应人须承诺服务期内能保证采购人所有危险废物（包括但不限于：所有品种、所有数量）的正常处置；如果出现紧急情况（紧急情况为危险废物严重影响采购人正常医疗、教学、科研工作或其他特殊情况），经电话联系须尽快上门协助应急处置。</w:t>
      </w:r>
    </w:p>
    <w:p w14:paraId="085E1739">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响应人须承诺承担本项目危险废物的分类整理工作及一切所需的包装物，收集、运输、临时贮存以及处置过程中发生的全部安全责任。</w:t>
      </w:r>
    </w:p>
    <w:p w14:paraId="3016CB15">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响应人工作人员应在采购人范围内文明作业，遵守采购人的安全卫生制度。</w:t>
      </w:r>
    </w:p>
    <w:p w14:paraId="58E33F70">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响应人工作人员进入采购人工作场所应穿响应人工作服，佩戴胸卡。</w:t>
      </w:r>
    </w:p>
    <w:p w14:paraId="3AAA4E5D">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运输的车辆必须车况良好，采取符合安全、环保标准的相关措施，运输专用车辆符合危险货物运输的要求，适于运输本项目规定的废物。</w:t>
      </w:r>
    </w:p>
    <w:p w14:paraId="180143D2">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响应人工作人员应严格按操作要求做好自身防护措施。</w:t>
      </w:r>
    </w:p>
    <w:p w14:paraId="15407205">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响应人工作人员应严格按照操作规程，按危险废物品种及化学性质进行分类回收，并定期将采购人各产生科室暂存的危险废物彻底回收。</w:t>
      </w:r>
    </w:p>
    <w:p w14:paraId="40E899BD">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响应人工作人员装卸完毕后，填写好电子联单信息，做好交接登记。</w:t>
      </w:r>
    </w:p>
    <w:p w14:paraId="45D9F890">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响应人工作人员在回收过程中发生事故应及时进行处理并告知采购人。</w:t>
      </w:r>
    </w:p>
    <w:p w14:paraId="0A4B89E8">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响应人在运输过程中不得沿途丢弃、遗撒危险废物。</w:t>
      </w:r>
    </w:p>
    <w:p w14:paraId="523DB207">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响应人在危险废物无害化处理过程中，应该符合国家法律规定的环保和消防要求或标准，并接受采购人的监督和指导。</w:t>
      </w:r>
    </w:p>
    <w:p w14:paraId="3D34A918">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在采购人的危险废物严重影响工作或其他特殊情况出现，需提前收取时，响应人应予以积极配合。</w:t>
      </w:r>
    </w:p>
    <w:p w14:paraId="4D0D6916">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响应人根据院方的生产情况和危险废物的产生情况，双方议定运输时间，响应人在运输时间内自备运输车辆和装卸人员到院方指定的地点收取危险废物，根据危险废物的品种及化学性质分类回收、打包、贴标识，保证不影响采购人生产。</w:t>
      </w:r>
    </w:p>
    <w:p w14:paraId="2C330863">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运输人员具有危险品准驾证，押运员具有危险品押运证。</w:t>
      </w:r>
    </w:p>
    <w:p w14:paraId="6949E621">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响应人有权拒绝采购人要求运输本项目之外的废物。</w:t>
      </w:r>
    </w:p>
    <w:p w14:paraId="2AA473F4">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任何一方如确因不可抗力的原因，不能履行本合同时，应在不可抗力的事件发生之后三日内向对方通知不能履行或须延期履行、部分履行的理由。在取得有关证明，且经另一方同意后，本合同可以不履行或延期履行或部分履行，并免予承担违约责任。</w:t>
      </w:r>
    </w:p>
    <w:p w14:paraId="7CA09A0C">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对于从另一方、其主管或雇员得知的，以及涉及另一方的计划、方案、废物来源、废物情况、废物价格、处理流程、工艺流程、处理费用、处理设备、操作、客户和包括在此的特定条文的资料，包括技术资料、经验和数据，双方应将均视为机密，承担保密责任。在没有对方的书面同意下，不能向第三者公开。</w:t>
      </w:r>
    </w:p>
    <w:p w14:paraId="47FD3E5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default" w:ascii="仿宋" w:hAnsi="仿宋" w:eastAsia="仿宋" w:cs="仿宋"/>
          <w:b/>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四、处理处置规程</w:t>
      </w:r>
    </w:p>
    <w:p w14:paraId="5B717D0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双方应严格遵守广东省固体废物云申报系统的相关规定，按照以下操作规程规范操作，确保危险废物进行合法、安全转移，并接受采购人的监督和指导。</w:t>
      </w:r>
    </w:p>
    <w:p w14:paraId="6651449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1.采购人操作规程；</w:t>
      </w:r>
    </w:p>
    <w:p w14:paraId="29EC08C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①采购人须按照相关环保机关的要求，登录广东省固体废物云申报系统进行注册登记，并到所属环保部门领取二维码环保卡（以下简称“环保卡”）；</w:t>
      </w:r>
    </w:p>
    <w:p w14:paraId="1AF6765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②采购人应指定专人负责保管环保卡，不得遗失；如有遗失，应及时向相关环保部门申请补办；</w:t>
      </w:r>
    </w:p>
    <w:p w14:paraId="518C005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③环保卡仅作为运输现场、响应人司机操作电子联单时采购人同意危险废物转移之用，不作其他用途；</w:t>
      </w:r>
    </w:p>
    <w:p w14:paraId="5D14942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④在危险废物运输之前，采购人应根据当次计划转移废物的名称、预计数量，登录广东省固体废物云申报系统填写、提交联单计划；</w:t>
      </w:r>
    </w:p>
    <w:p w14:paraId="3F3159E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⑤采购人每转移一车次、一种废料应填写一份联单计划；</w:t>
      </w:r>
    </w:p>
    <w:p w14:paraId="07E0B3E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⑥同一天有安排多车次运输同种或多种废料的，应按车次、按废料种类分别填写联单计划；</w:t>
      </w:r>
    </w:p>
    <w:p w14:paraId="5C0B522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⑦采购人填写的联单计划量不能超出广东省固体废物云申报系统“危险废物转移计划”申报的“拟转移数量”，即年度计划转移量。当累计联单计划量或累计确认联单量已接近年度计划转移量，后续仍有转移需求时，采购人应提前办理“危险废物转移计划”申报手续；</w:t>
      </w:r>
    </w:p>
    <w:p w14:paraId="5AAA382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⑧响应人司机在采购人运输现场装载完毕，采购人应出示环保卡给响应人司机扫描验证电子联单信息，并核实响应人司机所填写的电子联单种类、名称，确认与实际移交的危废种类、名称相符后，方可放行；</w:t>
      </w:r>
    </w:p>
    <w:p w14:paraId="4E802FB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⑨采购人应于转移危险废物2个工作日后，登录广东省固体废物云申报系统核查响应人确认的联单量是否与实际转移量相符，如不符合，应及时联系响应人危险废物交接负责人，以便响应人及时处理；如与实际转移量相符，采购人应点击“提交并结束联单”，以结束电子联单流程。</w:t>
      </w:r>
    </w:p>
    <w:p w14:paraId="6F0D507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2.响应人操作规程；</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ab/>
      </w:r>
    </w:p>
    <w:p w14:paraId="179E589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①响应人司机出车前，应检查电子联单所需的硬件设备状态是否正常，电力是否充足，并随车携带车辆二维码环保卡。</w:t>
      </w:r>
    </w:p>
    <w:p w14:paraId="56E278E6">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②响应人司机到达采购人运输地点，应当首先用PDA手机登录电子联单系统，查看采购人申请转移的危险废物，根据采购人申请的危险废物情况，装货上车，过磅，清晰、规范填写收货单；</w:t>
      </w:r>
    </w:p>
    <w:p w14:paraId="5C09EAD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③响应人司机应根据实际运输的危险废物，即收货单有收货数量的危险废物名称，选择符合采购人当前运输日期及计划转移数量的电子联单进行企业二维码扫描；</w:t>
      </w:r>
    </w:p>
    <w:p w14:paraId="3D84557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④响应人司机填写的运输单位信息（含司机姓名、运输起点、运输终点）和扫描的车辆二维码，应与实际运输信息一致；</w:t>
      </w:r>
    </w:p>
    <w:p w14:paraId="7D3AC1B0">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⑤同一种危险废物名称，只能填写一次，不能重复填写；</w:t>
      </w:r>
    </w:p>
    <w:p w14:paraId="28CE8D4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⑥采购人有申请联单计划而实际未运输的危险废物，响应人司机不能填写、操作电子联单；</w:t>
      </w:r>
    </w:p>
    <w:p w14:paraId="34A0A9A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⑦采购人未申请联单计划的危险废物，响应人司机应拒绝装载，拒绝填写、操作电子联单；</w:t>
      </w:r>
    </w:p>
    <w:p w14:paraId="6E2DB14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⑧响应人司机运输危险废物到达目的地后，应再次登录电子联单系统，扫描处置企业二维码，保存处置单位信息，以结束运输流程；</w:t>
      </w:r>
    </w:p>
    <w:p w14:paraId="4A8E6F8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⑨响应人应于接收危险废物后1个工作日内，登录广东省固体废物云申报系统确认实际接收量。</w:t>
      </w:r>
    </w:p>
    <w:p w14:paraId="0415151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3.危险废物交接负责人的委派</w:t>
      </w:r>
    </w:p>
    <w:p w14:paraId="4447677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双方应委派各自的危险废物交接负责人，行使合同约定的交接职权。</w:t>
      </w:r>
    </w:p>
    <w:p w14:paraId="33E61EE8">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4.检验方法、时间：</w:t>
      </w:r>
    </w:p>
    <w:p w14:paraId="426A8D6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①响应人在交接危险废物后的5个工作日内对危险废物进行检验。</w:t>
      </w:r>
    </w:p>
    <w:p w14:paraId="5460CB80">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②响应人在验收过程中，如发现危险废物的品质标准不合规定或者采购人混杂其他废物的，应一边妥为保管，一边在检验后5个工作日内向采购人提出书面异议。响应人未按规定期限提出书面异议的，视为所交的危险废物符合合同规定。响应人在运输、使用、保管、保养不善等造成危险废物品质标准不合规定的，不得提出异议。</w:t>
      </w:r>
    </w:p>
    <w:p w14:paraId="15D237E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③检验合格或者检验不合格的危险废物经双方达成书面的处理意见后，响应人应按合同规定出具对账单给采购人确认，采购人应在5个工作日内进行确认。</w:t>
      </w:r>
    </w:p>
    <w:p w14:paraId="3704E51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5.待处理危险废物的环境污染责任：危险废物在采购人交响应人签收之前所产生的环境污染问题，由采购人负责；危险废物在采购人交响应人签收之后所产生的环境污染问题，由响应人负责。</w:t>
      </w:r>
    </w:p>
    <w:p w14:paraId="02DA5056">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2" w:firstLineChars="200"/>
        <w:jc w:val="left"/>
        <w:textAlignment w:val="auto"/>
        <w:rPr>
          <w:rFonts w:hint="eastAsia" w:ascii="仿宋" w:hAnsi="仿宋" w:eastAsia="仿宋" w:cs="仿宋"/>
          <w:b/>
          <w:bCs w:val="0"/>
          <w:i w:val="0"/>
          <w:i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val="0"/>
          <w:i w:val="0"/>
          <w:iCs w:val="0"/>
          <w:color w:val="000000" w:themeColor="text1"/>
          <w:sz w:val="24"/>
          <w:szCs w:val="24"/>
          <w:highlight w:val="none"/>
          <w:lang w:val="en-US" w:eastAsia="zh-CN"/>
          <w14:textFill>
            <w14:solidFill>
              <w14:schemeClr w14:val="tx1"/>
            </w14:solidFill>
          </w14:textFill>
        </w:rPr>
        <w:t>五、报价要求</w:t>
      </w:r>
    </w:p>
    <w:p w14:paraId="5A30AE5A">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本项目为综合单价包干按实结算项目：响应人报价应是比选文件所确定的采购范围内全部内容的价格表现。即包括但不限于危险废物的上门回收、装卸、运输、处置、检测、车辆及相关设备的保险、维修、油料、人工、税金、利润、完成合同所需的一切本身和不可或缺的所有工作开支等费用。</w:t>
      </w:r>
    </w:p>
    <w:p w14:paraId="5EBD53F5">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若采购人所交付的危险废物类别、品质标准不符合本项目或相关规定的，且成交方同意收运处置，应当另行按质论价；如果成交方不同意收运处置的，应及时将废物退回给采购人，由采购人负责自行处理，并且采购人承担因此产生的退回运输费用。</w:t>
      </w:r>
    </w:p>
    <w:p w14:paraId="7740B789">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3.除第2点外，其余少报漏报的内容均已包含在总价内，成交人不得以任何的形式向采购人索要追加任何的费用，采购人也没有义务支付任何合同总价外的费用。</w:t>
      </w:r>
    </w:p>
    <w:p w14:paraId="6A062265">
      <w:pPr>
        <w:pStyle w:val="30"/>
        <w:keepNext w:val="0"/>
        <w:keepLines w:val="0"/>
        <w:pageBreakBefore w:val="0"/>
        <w:widowControl w:val="0"/>
        <w:kinsoku/>
        <w:wordWrap/>
        <w:overflowPunct/>
        <w:topLinePunct w:val="0"/>
        <w:autoSpaceDE/>
        <w:autoSpaceDN/>
        <w:bidi w:val="0"/>
        <w:adjustRightInd w:val="0"/>
        <w:snapToGrid w:val="0"/>
        <w:spacing w:line="360" w:lineRule="exact"/>
        <w:ind w:left="0" w:firstLine="482"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六</w:t>
      </w:r>
      <w:r>
        <w:rPr>
          <w:rFonts w:hint="eastAsia" w:ascii="仿宋" w:hAnsi="仿宋" w:eastAsia="仿宋" w:cs="仿宋"/>
          <w:b/>
          <w:bCs/>
          <w:color w:val="000000" w:themeColor="text1"/>
          <w:sz w:val="24"/>
          <w:szCs w:val="24"/>
          <w:highlight w:val="none"/>
          <w14:textFill>
            <w14:solidFill>
              <w14:schemeClr w14:val="tx1"/>
            </w14:solidFill>
          </w14:textFill>
        </w:rPr>
        <w:t>、结算方式</w:t>
      </w:r>
    </w:p>
    <w:p w14:paraId="62B12F5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20" w:firstLineChars="175"/>
        <w:jc w:val="left"/>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1.成交人应在每次收运完成后，向采购人提交本次收运废物的现场交接清单，经采购人确认后，成交方向采购人开具正式发票。采购人原则上应当自收到发票</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且审核无误后</w:t>
      </w:r>
      <w:r>
        <w:rPr>
          <w:rFonts w:hint="eastAsia" w:ascii="仿宋" w:hAnsi="仿宋" w:eastAsia="仿宋" w:cs="仿宋"/>
          <w:color w:val="000000" w:themeColor="text1"/>
          <w:kern w:val="2"/>
          <w:sz w:val="24"/>
          <w:szCs w:val="24"/>
          <w:lang w:val="en-US" w:eastAsia="zh-CN" w:bidi="ar-SA"/>
          <w14:textFill>
            <w14:solidFill>
              <w14:schemeClr w14:val="tx1"/>
            </w14:solidFill>
          </w14:textFill>
        </w:rPr>
        <w:t>的20个工作日内支付</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结算</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款项</w:t>
      </w:r>
      <w:r>
        <w:rPr>
          <w:rFonts w:hint="eastAsia" w:ascii="仿宋" w:hAnsi="仿宋" w:eastAsia="仿宋" w:cs="仿宋"/>
          <w:color w:val="000000" w:themeColor="text1"/>
          <w:kern w:val="2"/>
          <w:sz w:val="24"/>
          <w:szCs w:val="24"/>
          <w:lang w:val="en-US" w:eastAsia="zh-CN" w:bidi="ar-SA"/>
          <w14:textFill>
            <w14:solidFill>
              <w14:schemeClr w14:val="tx1"/>
            </w14:solidFill>
          </w14:textFill>
        </w:rPr>
        <w:t>。</w:t>
      </w:r>
    </w:p>
    <w:p w14:paraId="5EAE298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20" w:firstLineChars="175"/>
        <w:jc w:val="left"/>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2.根据实际处理数量及运输次数，按成交综合单价据实结算。</w:t>
      </w:r>
    </w:p>
    <w:p w14:paraId="0F2A733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七、违约责任</w:t>
      </w:r>
    </w:p>
    <w:p w14:paraId="380A7F1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1.成交人若未按国家相关法律法规进行清运、处理，由成交人承担全部责任。</w:t>
      </w:r>
    </w:p>
    <w:p w14:paraId="6C32733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2.成交人应按时积极进行清收工作，不得拖延。若未按时按质完成项目内容，经采购人三次通知整改仍未完成，采购人有权单方终止合同。</w:t>
      </w:r>
    </w:p>
    <w:p w14:paraId="4A7A776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3.成交人因逾期运输废物而影响到采购人生产经营的，每逾期一日按照本次应运输废物总金额的5‰支付违约金给采购人。</w:t>
      </w:r>
    </w:p>
    <w:p w14:paraId="61977F3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4.采购人若未如期履行付款义务的，每迟延一天按照本次运输废物应付未付金额的千分之一支付违约金给成交人，违约金不超过应付未付金额的10%。</w:t>
      </w:r>
    </w:p>
    <w:p w14:paraId="108BA77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5.若成交人提供的服务不符合法律法规及采购文件要求的质量、服务标准或履约过程中有违约行为的，采购人有权保留追究由此给采购人造成损失责任的权利。</w:t>
      </w:r>
    </w:p>
    <w:p w14:paraId="476B072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6.其它违约责任按《中华人民共和国民法典》处理。</w:t>
      </w:r>
    </w:p>
    <w:p w14:paraId="1C0B0D9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八、其他</w:t>
      </w:r>
    </w:p>
    <w:p w14:paraId="38D60CB5">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成交供应商在实际服务时，若被发现提供的服务未能达到比选文件中的有关要求和响应文件的承诺，将按有关法规进行处罚，采购人将有权单方面中止或终止合同的执行,并追究因成交供应商所提供的未达到所承诺准确率服务而产生的所有损失和责任。</w:t>
      </w:r>
    </w:p>
    <w:p w14:paraId="2FEA6985">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highlight w:val="none"/>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2、如因国家相关政策发生变化，应以最新的国家相关政策为准并执行，如因国家相关政策发生变化而导致本次项目的合同无法继续执行，采购人不承担任何责任，响应人自行承担由此带来的任何风险及后果。</w:t>
      </w:r>
    </w:p>
    <w:p w14:paraId="1BC0916F">
      <w:pPr>
        <w:pStyle w:val="28"/>
        <w:rPr>
          <w:rFonts w:hint="eastAsia"/>
          <w:highlight w:val="none"/>
        </w:rPr>
      </w:pPr>
    </w:p>
    <w:p w14:paraId="3C053B22">
      <w:pPr>
        <w:pStyle w:val="28"/>
        <w:rPr>
          <w:rFonts w:hint="eastAsia"/>
          <w:highlight w:val="none"/>
        </w:rPr>
      </w:pPr>
    </w:p>
    <w:p w14:paraId="2C26EC79">
      <w:pPr>
        <w:pStyle w:val="28"/>
        <w:rPr>
          <w:rFonts w:hint="eastAsia"/>
          <w:highlight w:val="none"/>
        </w:rPr>
      </w:pPr>
    </w:p>
    <w:p w14:paraId="06313F0A">
      <w:pPr>
        <w:pStyle w:val="28"/>
        <w:rPr>
          <w:rFonts w:hint="eastAsia"/>
          <w:highlight w:val="none"/>
        </w:rPr>
      </w:pPr>
    </w:p>
    <w:p w14:paraId="04C0DA00">
      <w:pPr>
        <w:pStyle w:val="28"/>
        <w:rPr>
          <w:rFonts w:hint="eastAsia"/>
          <w:highlight w:val="none"/>
        </w:rPr>
      </w:pPr>
    </w:p>
    <w:p w14:paraId="600F1031">
      <w:pPr>
        <w:pStyle w:val="28"/>
        <w:rPr>
          <w:rFonts w:hint="eastAsia"/>
          <w:highlight w:val="none"/>
        </w:rPr>
      </w:pPr>
    </w:p>
    <w:p w14:paraId="538B39E8">
      <w:pPr>
        <w:pStyle w:val="28"/>
        <w:rPr>
          <w:rFonts w:hint="eastAsia"/>
          <w:highlight w:val="none"/>
        </w:rPr>
      </w:pPr>
    </w:p>
    <w:p w14:paraId="61B73134">
      <w:pPr>
        <w:pStyle w:val="28"/>
        <w:rPr>
          <w:rFonts w:hint="eastAsia"/>
          <w:highlight w:val="none"/>
        </w:rPr>
      </w:pPr>
    </w:p>
    <w:p w14:paraId="704AB32E">
      <w:pPr>
        <w:pStyle w:val="28"/>
        <w:rPr>
          <w:rFonts w:hint="eastAsia"/>
          <w:highlight w:val="none"/>
        </w:rPr>
      </w:pPr>
    </w:p>
    <w:p w14:paraId="25CE66EE">
      <w:pPr>
        <w:pStyle w:val="28"/>
        <w:rPr>
          <w:rFonts w:hint="eastAsia"/>
          <w:highlight w:val="none"/>
        </w:rPr>
      </w:pPr>
    </w:p>
    <w:p w14:paraId="51B7A43D">
      <w:pPr>
        <w:pStyle w:val="28"/>
        <w:rPr>
          <w:rFonts w:hint="eastAsia"/>
          <w:highlight w:val="none"/>
        </w:rPr>
      </w:pPr>
    </w:p>
    <w:p w14:paraId="6E59920C">
      <w:pPr>
        <w:pStyle w:val="28"/>
        <w:rPr>
          <w:rFonts w:hint="eastAsia"/>
          <w:highlight w:val="none"/>
        </w:rPr>
      </w:pPr>
    </w:p>
    <w:p w14:paraId="5F5FAEDB">
      <w:pPr>
        <w:pStyle w:val="28"/>
        <w:rPr>
          <w:rFonts w:hint="eastAsia"/>
          <w:highlight w:val="none"/>
        </w:rPr>
      </w:pPr>
    </w:p>
    <w:p w14:paraId="166DFF15">
      <w:pPr>
        <w:pStyle w:val="28"/>
        <w:rPr>
          <w:rFonts w:hint="eastAsia"/>
          <w:highlight w:val="none"/>
        </w:rPr>
      </w:pPr>
    </w:p>
    <w:p w14:paraId="396CE78E">
      <w:pPr>
        <w:pStyle w:val="28"/>
        <w:rPr>
          <w:rFonts w:hint="eastAsia"/>
          <w:highlight w:val="none"/>
        </w:rPr>
      </w:pPr>
    </w:p>
    <w:p w14:paraId="0CAC95C3">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57FE89AA">
      <w:pPr>
        <w:pStyle w:val="2"/>
        <w:jc w:val="both"/>
        <w:rPr>
          <w:rFonts w:hint="eastAsia" w:ascii="微软雅黑" w:hAnsi="微软雅黑" w:eastAsia="微软雅黑" w:cs="微软雅黑"/>
          <w:color w:val="000000"/>
          <w:highlight w:val="none"/>
        </w:rPr>
      </w:pPr>
    </w:p>
    <w:p w14:paraId="282FD5B9">
      <w:pPr>
        <w:rPr>
          <w:rFonts w:hint="eastAsia" w:ascii="微软雅黑" w:hAnsi="微软雅黑" w:eastAsia="微软雅黑" w:cs="微软雅黑"/>
          <w:color w:val="000000"/>
          <w:highlight w:val="none"/>
        </w:rPr>
      </w:pPr>
    </w:p>
    <w:p w14:paraId="1C516F67">
      <w:pPr>
        <w:pStyle w:val="2"/>
        <w:rPr>
          <w:rFonts w:hint="eastAsia"/>
        </w:rPr>
      </w:pPr>
    </w:p>
    <w:p w14:paraId="6423BFC0">
      <w:pPr>
        <w:rPr>
          <w:rFonts w:hint="eastAsia"/>
        </w:rPr>
      </w:pPr>
    </w:p>
    <w:p w14:paraId="1124CC41">
      <w:pPr>
        <w:rPr>
          <w:rFonts w:hint="eastAsia"/>
        </w:rPr>
      </w:pPr>
    </w:p>
    <w:p w14:paraId="40BD9916">
      <w:pPr>
        <w:rPr>
          <w:rFonts w:hint="eastAsia"/>
        </w:rPr>
      </w:pPr>
    </w:p>
    <w:p w14:paraId="4D0166C4">
      <w:pPr>
        <w:rPr>
          <w:rFonts w:hint="eastAsia"/>
        </w:rPr>
      </w:pPr>
    </w:p>
    <w:p w14:paraId="387E5E77">
      <w:pPr>
        <w:rPr>
          <w:rFonts w:hint="eastAsia"/>
        </w:rPr>
      </w:pPr>
    </w:p>
    <w:p w14:paraId="50D696CC">
      <w:pPr>
        <w:rPr>
          <w:rFonts w:hint="eastAsia"/>
        </w:rPr>
      </w:pPr>
    </w:p>
    <w:p w14:paraId="7EC745BC">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第三章</w:t>
      </w:r>
      <w:r>
        <w:rPr>
          <w:rFonts w:hint="eastAsia" w:ascii="微软雅黑" w:hAnsi="微软雅黑" w:eastAsia="微软雅黑" w:cs="微软雅黑"/>
          <w:color w:val="000000"/>
          <w:highlight w:val="none"/>
          <w:lang w:val="en-US" w:eastAsia="zh-CN"/>
        </w:rPr>
        <w:t xml:space="preserve"> 响应</w:t>
      </w:r>
      <w:r>
        <w:rPr>
          <w:rFonts w:hint="eastAsia" w:ascii="微软雅黑" w:hAnsi="微软雅黑" w:eastAsia="微软雅黑" w:cs="微软雅黑"/>
          <w:color w:val="000000"/>
          <w:highlight w:val="none"/>
        </w:rPr>
        <w:t>须知</w:t>
      </w:r>
      <w:bookmarkEnd w:id="16"/>
      <w:bookmarkEnd w:id="17"/>
      <w:bookmarkEnd w:id="18"/>
    </w:p>
    <w:p w14:paraId="7808ED18">
      <w:pPr>
        <w:pStyle w:val="30"/>
        <w:rPr>
          <w:rFonts w:hint="eastAsia"/>
          <w:color w:val="000000"/>
          <w:highlight w:val="none"/>
        </w:rPr>
      </w:pPr>
    </w:p>
    <w:p w14:paraId="69F5B7E2">
      <w:pPr>
        <w:pStyle w:val="30"/>
        <w:rPr>
          <w:rFonts w:hint="eastAsia"/>
          <w:color w:val="000000"/>
          <w:highlight w:val="none"/>
        </w:rPr>
      </w:pPr>
    </w:p>
    <w:p w14:paraId="189E61D9">
      <w:pPr>
        <w:pStyle w:val="30"/>
        <w:rPr>
          <w:rFonts w:hint="eastAsia"/>
          <w:color w:val="000000"/>
          <w:highlight w:val="none"/>
        </w:rPr>
      </w:pPr>
    </w:p>
    <w:p w14:paraId="13E0DB19">
      <w:pPr>
        <w:pStyle w:val="30"/>
        <w:rPr>
          <w:rFonts w:hint="eastAsia"/>
          <w:color w:val="000000"/>
          <w:highlight w:val="none"/>
        </w:rPr>
      </w:pPr>
    </w:p>
    <w:p w14:paraId="7014139D">
      <w:pPr>
        <w:pStyle w:val="30"/>
        <w:rPr>
          <w:rFonts w:hint="eastAsia"/>
          <w:color w:val="000000"/>
          <w:highlight w:val="none"/>
        </w:rPr>
      </w:pPr>
    </w:p>
    <w:p w14:paraId="7D4DB952">
      <w:pPr>
        <w:pStyle w:val="30"/>
        <w:rPr>
          <w:rFonts w:hint="eastAsia"/>
          <w:color w:val="000000"/>
          <w:highlight w:val="none"/>
        </w:rPr>
      </w:pPr>
    </w:p>
    <w:p w14:paraId="182B1B64">
      <w:pPr>
        <w:pStyle w:val="30"/>
        <w:rPr>
          <w:rFonts w:hint="eastAsia"/>
          <w:color w:val="000000"/>
          <w:highlight w:val="none"/>
        </w:rPr>
      </w:pPr>
    </w:p>
    <w:p w14:paraId="2B1088A4">
      <w:pPr>
        <w:pStyle w:val="30"/>
        <w:rPr>
          <w:rFonts w:hint="eastAsia"/>
          <w:color w:val="000000"/>
          <w:highlight w:val="none"/>
        </w:rPr>
      </w:pPr>
    </w:p>
    <w:p w14:paraId="3F52C508">
      <w:pPr>
        <w:pStyle w:val="30"/>
        <w:rPr>
          <w:rFonts w:hint="eastAsia"/>
          <w:color w:val="000000"/>
          <w:highlight w:val="none"/>
        </w:rPr>
      </w:pPr>
    </w:p>
    <w:p w14:paraId="25589229">
      <w:pPr>
        <w:pStyle w:val="30"/>
        <w:rPr>
          <w:rFonts w:hint="eastAsia"/>
          <w:color w:val="000000"/>
          <w:highlight w:val="none"/>
        </w:rPr>
      </w:pPr>
    </w:p>
    <w:p w14:paraId="7179AE5A">
      <w:pPr>
        <w:pStyle w:val="30"/>
        <w:rPr>
          <w:rFonts w:hint="eastAsia"/>
          <w:color w:val="000000"/>
          <w:highlight w:val="none"/>
        </w:rPr>
      </w:pPr>
    </w:p>
    <w:p w14:paraId="6B0F4147">
      <w:pPr>
        <w:pStyle w:val="30"/>
        <w:rPr>
          <w:rFonts w:hint="eastAsia"/>
          <w:color w:val="000000"/>
          <w:highlight w:val="none"/>
        </w:rPr>
      </w:pPr>
    </w:p>
    <w:p w14:paraId="662325FF">
      <w:pPr>
        <w:pStyle w:val="30"/>
        <w:rPr>
          <w:rFonts w:hint="eastAsia"/>
          <w:color w:val="000000"/>
          <w:highlight w:val="none"/>
        </w:rPr>
      </w:pPr>
    </w:p>
    <w:p w14:paraId="1AEB18A1">
      <w:pPr>
        <w:pStyle w:val="30"/>
        <w:rPr>
          <w:rFonts w:hint="eastAsia"/>
          <w:color w:val="000000"/>
          <w:highlight w:val="none"/>
        </w:rPr>
      </w:pPr>
    </w:p>
    <w:p w14:paraId="4463CA19">
      <w:pPr>
        <w:pStyle w:val="30"/>
        <w:rPr>
          <w:rFonts w:hint="eastAsia"/>
          <w:color w:val="000000"/>
          <w:highlight w:val="none"/>
        </w:rPr>
      </w:pPr>
    </w:p>
    <w:p w14:paraId="1D5640CE">
      <w:pPr>
        <w:pStyle w:val="30"/>
        <w:rPr>
          <w:rFonts w:hint="eastAsia"/>
          <w:color w:val="000000"/>
          <w:highlight w:val="none"/>
        </w:rPr>
      </w:pPr>
    </w:p>
    <w:p w14:paraId="3BA62993">
      <w:pPr>
        <w:pStyle w:val="30"/>
        <w:rPr>
          <w:rFonts w:hint="eastAsia"/>
          <w:color w:val="000000"/>
          <w:highlight w:val="none"/>
        </w:rPr>
      </w:pPr>
    </w:p>
    <w:p w14:paraId="2FDD58ED">
      <w:pPr>
        <w:pStyle w:val="30"/>
        <w:rPr>
          <w:rFonts w:hint="eastAsia"/>
          <w:color w:val="000000"/>
          <w:highlight w:val="none"/>
        </w:rPr>
      </w:pPr>
    </w:p>
    <w:p w14:paraId="7B7C09C4">
      <w:pPr>
        <w:pStyle w:val="30"/>
        <w:rPr>
          <w:rFonts w:hint="eastAsia"/>
          <w:color w:val="000000"/>
          <w:highlight w:val="none"/>
        </w:rPr>
      </w:pPr>
    </w:p>
    <w:p w14:paraId="0B8ED225">
      <w:pPr>
        <w:pStyle w:val="30"/>
        <w:rPr>
          <w:rFonts w:hint="eastAsia"/>
          <w:color w:val="000000"/>
          <w:highlight w:val="none"/>
        </w:rPr>
      </w:pPr>
    </w:p>
    <w:p w14:paraId="0368E220">
      <w:pPr>
        <w:pStyle w:val="30"/>
        <w:rPr>
          <w:rFonts w:hint="eastAsia"/>
          <w:color w:val="000000"/>
          <w:highlight w:val="none"/>
        </w:rPr>
      </w:pPr>
    </w:p>
    <w:p w14:paraId="5959B81F">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sz w:val="36"/>
          <w:szCs w:val="36"/>
          <w:highlight w:val="none"/>
        </w:rPr>
      </w:pPr>
      <w:bookmarkStart w:id="19" w:name="_Toc385940880"/>
      <w:r>
        <w:rPr>
          <w:rFonts w:hint="eastAsia" w:ascii="华文中宋" w:hAnsi="华文中宋" w:eastAsia="华文中宋" w:cs="华文中宋"/>
          <w:b/>
          <w:bCs/>
          <w:color w:val="000000"/>
          <w:sz w:val="36"/>
          <w:szCs w:val="36"/>
          <w:highlight w:val="none"/>
        </w:rPr>
        <w:t>响应须知</w:t>
      </w:r>
    </w:p>
    <w:bookmarkEnd w:id="19"/>
    <w:p w14:paraId="6C8B04B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14:paraId="2934A30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比选文件</w:t>
      </w:r>
      <w:r>
        <w:rPr>
          <w:rFonts w:hint="eastAsia" w:ascii="仿宋" w:hAnsi="仿宋" w:eastAsia="仿宋" w:cs="仿宋"/>
          <w:color w:val="000000"/>
          <w:sz w:val="24"/>
          <w:szCs w:val="24"/>
          <w:highlight w:val="none"/>
        </w:rPr>
        <w:t>中提供的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14:paraId="0E1FBB4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14:paraId="66758202">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14:paraId="608904F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文件正本和副本分开密封装在单独的信封中，每一信封封口处应加盖公章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23"/>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41994D4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2BA62FEF">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14:paraId="28D3F5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lang w:eastAsia="zh-CN"/>
              </w:rPr>
            </w:pPr>
            <w:r>
              <w:rPr>
                <w:rFonts w:hint="eastAsia" w:ascii="仿宋" w:hAnsi="仿宋" w:eastAsia="仿宋" w:cs="仿宋"/>
                <w:bCs/>
                <w:color w:val="000000"/>
                <w:szCs w:val="21"/>
                <w:highlight w:val="none"/>
              </w:rPr>
              <w:t>收件人：中山大学孙逸仙纪念医院</w:t>
            </w:r>
            <w:r>
              <w:rPr>
                <w:rFonts w:hint="eastAsia" w:ascii="仿宋" w:hAnsi="仿宋" w:eastAsia="仿宋" w:cs="仿宋"/>
                <w:bCs/>
                <w:color w:val="000000"/>
                <w:szCs w:val="21"/>
                <w:highlight w:val="none"/>
                <w:lang w:eastAsia="zh-CN"/>
              </w:rPr>
              <w:t>、中山大学附属仁济医院</w:t>
            </w:r>
          </w:p>
          <w:p w14:paraId="7C8C3097">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比选文件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比选邀请</w:t>
            </w:r>
            <w:r>
              <w:rPr>
                <w:rFonts w:hint="eastAsia" w:ascii="仿宋" w:hAnsi="仿宋" w:eastAsia="仿宋" w:cs="仿宋"/>
                <w:bCs/>
                <w:color w:val="000000"/>
                <w:szCs w:val="21"/>
                <w:highlight w:val="none"/>
              </w:rPr>
              <w:t>函”中写明的</w:t>
            </w:r>
            <w:r>
              <w:rPr>
                <w:rFonts w:hint="eastAsia" w:ascii="仿宋" w:hAnsi="仿宋" w:eastAsia="仿宋" w:cs="仿宋"/>
                <w:bCs/>
                <w:color w:val="000000"/>
                <w:szCs w:val="20"/>
                <w:highlight w:val="none"/>
              </w:rPr>
              <w:t>项目名称</w:t>
            </w:r>
          </w:p>
          <w:p w14:paraId="21F294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14:paraId="774389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14:paraId="28C6A1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14:paraId="63071539">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采购比选会议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14:paraId="54EB0D5F">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14:paraId="123545EE">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14:paraId="18ABC365">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14:paraId="1DDA67D1">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14:paraId="48F2D524">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14:paraId="5C2C57C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14:paraId="1B59736F">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14:paraId="23CD05C2">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14:paraId="774C7E2E">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14:paraId="184174CA">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14:paraId="70CA5C74">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比选邀请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14:paraId="065BC49D">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采购比选会议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14:paraId="7874CB47">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14:paraId="4603134D">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14:paraId="7777A2EC">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项目采购</w:t>
      </w:r>
      <w:r>
        <w:rPr>
          <w:rFonts w:hint="eastAsia" w:ascii="仿宋" w:hAnsi="仿宋" w:eastAsia="仿宋" w:cs="仿宋"/>
          <w:b w:val="0"/>
          <w:bCs/>
          <w:color w:val="000000"/>
          <w:sz w:val="24"/>
          <w:szCs w:val="24"/>
          <w:highlight w:val="none"/>
          <w:lang w:val="en-US" w:eastAsia="zh-CN"/>
        </w:rPr>
        <w:t>比选会议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14:paraId="68B12656">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14:paraId="2CAF10D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14:paraId="5E93BE1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kern w:val="2"/>
          <w:sz w:val="24"/>
          <w:szCs w:val="24"/>
          <w:highlight w:val="none"/>
          <w:lang w:val="en-US" w:eastAsia="zh-CN" w:bidi="ar-SA"/>
        </w:rPr>
        <w:t>三、采购比选会议和评审原则</w:t>
      </w:r>
    </w:p>
    <w:p w14:paraId="0ECACE7A">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（一）组织采购比选会议</w:t>
      </w:r>
    </w:p>
    <w:p w14:paraId="43675B6C">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1.报名结束后我院组织采购比选会议。</w:t>
      </w:r>
    </w:p>
    <w:p w14:paraId="7EAAD741">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2.报价一览表内容与响应文件中的明细报价表内容不一致的，以报价一览表为准。</w:t>
      </w:r>
    </w:p>
    <w:p w14:paraId="6F6204A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3根据评审委员会对各响应人响应文件的综合评分情况，编写评审报告。</w:t>
      </w:r>
    </w:p>
    <w:p w14:paraId="3B31A85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（二）评审原则</w:t>
      </w:r>
    </w:p>
    <w:p w14:paraId="7C729B2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1.评审委员会由我院组织的评审专家组成，评审专家从专家库中随机抽取。</w:t>
      </w:r>
    </w:p>
    <w:p w14:paraId="3C58D4B5">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2.本次评审采用综合评分法，</w:t>
      </w:r>
      <w:r>
        <w:rPr>
          <w:rFonts w:hint="eastAsia" w:ascii="仿宋" w:hAnsi="仿宋" w:eastAsia="仿宋" w:cs="仿宋"/>
          <w:b/>
          <w:bCs/>
          <w:color w:val="000000"/>
          <w:sz w:val="24"/>
          <w:szCs w:val="24"/>
          <w:highlight w:val="none"/>
          <w:lang w:val="en-US" w:eastAsia="zh-CN"/>
        </w:rPr>
        <w:t>只接受一次报价</w:t>
      </w:r>
      <w:r>
        <w:rPr>
          <w:rFonts w:hint="eastAsia" w:ascii="仿宋" w:hAnsi="仿宋" w:eastAsia="仿宋" w:cs="仿宋"/>
          <w:color w:val="000000"/>
          <w:sz w:val="24"/>
          <w:szCs w:val="24"/>
          <w:highlight w:val="none"/>
          <w:lang w:val="en-US" w:eastAsia="zh-CN"/>
        </w:rPr>
        <w:t>。</w:t>
      </w:r>
    </w:p>
    <w:p w14:paraId="7FC3763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3.根据《资格审查表》内容逐条对响应文件的资格性进行评审，审查每份响应文件是否满足资格要求。</w:t>
      </w:r>
    </w:p>
    <w:p w14:paraId="013DC7BC">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14:paraId="1A352B08">
      <w:pPr>
        <w:pStyle w:val="31"/>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5.资格审查或符合性审查不通过的均视为无效响应。无效响应不能进入商务、技术及价格评审。</w:t>
      </w:r>
    </w:p>
    <w:p w14:paraId="1D436FF9">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6.评审内容：评审委员会对通过资格审查和符合性审查的响应文件进行商务、技术和价格的评审。</w:t>
      </w:r>
    </w:p>
    <w:p w14:paraId="3C66A0A2">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14:paraId="5EAC63BE">
      <w:pPr>
        <w:pStyle w:val="6"/>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23"/>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08E8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0190B9C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14:paraId="7B5B068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14:paraId="4A4B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14:paraId="1BDD5CE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14:paraId="01B4E99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14:paraId="37D2E04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14:paraId="37E6E8E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14:paraId="3BD8480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14:paraId="273FBB8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④参加本次采购活动前三年内，在经营活动中没有重大违法记录。</w:t>
            </w:r>
          </w:p>
        </w:tc>
      </w:tr>
      <w:tr w14:paraId="62D6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5BB2D5B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14:paraId="2872A54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tcPr>
          <w:p w14:paraId="2BCF95B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highlight w:val="none"/>
                <w:lang w:eastAsia="zh-CN"/>
              </w:rPr>
            </w:pPr>
            <w:r>
              <w:rPr>
                <w:rFonts w:hint="eastAsia" w:ascii="仿宋" w:hAnsi="仿宋" w:eastAsia="仿宋" w:cs="仿宋"/>
                <w:sz w:val="20"/>
                <w:szCs w:val="20"/>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14:paraId="158D6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2C74368B">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tcPr>
          <w:p w14:paraId="1DE2097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14:paraId="6CBF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1C807AD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tcPr>
          <w:p w14:paraId="52C390A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r>
      <w:tr w14:paraId="44E2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4F2343D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tcPr>
          <w:p w14:paraId="029DE6F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14:paraId="6E56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7744A68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tcPr>
          <w:p w14:paraId="602CDF5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14:paraId="12268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14188BA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tcPr>
          <w:p w14:paraId="03BD83C6">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出具加盖公章、有单位负责人（法定代表人）签名的《供应商廉洁守约承诺书》（格式和内容详见第五章，不得擅自删改）</w:t>
            </w:r>
          </w:p>
        </w:tc>
      </w:tr>
      <w:tr w14:paraId="6E9B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5801C49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8</w:t>
            </w:r>
          </w:p>
        </w:tc>
        <w:tc>
          <w:tcPr>
            <w:tcW w:w="8731" w:type="dxa"/>
          </w:tcPr>
          <w:p w14:paraId="57CA345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w:t>
            </w:r>
            <w:r>
              <w:rPr>
                <w:rFonts w:hint="eastAsia" w:ascii="仿宋" w:hAnsi="仿宋" w:eastAsia="仿宋" w:cs="仿宋"/>
                <w:color w:val="000000"/>
                <w:sz w:val="20"/>
                <w:szCs w:val="20"/>
                <w:highlight w:val="none"/>
                <w:lang w:val="zh-CN"/>
              </w:rPr>
              <w:t>须具备生态环境主管部门颁发的在有效期内的《危险废物经营许可证》且核准经营危险废物类别代码需包含本项目全部危险废物（详见</w:t>
            </w:r>
            <w:r>
              <w:rPr>
                <w:rFonts w:hint="eastAsia" w:ascii="仿宋" w:hAnsi="仿宋" w:eastAsia="仿宋" w:cs="仿宋"/>
                <w:color w:val="000000"/>
                <w:sz w:val="20"/>
                <w:szCs w:val="20"/>
                <w:highlight w:val="none"/>
                <w:lang w:val="en-US" w:eastAsia="zh-CN"/>
              </w:rPr>
              <w:t>比选邀请函</w:t>
            </w:r>
            <w:r>
              <w:rPr>
                <w:rFonts w:hint="eastAsia" w:ascii="仿宋" w:hAnsi="仿宋" w:eastAsia="仿宋" w:cs="仿宋"/>
                <w:color w:val="000000"/>
                <w:sz w:val="20"/>
                <w:szCs w:val="20"/>
                <w:highlight w:val="none"/>
                <w:lang w:val="zh-CN"/>
              </w:rPr>
              <w:t>）。(提供有效证书的复印件，加盖公章）</w:t>
            </w:r>
          </w:p>
        </w:tc>
      </w:tr>
      <w:tr w14:paraId="27B7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467349C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9</w:t>
            </w:r>
          </w:p>
        </w:tc>
        <w:tc>
          <w:tcPr>
            <w:tcW w:w="8731" w:type="dxa"/>
          </w:tcPr>
          <w:p w14:paraId="5C5BDAF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如</w:t>
            </w:r>
            <w:r>
              <w:rPr>
                <w:rFonts w:hint="eastAsia" w:ascii="仿宋" w:hAnsi="仿宋" w:eastAsia="仿宋" w:cs="仿宋"/>
                <w:color w:val="000000"/>
                <w:sz w:val="20"/>
                <w:szCs w:val="20"/>
                <w:highlight w:val="none"/>
                <w:lang w:val="en-US" w:eastAsia="zh-CN"/>
              </w:rPr>
              <w:t>响应人</w:t>
            </w:r>
            <w:r>
              <w:rPr>
                <w:rFonts w:hint="eastAsia" w:ascii="仿宋" w:hAnsi="仿宋" w:eastAsia="仿宋" w:cs="仿宋"/>
                <w:color w:val="000000"/>
                <w:sz w:val="20"/>
                <w:szCs w:val="20"/>
                <w:highlight w:val="none"/>
                <w:lang w:val="zh-CN"/>
              </w:rPr>
              <w:t>自身运输</w:t>
            </w:r>
            <w:r>
              <w:rPr>
                <w:rFonts w:hint="eastAsia" w:ascii="仿宋" w:hAnsi="仿宋" w:eastAsia="仿宋" w:cs="仿宋"/>
                <w:color w:val="000000"/>
                <w:sz w:val="20"/>
                <w:szCs w:val="20"/>
                <w:highlight w:val="none"/>
                <w:lang w:val="en-US" w:eastAsia="zh-CN"/>
              </w:rPr>
              <w:t>危险</w:t>
            </w:r>
            <w:r>
              <w:rPr>
                <w:rFonts w:hint="eastAsia" w:ascii="仿宋" w:hAnsi="仿宋" w:eastAsia="仿宋" w:cs="仿宋"/>
                <w:color w:val="000000"/>
                <w:sz w:val="20"/>
                <w:szCs w:val="20"/>
                <w:highlight w:val="none"/>
                <w:lang w:val="zh-CN"/>
              </w:rPr>
              <w:t>废物的，</w:t>
            </w:r>
            <w:r>
              <w:rPr>
                <w:rFonts w:hint="eastAsia" w:ascii="仿宋" w:hAnsi="仿宋" w:eastAsia="仿宋" w:cs="仿宋"/>
                <w:color w:val="000000"/>
                <w:sz w:val="20"/>
                <w:szCs w:val="20"/>
                <w:highlight w:val="none"/>
                <w:lang w:val="en-US" w:eastAsia="zh-CN"/>
              </w:rPr>
              <w:t>响应人</w:t>
            </w:r>
            <w:r>
              <w:rPr>
                <w:rFonts w:hint="eastAsia" w:ascii="仿宋" w:hAnsi="仿宋" w:eastAsia="仿宋" w:cs="仿宋"/>
                <w:color w:val="000000"/>
                <w:sz w:val="20"/>
                <w:szCs w:val="20"/>
                <w:highlight w:val="none"/>
                <w:lang w:val="zh-CN"/>
              </w:rPr>
              <w:t>须具备交通管理部门颁发的且在有效期内的《道路运输经营许可证》(经营范围包含危险货物运输)或《道路危险货物运输许可证》。若</w:t>
            </w:r>
            <w:r>
              <w:rPr>
                <w:rFonts w:hint="eastAsia" w:ascii="仿宋" w:hAnsi="仿宋" w:eastAsia="仿宋" w:cs="仿宋"/>
                <w:color w:val="000000"/>
                <w:sz w:val="20"/>
                <w:szCs w:val="20"/>
                <w:highlight w:val="none"/>
                <w:lang w:val="en-US" w:eastAsia="zh-CN"/>
              </w:rPr>
              <w:t>响应人</w:t>
            </w:r>
            <w:r>
              <w:rPr>
                <w:rFonts w:hint="eastAsia" w:ascii="仿宋" w:hAnsi="仿宋" w:eastAsia="仿宋" w:cs="仿宋"/>
                <w:color w:val="000000"/>
                <w:sz w:val="20"/>
                <w:szCs w:val="20"/>
                <w:highlight w:val="none"/>
                <w:lang w:val="zh-CN"/>
              </w:rPr>
              <w:t>有合作运输单位的，须提供</w:t>
            </w:r>
            <w:r>
              <w:rPr>
                <w:rFonts w:hint="eastAsia" w:ascii="仿宋" w:hAnsi="仿宋" w:eastAsia="仿宋" w:cs="仿宋"/>
                <w:color w:val="000000"/>
                <w:sz w:val="20"/>
                <w:szCs w:val="20"/>
                <w:highlight w:val="none"/>
                <w:lang w:val="en-US" w:eastAsia="zh-CN"/>
              </w:rPr>
              <w:t>响应人</w:t>
            </w:r>
            <w:r>
              <w:rPr>
                <w:rFonts w:hint="eastAsia" w:ascii="仿宋" w:hAnsi="仿宋" w:eastAsia="仿宋" w:cs="仿宋"/>
                <w:color w:val="000000"/>
                <w:sz w:val="20"/>
                <w:szCs w:val="20"/>
                <w:highlight w:val="none"/>
                <w:lang w:val="zh-CN"/>
              </w:rPr>
              <w:t>与其合作运输单位的合作协议，以及合作运输单位在有效期内的《道路运输经营许可证》(经营范围包含危险货物运输)或《道路危险货物运输许可证》，上述证明材料复印件须加盖公章。</w:t>
            </w:r>
          </w:p>
        </w:tc>
      </w:tr>
      <w:tr w14:paraId="73741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0BF29F8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10</w:t>
            </w:r>
          </w:p>
        </w:tc>
        <w:tc>
          <w:tcPr>
            <w:tcW w:w="8731" w:type="dxa"/>
          </w:tcPr>
          <w:p w14:paraId="5FF971EA">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bl>
    <w:p w14:paraId="67D505F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资格审查第7条所要求的《供应商廉洁守约承诺书》，响应人除了在响应文件中装订成册，须在递交响应文件时另外提供一份盖章签字版的承诺书。若未另行单独提供，可能影响对响应文件的评价，但不作为一票否决的条款。</w:t>
      </w:r>
    </w:p>
    <w:p w14:paraId="018F489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14:paraId="777D061F">
      <w:pPr>
        <w:pStyle w:val="20"/>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23"/>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14:paraId="0D18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5DDA1198">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14:paraId="6E06390F">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14:paraId="15F6E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95592C9">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14:paraId="4ABCBCBE">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tcPr>
          <w:p w14:paraId="5CE066C9">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2AC8BAF6">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①响应报价未超过本项目最高限价，且单项报价也未超过单价的最高限价</w:t>
            </w:r>
            <w:r>
              <w:rPr>
                <w:rFonts w:hint="eastAsia" w:ascii="仿宋" w:hAnsi="仿宋" w:eastAsia="仿宋" w:cs="仿宋"/>
                <w:sz w:val="20"/>
                <w:szCs w:val="20"/>
                <w:highlight w:val="none"/>
                <w:lang w:eastAsia="zh-CN"/>
              </w:rPr>
              <w:t>。</w:t>
            </w:r>
          </w:p>
          <w:p w14:paraId="682019D5">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2B7823FA">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服务</w:t>
            </w:r>
            <w:r>
              <w:rPr>
                <w:rFonts w:hint="eastAsia" w:ascii="仿宋" w:hAnsi="仿宋" w:eastAsia="仿宋" w:cs="仿宋"/>
                <w:sz w:val="20"/>
                <w:szCs w:val="20"/>
                <w:highlight w:val="none"/>
              </w:rPr>
              <w:t>质量的书面说明等相关证明材料的。</w:t>
            </w:r>
          </w:p>
          <w:p w14:paraId="370DA4D2">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7C3884E6">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highlight w:val="none"/>
              </w:rPr>
              <w:t>⑤响应报价均应包含国家规定的税费。</w:t>
            </w:r>
          </w:p>
        </w:tc>
      </w:tr>
      <w:tr w14:paraId="63D0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67C8F107">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tcPr>
          <w:p w14:paraId="44F82D7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14:paraId="586FF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18E412CE">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tcPr>
          <w:p w14:paraId="1C119242">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14:paraId="11C9E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3DC4138">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14:paraId="1E0D8BAA">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tcPr>
          <w:p w14:paraId="6DB3163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r>
      <w:tr w14:paraId="48FB6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CEB5F72">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tcPr>
          <w:p w14:paraId="05E590BE">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r>
      <w:tr w14:paraId="7E86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BA20434">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tcPr>
          <w:p w14:paraId="3CDF8707">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14:paraId="43E687AC">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14:paraId="69D3631D">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（1）评分总值最高为100分，商务、技术及最终报价得分分值（权重）设置如下：</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14:paraId="7A335D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14:paraId="1DF4186E">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154BA545">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评分（42</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77BA019C">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技术</w:t>
            </w:r>
            <w:r>
              <w:rPr>
                <w:rFonts w:hint="eastAsia" w:ascii="仿宋" w:hAnsi="仿宋" w:eastAsia="仿宋" w:cs="仿宋"/>
                <w:b/>
                <w:bCs w:val="0"/>
                <w:color w:val="000000"/>
                <w:spacing w:val="-4"/>
                <w:kern w:val="2"/>
                <w:sz w:val="24"/>
                <w:szCs w:val="24"/>
                <w:highlight w:val="none"/>
                <w:lang w:val="en-US" w:eastAsia="zh-CN"/>
              </w:rPr>
              <w:t>评分（28</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14:paraId="6F5DE05C">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spacing w:val="-4"/>
                <w:kern w:val="2"/>
                <w:sz w:val="24"/>
                <w:szCs w:val="24"/>
                <w:highlight w:val="none"/>
                <w:lang w:val="en-US" w:eastAsia="zh-CN"/>
              </w:rPr>
              <w:t>价格得分（30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14:paraId="7C7EEDB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14:paraId="779EE90D">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3B4CCC37">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42分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7287A4D6">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28分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14:paraId="26502EF1">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30分</w:t>
            </w:r>
          </w:p>
        </w:tc>
      </w:tr>
    </w:tbl>
    <w:p w14:paraId="51CB172F">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14:paraId="5DAB1630">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仿宋" w:hAnsi="仿宋" w:eastAsia="仿宋" w:cs="仿宋"/>
          <w:b/>
          <w:bCs w:val="0"/>
          <w:color w:val="000000"/>
          <w:kern w:val="1"/>
          <w:sz w:val="28"/>
          <w:szCs w:val="28"/>
          <w:highlight w:val="none"/>
          <w:lang w:val="en-US" w:eastAsia="zh-CN"/>
        </w:rPr>
      </w:pPr>
      <w:r>
        <w:rPr>
          <w:rFonts w:hint="eastAsia" w:ascii="仿宋" w:hAnsi="仿宋" w:eastAsia="仿宋" w:cs="仿宋"/>
          <w:b/>
          <w:bCs w:val="0"/>
          <w:color w:val="000000"/>
          <w:kern w:val="1"/>
          <w:sz w:val="28"/>
          <w:szCs w:val="28"/>
          <w:highlight w:val="none"/>
          <w:lang w:val="en-US" w:eastAsia="zh-CN"/>
        </w:rPr>
        <w:t>商务评审表（42分）</w:t>
      </w:r>
    </w:p>
    <w:tbl>
      <w:tblPr>
        <w:tblStyle w:val="23"/>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682"/>
        <w:gridCol w:w="825"/>
        <w:gridCol w:w="7061"/>
      </w:tblGrid>
      <w:tr w14:paraId="7B1B0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682" w:type="dxa"/>
            <w:shd w:val="clear" w:color="auto" w:fill="auto"/>
            <w:vAlign w:val="center"/>
          </w:tcPr>
          <w:p w14:paraId="370EEE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评审指标</w:t>
            </w:r>
          </w:p>
        </w:tc>
        <w:tc>
          <w:tcPr>
            <w:tcW w:w="825" w:type="dxa"/>
            <w:shd w:val="clear" w:color="auto" w:fill="auto"/>
            <w:vAlign w:val="center"/>
          </w:tcPr>
          <w:p w14:paraId="78A9E4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分值</w:t>
            </w:r>
          </w:p>
        </w:tc>
        <w:tc>
          <w:tcPr>
            <w:tcW w:w="7061" w:type="dxa"/>
            <w:shd w:val="clear" w:color="auto" w:fill="auto"/>
            <w:vAlign w:val="center"/>
          </w:tcPr>
          <w:p w14:paraId="79CEF3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评审细则</w:t>
            </w:r>
          </w:p>
        </w:tc>
      </w:tr>
      <w:tr w14:paraId="13CF0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 w:hRule="atLeast"/>
          <w:jc w:val="center"/>
        </w:trPr>
        <w:tc>
          <w:tcPr>
            <w:tcW w:w="1682" w:type="dxa"/>
            <w:shd w:val="clear" w:color="auto" w:fill="auto"/>
            <w:vAlign w:val="center"/>
          </w:tcPr>
          <w:p w14:paraId="5AA5491A">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管理体系认证</w:t>
            </w:r>
          </w:p>
        </w:tc>
        <w:tc>
          <w:tcPr>
            <w:tcW w:w="825" w:type="dxa"/>
            <w:shd w:val="clear" w:color="auto" w:fill="auto"/>
            <w:vAlign w:val="center"/>
          </w:tcPr>
          <w:p w14:paraId="6813B7D5">
            <w:pPr>
              <w:keepNext w:val="0"/>
              <w:keepLines w:val="0"/>
              <w:widowControl/>
              <w:suppressLineNumbers w:val="0"/>
              <w:snapToGrid w:val="0"/>
              <w:spacing w:before="0" w:beforeAutospacing="0" w:after="0" w:afterAutospacing="0" w:line="240" w:lineRule="exact"/>
              <w:ind w:left="0" w:leftChars="0" w:right="-34" w:right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3</w:t>
            </w:r>
          </w:p>
        </w:tc>
        <w:tc>
          <w:tcPr>
            <w:tcW w:w="7061" w:type="dxa"/>
            <w:shd w:val="clear" w:color="auto" w:fill="auto"/>
            <w:vAlign w:val="center"/>
          </w:tcPr>
          <w:p w14:paraId="764E3494">
            <w:pPr>
              <w:keepNext w:val="0"/>
              <w:keepLines w:val="0"/>
              <w:widowControl/>
              <w:suppressLineNumbers w:val="0"/>
              <w:autoSpaceDE w:val="0"/>
              <w:autoSpaceDN/>
              <w:adjustRightInd w:val="0"/>
              <w:snapToGrid w:val="0"/>
              <w:spacing w:before="0" w:beforeAutospacing="0" w:after="0" w:afterAutospacing="0" w:line="240" w:lineRule="auto"/>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响应人具有以下证书的：</w:t>
            </w:r>
          </w:p>
          <w:p w14:paraId="44205071">
            <w:pPr>
              <w:keepNext w:val="0"/>
              <w:keepLines w:val="0"/>
              <w:widowControl/>
              <w:suppressLineNumbers w:val="0"/>
              <w:autoSpaceDE w:val="0"/>
              <w:autoSpaceDN/>
              <w:adjustRightInd w:val="0"/>
              <w:snapToGrid w:val="0"/>
              <w:spacing w:before="0" w:beforeAutospacing="0" w:after="0" w:afterAutospacing="0" w:line="240" w:lineRule="auto"/>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（1）质量管理体系认证证书，得1分；</w:t>
            </w:r>
          </w:p>
          <w:p w14:paraId="2EE88908">
            <w:pPr>
              <w:keepNext w:val="0"/>
              <w:keepLines w:val="0"/>
              <w:widowControl/>
              <w:suppressLineNumbers w:val="0"/>
              <w:autoSpaceDE w:val="0"/>
              <w:autoSpaceDN/>
              <w:adjustRightInd w:val="0"/>
              <w:snapToGrid w:val="0"/>
              <w:spacing w:before="0" w:beforeAutospacing="0" w:after="0" w:afterAutospacing="0" w:line="240" w:lineRule="auto"/>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（2）环境管理体系认证证书，得1分；</w:t>
            </w:r>
          </w:p>
          <w:p w14:paraId="04547A28">
            <w:pPr>
              <w:pStyle w:val="7"/>
              <w:keepNext w:val="0"/>
              <w:keepLines w:val="0"/>
              <w:suppressLineNumbers w:val="0"/>
              <w:spacing w:before="0" w:beforeAutospacing="0" w:after="0" w:afterAutospacing="0" w:line="240" w:lineRule="auto"/>
              <w:ind w:left="0" w:right="0"/>
              <w:rPr>
                <w:rFonts w:hint="eastAsia" w:ascii="仿宋" w:hAnsi="仿宋" w:eastAsia="仿宋" w:cs="仿宋"/>
                <w:sz w:val="20"/>
                <w:szCs w:val="20"/>
                <w:lang w:val="en-US" w:eastAsia="zh-CN"/>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（3）职业健康安全管理体系认证证书，得1分。</w:t>
            </w:r>
          </w:p>
          <w:p w14:paraId="5F7F6796">
            <w:pPr>
              <w:keepNext w:val="0"/>
              <w:keepLines w:val="0"/>
              <w:widowControl/>
              <w:suppressLineNumbers w:val="0"/>
              <w:autoSpaceDE w:val="0"/>
              <w:autoSpaceDN/>
              <w:adjustRightInd w:val="0"/>
              <w:snapToGrid w:val="0"/>
              <w:spacing w:before="0" w:beforeAutospacing="0" w:after="0" w:afterAutospacing="0" w:line="240" w:lineRule="auto"/>
              <w:ind w:left="0" w:leftChars="0" w:right="0" w:rightChars="0"/>
              <w:jc w:val="both"/>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注：提供有效期内的证书复印件，加盖响应人公章，未提供不得分。</w:t>
            </w:r>
          </w:p>
        </w:tc>
      </w:tr>
      <w:tr w14:paraId="2DBDA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 w:hRule="atLeast"/>
          <w:jc w:val="center"/>
        </w:trPr>
        <w:tc>
          <w:tcPr>
            <w:tcW w:w="1682" w:type="dxa"/>
            <w:shd w:val="clear" w:color="auto" w:fill="auto"/>
            <w:vAlign w:val="center"/>
          </w:tcPr>
          <w:p w14:paraId="1A397173">
            <w:pPr>
              <w:pStyle w:val="6"/>
              <w:keepNext w:val="0"/>
              <w:keepLines w:val="0"/>
              <w:suppressLineNumbers w:val="0"/>
              <w:spacing w:before="0" w:beforeAutospacing="0" w:after="0" w:afterAutospacing="0"/>
              <w:ind w:left="0" w:right="0" w:firstLine="0" w:firstLineChars="0"/>
              <w:jc w:val="center"/>
              <w:rPr>
                <w:rFonts w:hint="eastAsia" w:ascii="仿宋" w:hAnsi="仿宋" w:eastAsia="仿宋" w:cs="仿宋"/>
                <w:color w:val="000000"/>
                <w:kern w:val="2"/>
                <w:sz w:val="20"/>
                <w:szCs w:val="20"/>
                <w:highlight w:val="none"/>
                <w:lang w:val="en-US" w:eastAsia="zh-CN" w:bidi="ar-SA"/>
              </w:rPr>
            </w:pPr>
            <w:r>
              <w:rPr>
                <w:rFonts w:hint="eastAsia" w:ascii="仿宋" w:hAnsi="仿宋" w:eastAsia="仿宋" w:cs="仿宋"/>
                <w:color w:val="000000"/>
                <w:sz w:val="20"/>
                <w:szCs w:val="20"/>
              </w:rPr>
              <w:t>经验业绩</w:t>
            </w:r>
          </w:p>
        </w:tc>
        <w:tc>
          <w:tcPr>
            <w:tcW w:w="825" w:type="dxa"/>
            <w:shd w:val="clear" w:color="auto" w:fill="auto"/>
            <w:vAlign w:val="center"/>
          </w:tcPr>
          <w:p w14:paraId="1A496D5E">
            <w:pPr>
              <w:pStyle w:val="6"/>
              <w:keepNext w:val="0"/>
              <w:keepLines w:val="0"/>
              <w:suppressLineNumbers w:val="0"/>
              <w:spacing w:before="0" w:beforeAutospacing="0" w:after="0" w:afterAutospacing="0"/>
              <w:ind w:left="0" w:right="0" w:firstLine="0" w:firstLineChars="0"/>
              <w:jc w:val="center"/>
              <w:rPr>
                <w:rFonts w:hint="default" w:ascii="仿宋" w:hAnsi="仿宋" w:eastAsia="仿宋" w:cs="仿宋"/>
                <w:color w:val="000000"/>
                <w:kern w:val="2"/>
                <w:sz w:val="20"/>
                <w:szCs w:val="20"/>
                <w:highlight w:val="none"/>
                <w:lang w:val="en-US" w:eastAsia="zh-CN"/>
              </w:rPr>
            </w:pPr>
            <w:r>
              <w:rPr>
                <w:rFonts w:hint="eastAsia" w:ascii="仿宋" w:hAnsi="仿宋" w:eastAsia="仿宋" w:cs="仿宋"/>
                <w:bCs/>
                <w:color w:val="000000"/>
                <w:sz w:val="20"/>
                <w:szCs w:val="20"/>
                <w:lang w:val="en-US" w:eastAsia="zh-CN"/>
              </w:rPr>
              <w:t>16</w:t>
            </w:r>
          </w:p>
        </w:tc>
        <w:tc>
          <w:tcPr>
            <w:tcW w:w="7061" w:type="dxa"/>
            <w:shd w:val="clear" w:color="auto" w:fill="auto"/>
            <w:vAlign w:val="center"/>
          </w:tcPr>
          <w:p w14:paraId="4E2764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Cs/>
                <w:color w:val="000000"/>
                <w:sz w:val="20"/>
                <w:szCs w:val="20"/>
              </w:rPr>
            </w:pPr>
            <w:r>
              <w:rPr>
                <w:rFonts w:hint="eastAsia" w:ascii="仿宋" w:hAnsi="仿宋" w:eastAsia="仿宋" w:cs="仿宋"/>
                <w:bCs/>
                <w:color w:val="000000"/>
                <w:sz w:val="20"/>
                <w:szCs w:val="20"/>
              </w:rPr>
              <w:t>根据响应人自20</w:t>
            </w:r>
            <w:r>
              <w:rPr>
                <w:rFonts w:hint="eastAsia" w:ascii="仿宋" w:hAnsi="仿宋" w:eastAsia="仿宋" w:cs="仿宋"/>
                <w:bCs/>
                <w:color w:val="000000"/>
                <w:sz w:val="20"/>
                <w:szCs w:val="20"/>
                <w:lang w:val="en-US" w:eastAsia="zh-CN"/>
              </w:rPr>
              <w:t>21</w:t>
            </w:r>
            <w:r>
              <w:rPr>
                <w:rFonts w:hint="eastAsia" w:ascii="仿宋" w:hAnsi="仿宋" w:eastAsia="仿宋" w:cs="仿宋"/>
                <w:bCs/>
                <w:color w:val="000000"/>
                <w:sz w:val="20"/>
                <w:szCs w:val="20"/>
              </w:rPr>
              <w:t>年1月1日（以合同签订时间为准）以来，完成同类项目业绩（危险废物收运、处理服务）进行评分，每提供一个业绩得</w:t>
            </w:r>
            <w:r>
              <w:rPr>
                <w:rFonts w:hint="eastAsia" w:ascii="仿宋" w:hAnsi="仿宋" w:eastAsia="仿宋" w:cs="仿宋"/>
                <w:bCs/>
                <w:color w:val="000000"/>
                <w:sz w:val="20"/>
                <w:szCs w:val="20"/>
                <w:lang w:val="en-US" w:eastAsia="zh-CN"/>
              </w:rPr>
              <w:t>2</w:t>
            </w:r>
            <w:r>
              <w:rPr>
                <w:rFonts w:hint="eastAsia" w:ascii="仿宋" w:hAnsi="仿宋" w:eastAsia="仿宋" w:cs="仿宋"/>
                <w:bCs/>
                <w:color w:val="000000"/>
                <w:sz w:val="20"/>
                <w:szCs w:val="20"/>
              </w:rPr>
              <w:t>分，本项最高得</w:t>
            </w:r>
            <w:r>
              <w:rPr>
                <w:rFonts w:hint="eastAsia" w:ascii="仿宋" w:hAnsi="仿宋" w:eastAsia="仿宋" w:cs="仿宋"/>
                <w:bCs/>
                <w:color w:val="000000"/>
                <w:sz w:val="20"/>
                <w:szCs w:val="20"/>
                <w:lang w:val="en-US" w:eastAsia="zh-CN"/>
              </w:rPr>
              <w:t>16</w:t>
            </w:r>
            <w:r>
              <w:rPr>
                <w:rFonts w:hint="eastAsia" w:ascii="仿宋" w:hAnsi="仿宋" w:eastAsia="仿宋" w:cs="仿宋"/>
                <w:bCs/>
                <w:color w:val="000000"/>
                <w:sz w:val="20"/>
                <w:szCs w:val="20"/>
              </w:rPr>
              <w:t>分。</w:t>
            </w:r>
          </w:p>
          <w:p w14:paraId="62616E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bCs/>
                <w:color w:val="000000"/>
                <w:sz w:val="20"/>
                <w:szCs w:val="20"/>
              </w:rPr>
              <w:t>注：</w:t>
            </w:r>
            <w:r>
              <w:rPr>
                <w:rFonts w:hint="eastAsia" w:ascii="仿宋" w:hAnsi="仿宋" w:eastAsia="仿宋" w:cs="仿宋"/>
                <w:sz w:val="20"/>
                <w:szCs w:val="20"/>
                <w:highlight w:val="none"/>
              </w:rPr>
              <w:t>须提供加盖响应人公章的业绩</w:t>
            </w:r>
            <w:r>
              <w:rPr>
                <w:rFonts w:hint="eastAsia" w:ascii="仿宋" w:hAnsi="仿宋" w:eastAsia="仿宋" w:cs="仿宋"/>
                <w:bCs/>
                <w:color w:val="000000"/>
                <w:sz w:val="20"/>
                <w:szCs w:val="20"/>
              </w:rPr>
              <w:t>合同</w:t>
            </w:r>
            <w:r>
              <w:rPr>
                <w:rFonts w:hint="eastAsia" w:ascii="仿宋" w:hAnsi="仿宋" w:eastAsia="仿宋" w:cs="仿宋"/>
                <w:sz w:val="20"/>
                <w:szCs w:val="20"/>
                <w:highlight w:val="none"/>
              </w:rPr>
              <w:t>复印件（关键页内容必须清晰阐明项目名称、合同金额页、合同履行主要内容）</w:t>
            </w:r>
            <w:r>
              <w:rPr>
                <w:rFonts w:hint="eastAsia" w:ascii="仿宋" w:hAnsi="仿宋" w:eastAsia="仿宋" w:cs="仿宋"/>
                <w:bCs/>
                <w:color w:val="000000"/>
                <w:sz w:val="20"/>
                <w:szCs w:val="20"/>
              </w:rPr>
              <w:t>。</w:t>
            </w:r>
            <w:r>
              <w:rPr>
                <w:rFonts w:hint="eastAsia" w:ascii="仿宋" w:hAnsi="仿宋" w:eastAsia="仿宋" w:cs="仿宋"/>
                <w:sz w:val="20"/>
                <w:szCs w:val="20"/>
                <w:highlight w:val="none"/>
              </w:rPr>
              <w:t>业绩合同主体不得为外包、转包或联合体。公章或合同章上的供应商名称与响应人名称不一致的视为无效，如响应人变更过名称，需提供有关部门证明。未按要求提供的不得分</w:t>
            </w:r>
            <w:r>
              <w:rPr>
                <w:rFonts w:hint="eastAsia" w:ascii="仿宋" w:hAnsi="仿宋" w:eastAsia="仿宋" w:cs="仿宋"/>
                <w:sz w:val="20"/>
                <w:szCs w:val="20"/>
                <w:highlight w:val="none"/>
                <w:lang w:eastAsia="zh-CN"/>
              </w:rPr>
              <w:t>。</w:t>
            </w:r>
            <w:r>
              <w:rPr>
                <w:rFonts w:hint="eastAsia" w:ascii="仿宋" w:hAnsi="仿宋" w:eastAsia="仿宋" w:cs="仿宋"/>
                <w:b/>
                <w:color w:val="000000"/>
                <w:sz w:val="20"/>
                <w:szCs w:val="20"/>
              </w:rPr>
              <w:t>同一客户单位不重复计分。</w:t>
            </w:r>
          </w:p>
        </w:tc>
      </w:tr>
      <w:tr w14:paraId="01CAF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6" w:hRule="atLeast"/>
          <w:jc w:val="center"/>
        </w:trPr>
        <w:tc>
          <w:tcPr>
            <w:tcW w:w="1682" w:type="dxa"/>
            <w:shd w:val="clear" w:color="auto" w:fill="auto"/>
            <w:vAlign w:val="center"/>
          </w:tcPr>
          <w:p w14:paraId="6C6B67A0">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危险废物运输车辆</w:t>
            </w:r>
          </w:p>
        </w:tc>
        <w:tc>
          <w:tcPr>
            <w:tcW w:w="825" w:type="dxa"/>
            <w:shd w:val="clear" w:color="auto" w:fill="auto"/>
            <w:vAlign w:val="center"/>
          </w:tcPr>
          <w:p w14:paraId="0C40EF12">
            <w:pPr>
              <w:keepNext w:val="0"/>
              <w:keepLines w:val="0"/>
              <w:widowControl/>
              <w:suppressLineNumbers w:val="0"/>
              <w:snapToGrid w:val="0"/>
              <w:spacing w:before="0" w:beforeAutospacing="0" w:after="0" w:afterAutospacing="0" w:line="240" w:lineRule="exact"/>
              <w:ind w:left="0" w:leftChars="0" w:right="-34" w:rightChars="0"/>
              <w:jc w:val="center"/>
              <w:rPr>
                <w:rFonts w:hint="eastAsia" w:ascii="仿宋" w:hAnsi="仿宋" w:eastAsia="仿宋" w:cs="仿宋"/>
                <w:sz w:val="20"/>
                <w:szCs w:val="20"/>
                <w:lang w:val="en-US" w:eastAsia="zh-CN"/>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6</w:t>
            </w:r>
          </w:p>
        </w:tc>
        <w:tc>
          <w:tcPr>
            <w:tcW w:w="7061" w:type="dxa"/>
            <w:shd w:val="clear" w:color="auto" w:fill="auto"/>
            <w:vAlign w:val="center"/>
          </w:tcPr>
          <w:p w14:paraId="3AF09ADC">
            <w:pPr>
              <w:pStyle w:val="30"/>
              <w:keepNext w:val="0"/>
              <w:keepLines w:val="0"/>
              <w:suppressLineNumbers w:val="0"/>
              <w:spacing w:before="0" w:beforeAutospacing="0" w:after="0" w:afterAutospacing="0"/>
              <w:ind w:left="0" w:leftChars="0" w:right="0" w:firstLine="0" w:firstLineChars="0"/>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根据响应人现有可用于危险废物运输的专用车辆数量评分，提供以下资料之一（二选一）：</w:t>
            </w:r>
          </w:p>
          <w:p w14:paraId="51D72F82">
            <w:pPr>
              <w:pStyle w:val="30"/>
              <w:keepNext w:val="0"/>
              <w:keepLines w:val="0"/>
              <w:suppressLineNumbers w:val="0"/>
              <w:spacing w:before="0" w:beforeAutospacing="0" w:after="0" w:afterAutospacing="0"/>
              <w:ind w:left="0" w:leftChars="0" w:right="0" w:firstLine="0" w:firstLineChars="0"/>
              <w:rPr>
                <w:rFonts w:hint="eastAsia" w:ascii="仿宋" w:hAnsi="仿宋" w:eastAsia="仿宋" w:cs="仿宋"/>
                <w:color w:val="auto"/>
                <w:kern w:val="2"/>
                <w:sz w:val="20"/>
                <w:szCs w:val="20"/>
                <w:highlight w:val="none"/>
                <w:lang w:val="en-US" w:eastAsia="zh-CN" w:bidi="ar"/>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（1）</w:t>
            </w:r>
            <w:r>
              <w:rPr>
                <w:rFonts w:hint="eastAsia" w:ascii="仿宋" w:hAnsi="仿宋" w:eastAsia="仿宋" w:cs="仿宋"/>
                <w:color w:val="auto"/>
                <w:kern w:val="2"/>
                <w:sz w:val="20"/>
                <w:szCs w:val="20"/>
                <w:highlight w:val="none"/>
                <w:lang w:val="en-US" w:eastAsia="zh-CN" w:bidi="ar"/>
              </w:rPr>
              <w:t>响应人自有运输车辆：提供危险废物运输车辆的《中华人民共和国道路运输证》(业户名称应为响应人的，经营范围包含危险货物运输)或《道路危险货物运输许可证》复印件；</w:t>
            </w:r>
          </w:p>
          <w:p w14:paraId="6EF3BDC9">
            <w:pPr>
              <w:pStyle w:val="30"/>
              <w:keepNext w:val="0"/>
              <w:keepLines w:val="0"/>
              <w:suppressLineNumbers w:val="0"/>
              <w:spacing w:before="0" w:beforeAutospacing="0" w:after="0" w:afterAutospacing="0"/>
              <w:ind w:left="0" w:leftChars="0" w:right="0" w:firstLine="0" w:firstLineChars="0"/>
              <w:rPr>
                <w:rFonts w:hint="eastAsia" w:ascii="仿宋" w:hAnsi="仿宋" w:eastAsia="仿宋" w:cs="仿宋"/>
                <w:color w:val="auto"/>
                <w:kern w:val="2"/>
                <w:sz w:val="20"/>
                <w:szCs w:val="20"/>
                <w:highlight w:val="none"/>
                <w:lang w:val="en-US" w:eastAsia="zh-CN" w:bidi="ar"/>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（2）</w:t>
            </w:r>
            <w:r>
              <w:rPr>
                <w:rFonts w:hint="eastAsia" w:ascii="仿宋" w:hAnsi="仿宋" w:eastAsia="仿宋" w:cs="仿宋"/>
                <w:color w:val="auto"/>
                <w:kern w:val="2"/>
                <w:sz w:val="20"/>
                <w:szCs w:val="20"/>
                <w:highlight w:val="none"/>
                <w:lang w:val="en-US" w:eastAsia="zh-CN" w:bidi="ar"/>
              </w:rPr>
              <w:t>响应人租赁运输车辆：提供危险废物运输车辆的《中华人民共和国道路运输证》(经营范围包含危险货物运输)或《道路危险货物运输许可证》复印件和有效期内的车辆租赁合同复印件。</w:t>
            </w:r>
          </w:p>
          <w:p w14:paraId="0BACD9F6">
            <w:pPr>
              <w:pStyle w:val="30"/>
              <w:keepNext w:val="0"/>
              <w:keepLines w:val="0"/>
              <w:suppressLineNumbers w:val="0"/>
              <w:spacing w:before="0" w:beforeAutospacing="0" w:after="0" w:afterAutospacing="0"/>
              <w:ind w:left="0" w:leftChars="0" w:right="0" w:rightChars="0" w:firstLine="0" w:firstLineChars="0"/>
              <w:rPr>
                <w:rFonts w:hint="eastAsia" w:ascii="仿宋" w:hAnsi="仿宋" w:eastAsia="仿宋" w:cs="仿宋"/>
                <w:color w:val="000000"/>
                <w:sz w:val="20"/>
                <w:szCs w:val="20"/>
              </w:rPr>
            </w:pPr>
            <w:r>
              <w:rPr>
                <w:rFonts w:hint="eastAsia" w:ascii="仿宋" w:hAnsi="仿宋" w:eastAsia="仿宋" w:cs="仿宋"/>
                <w:color w:val="auto"/>
                <w:kern w:val="2"/>
                <w:sz w:val="20"/>
                <w:szCs w:val="20"/>
                <w:highlight w:val="none"/>
                <w:lang w:val="en-US" w:eastAsia="zh-CN" w:bidi="ar"/>
              </w:rPr>
              <w:t>符合以上要求的运输车辆每台得2分，最多6分，不满足要求的不予认定给分。</w:t>
            </w:r>
          </w:p>
        </w:tc>
      </w:tr>
      <w:tr w14:paraId="3F7B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6" w:hRule="atLeast"/>
          <w:jc w:val="center"/>
        </w:trPr>
        <w:tc>
          <w:tcPr>
            <w:tcW w:w="1682" w:type="dxa"/>
            <w:shd w:val="clear" w:color="auto" w:fill="auto"/>
            <w:vAlign w:val="center"/>
          </w:tcPr>
          <w:p w14:paraId="57BF8C23">
            <w:pPr>
              <w:keepNext w:val="0"/>
              <w:keepLines w:val="0"/>
              <w:widowControl/>
              <w:suppressLineNumbers w:val="0"/>
              <w:snapToGrid w:val="0"/>
              <w:spacing w:before="0" w:beforeAutospacing="0" w:after="0" w:afterAutospacing="0" w:line="240" w:lineRule="exact"/>
              <w:ind w:left="0" w:leftChars="0" w:right="0" w:rightChars="0"/>
              <w:jc w:val="center"/>
              <w:rPr>
                <w:rFonts w:hint="default"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拟投入本项目人员情况</w:t>
            </w:r>
          </w:p>
        </w:tc>
        <w:tc>
          <w:tcPr>
            <w:tcW w:w="825" w:type="dxa"/>
            <w:shd w:val="clear" w:color="auto" w:fill="auto"/>
            <w:vAlign w:val="top"/>
          </w:tcPr>
          <w:p w14:paraId="615F3E26">
            <w:pPr>
              <w:keepNext w:val="0"/>
              <w:keepLines w:val="0"/>
              <w:suppressLineNumbers w:val="0"/>
              <w:spacing w:before="69" w:beforeAutospacing="0" w:after="0" w:afterAutospacing="0" w:line="182" w:lineRule="auto"/>
              <w:ind w:left="0" w:right="0"/>
              <w:jc w:val="center"/>
              <w:rPr>
                <w:rFonts w:hint="eastAsia" w:ascii="仿宋" w:hAnsi="仿宋" w:eastAsia="仿宋" w:cs="仿宋"/>
                <w:sz w:val="20"/>
                <w:szCs w:val="20"/>
                <w:lang w:val="en-US" w:eastAsia="zh-CN"/>
              </w:rPr>
            </w:pPr>
          </w:p>
          <w:p w14:paraId="6929CCCB">
            <w:pPr>
              <w:keepNext w:val="0"/>
              <w:keepLines w:val="0"/>
              <w:suppressLineNumbers w:val="0"/>
              <w:spacing w:before="69" w:beforeAutospacing="0" w:after="0" w:afterAutospacing="0" w:line="182" w:lineRule="auto"/>
              <w:ind w:left="0" w:right="0"/>
              <w:jc w:val="center"/>
              <w:rPr>
                <w:rFonts w:hint="eastAsia" w:ascii="仿宋" w:hAnsi="仿宋" w:eastAsia="仿宋" w:cs="仿宋"/>
                <w:sz w:val="20"/>
                <w:szCs w:val="20"/>
                <w:lang w:val="en-US" w:eastAsia="zh-CN"/>
              </w:rPr>
            </w:pPr>
          </w:p>
          <w:p w14:paraId="18576EF8">
            <w:pPr>
              <w:keepNext w:val="0"/>
              <w:keepLines w:val="0"/>
              <w:suppressLineNumbers w:val="0"/>
              <w:spacing w:before="69" w:beforeAutospacing="0" w:after="0" w:afterAutospacing="0" w:line="182" w:lineRule="auto"/>
              <w:ind w:left="0" w:right="0"/>
              <w:jc w:val="center"/>
              <w:rPr>
                <w:rFonts w:hint="eastAsia" w:ascii="仿宋" w:hAnsi="仿宋" w:eastAsia="仿宋" w:cs="仿宋"/>
                <w:sz w:val="20"/>
                <w:szCs w:val="20"/>
                <w:lang w:val="en-US" w:eastAsia="zh-CN"/>
              </w:rPr>
            </w:pPr>
          </w:p>
          <w:p w14:paraId="6D835617">
            <w:pPr>
              <w:keepNext w:val="0"/>
              <w:keepLines w:val="0"/>
              <w:suppressLineNumbers w:val="0"/>
              <w:spacing w:before="69" w:beforeAutospacing="0" w:after="0" w:afterAutospacing="0" w:line="182" w:lineRule="auto"/>
              <w:ind w:left="0" w:right="0"/>
              <w:jc w:val="center"/>
              <w:rPr>
                <w:rFonts w:hint="eastAsia" w:ascii="仿宋" w:hAnsi="仿宋" w:eastAsia="仿宋" w:cs="仿宋"/>
                <w:sz w:val="20"/>
                <w:szCs w:val="20"/>
                <w:lang w:val="en-US" w:eastAsia="zh-CN"/>
              </w:rPr>
            </w:pPr>
          </w:p>
          <w:p w14:paraId="36C60090">
            <w:pPr>
              <w:keepNext w:val="0"/>
              <w:keepLines w:val="0"/>
              <w:suppressLineNumbers w:val="0"/>
              <w:spacing w:before="69" w:beforeAutospacing="0" w:after="0" w:afterAutospacing="0" w:line="182" w:lineRule="auto"/>
              <w:ind w:left="0" w:right="0"/>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11</w:t>
            </w:r>
          </w:p>
        </w:tc>
        <w:tc>
          <w:tcPr>
            <w:tcW w:w="7061" w:type="dxa"/>
            <w:shd w:val="clear" w:color="auto" w:fill="auto"/>
            <w:vAlign w:val="top"/>
          </w:tcPr>
          <w:p w14:paraId="5EF9113B">
            <w:pPr>
              <w:keepNext w:val="0"/>
              <w:keepLines w:val="0"/>
              <w:suppressLineNumbers w:val="0"/>
              <w:adjustRightInd w:val="0"/>
              <w:snapToGrid w:val="0"/>
              <w:spacing w:before="1" w:beforeAutospacing="0" w:after="0" w:afterAutospacing="0" w:line="240" w:lineRule="auto"/>
              <w:ind w:left="25" w:leftChars="0" w:right="22" w:rightChars="0" w:firstLine="1" w:firstLineChars="0"/>
              <w:rPr>
                <w:rFonts w:hint="eastAsia" w:ascii="仿宋" w:hAnsi="仿宋" w:eastAsia="仿宋" w:cs="仿宋"/>
                <w:color w:val="000000"/>
                <w:sz w:val="20"/>
                <w:szCs w:val="20"/>
              </w:rPr>
            </w:pPr>
            <w:r>
              <w:rPr>
                <w:rFonts w:hint="eastAsia" w:ascii="仿宋" w:hAnsi="仿宋" w:eastAsia="仿宋" w:cs="仿宋"/>
                <w:color w:val="000000"/>
                <w:sz w:val="20"/>
                <w:szCs w:val="20"/>
              </w:rPr>
              <w:t>根据拟投入的项目团队</w:t>
            </w:r>
            <w:r>
              <w:rPr>
                <w:rFonts w:hint="eastAsia" w:ascii="仿宋" w:hAnsi="仿宋" w:eastAsia="仿宋" w:cs="仿宋"/>
                <w:color w:val="000000"/>
                <w:sz w:val="20"/>
                <w:szCs w:val="20"/>
                <w:lang w:val="en-US" w:eastAsia="zh-CN"/>
              </w:rPr>
              <w:t>资质</w:t>
            </w:r>
            <w:r>
              <w:rPr>
                <w:rFonts w:hint="eastAsia" w:ascii="仿宋" w:hAnsi="仿宋" w:eastAsia="仿宋" w:cs="仿宋"/>
                <w:color w:val="000000"/>
                <w:sz w:val="20"/>
                <w:szCs w:val="20"/>
              </w:rPr>
              <w:t>进行评审,其中：</w:t>
            </w:r>
          </w:p>
          <w:p w14:paraId="4F9D235A">
            <w:pPr>
              <w:keepNext w:val="0"/>
              <w:keepLines w:val="0"/>
              <w:suppressLineNumbers w:val="0"/>
              <w:adjustRightInd w:val="0"/>
              <w:snapToGrid w:val="0"/>
              <w:spacing w:before="1" w:beforeAutospacing="0" w:after="0" w:afterAutospacing="0" w:line="240" w:lineRule="auto"/>
              <w:ind w:left="25" w:leftChars="0" w:right="22" w:rightChars="0" w:firstLine="1" w:firstLineChars="0"/>
              <w:rPr>
                <w:rFonts w:hint="eastAsia" w:ascii="仿宋" w:hAnsi="仿宋" w:eastAsia="仿宋" w:cs="仿宋"/>
                <w:color w:val="000000"/>
                <w:sz w:val="20"/>
                <w:szCs w:val="20"/>
              </w:rPr>
            </w:pPr>
            <w:r>
              <w:rPr>
                <w:rFonts w:hint="eastAsia" w:ascii="仿宋" w:hAnsi="仿宋" w:eastAsia="仿宋" w:cs="仿宋"/>
                <w:color w:val="000000"/>
                <w:sz w:val="20"/>
                <w:szCs w:val="20"/>
              </w:rPr>
              <w:t>1</w:t>
            </w:r>
            <w:r>
              <w:rPr>
                <w:rFonts w:hint="eastAsia" w:ascii="仿宋" w:hAnsi="仿宋" w:eastAsia="仿宋" w:cs="仿宋"/>
                <w:color w:val="000000"/>
                <w:sz w:val="20"/>
                <w:szCs w:val="20"/>
                <w:lang w:val="en-US" w:eastAsia="zh-CN"/>
              </w:rPr>
              <w:t>.</w:t>
            </w:r>
            <w:r>
              <w:rPr>
                <w:rFonts w:hint="eastAsia" w:ascii="仿宋" w:hAnsi="仿宋" w:eastAsia="仿宋" w:cs="仿宋"/>
                <w:color w:val="000000"/>
                <w:sz w:val="20"/>
                <w:szCs w:val="20"/>
              </w:rPr>
              <w:t>项目负责人资质</w:t>
            </w:r>
          </w:p>
          <w:p w14:paraId="5126B8CB">
            <w:pPr>
              <w:keepNext w:val="0"/>
              <w:keepLines w:val="0"/>
              <w:suppressLineNumbers w:val="0"/>
              <w:adjustRightInd w:val="0"/>
              <w:snapToGrid w:val="0"/>
              <w:spacing w:before="1" w:beforeAutospacing="0" w:after="0" w:afterAutospacing="0" w:line="240" w:lineRule="auto"/>
              <w:ind w:left="25" w:leftChars="0" w:right="22" w:rightChars="0" w:firstLine="1" w:firstLineChars="0"/>
              <w:rPr>
                <w:rFonts w:hint="eastAsia" w:ascii="仿宋" w:hAnsi="仿宋" w:eastAsia="仿宋" w:cs="仿宋"/>
                <w:color w:val="000000"/>
                <w:sz w:val="20"/>
                <w:szCs w:val="20"/>
                <w:lang w:eastAsia="zh-CN"/>
              </w:rPr>
            </w:pPr>
            <w:r>
              <w:rPr>
                <w:rFonts w:hint="eastAsia" w:ascii="仿宋" w:hAnsi="仿宋" w:eastAsia="仿宋" w:cs="仿宋"/>
                <w:color w:val="000000"/>
                <w:sz w:val="20"/>
                <w:szCs w:val="20"/>
              </w:rPr>
              <w:t>具备环保相关专业中级及以上职称，得</w:t>
            </w:r>
            <w:r>
              <w:rPr>
                <w:rFonts w:hint="eastAsia" w:ascii="仿宋" w:hAnsi="仿宋" w:eastAsia="仿宋" w:cs="仿宋"/>
                <w:color w:val="000000"/>
                <w:sz w:val="20"/>
                <w:szCs w:val="20"/>
                <w:lang w:val="en-US" w:eastAsia="zh-CN"/>
              </w:rPr>
              <w:t>3</w:t>
            </w:r>
            <w:r>
              <w:rPr>
                <w:rFonts w:hint="eastAsia" w:ascii="仿宋" w:hAnsi="仿宋" w:eastAsia="仿宋" w:cs="仿宋"/>
                <w:color w:val="000000"/>
                <w:sz w:val="20"/>
                <w:szCs w:val="20"/>
              </w:rPr>
              <w:t>分</w:t>
            </w:r>
            <w:r>
              <w:rPr>
                <w:rFonts w:hint="eastAsia" w:ascii="仿宋" w:hAnsi="仿宋" w:eastAsia="仿宋" w:cs="仿宋"/>
                <w:color w:val="000000"/>
                <w:sz w:val="20"/>
                <w:szCs w:val="20"/>
                <w:lang w:eastAsia="zh-CN"/>
              </w:rPr>
              <w:t>。</w:t>
            </w:r>
          </w:p>
          <w:p w14:paraId="13C3AC5F">
            <w:pPr>
              <w:keepNext w:val="0"/>
              <w:keepLines w:val="0"/>
              <w:suppressLineNumbers w:val="0"/>
              <w:adjustRightInd w:val="0"/>
              <w:snapToGrid w:val="0"/>
              <w:spacing w:before="1" w:beforeAutospacing="0" w:after="0" w:afterAutospacing="0" w:line="240" w:lineRule="auto"/>
              <w:ind w:left="25" w:leftChars="0" w:right="22" w:rightChars="0" w:firstLine="1" w:firstLineChars="0"/>
              <w:rPr>
                <w:rFonts w:hint="eastAsia" w:ascii="仿宋" w:hAnsi="仿宋" w:eastAsia="仿宋" w:cs="仿宋"/>
                <w:color w:val="000000"/>
                <w:sz w:val="20"/>
                <w:szCs w:val="20"/>
              </w:rPr>
            </w:pPr>
            <w:r>
              <w:rPr>
                <w:rFonts w:hint="eastAsia" w:ascii="仿宋" w:hAnsi="仿宋" w:eastAsia="仿宋" w:cs="仿宋"/>
                <w:color w:val="000000"/>
                <w:sz w:val="20"/>
                <w:szCs w:val="20"/>
              </w:rPr>
              <w:t>最高得</w:t>
            </w:r>
            <w:r>
              <w:rPr>
                <w:rFonts w:hint="eastAsia" w:ascii="仿宋" w:hAnsi="仿宋" w:eastAsia="仿宋" w:cs="仿宋"/>
                <w:color w:val="000000"/>
                <w:sz w:val="20"/>
                <w:szCs w:val="20"/>
                <w:lang w:val="en-US" w:eastAsia="zh-CN"/>
              </w:rPr>
              <w:t>3</w:t>
            </w:r>
            <w:r>
              <w:rPr>
                <w:rFonts w:hint="eastAsia" w:ascii="仿宋" w:hAnsi="仿宋" w:eastAsia="仿宋" w:cs="仿宋"/>
                <w:color w:val="000000"/>
                <w:sz w:val="20"/>
                <w:szCs w:val="20"/>
              </w:rPr>
              <w:t>分。</w:t>
            </w:r>
          </w:p>
          <w:p w14:paraId="5767DEA3">
            <w:pPr>
              <w:keepNext w:val="0"/>
              <w:keepLines w:val="0"/>
              <w:suppressLineNumbers w:val="0"/>
              <w:adjustRightInd w:val="0"/>
              <w:snapToGrid w:val="0"/>
              <w:spacing w:before="1" w:beforeAutospacing="0" w:after="0" w:afterAutospacing="0" w:line="240" w:lineRule="auto"/>
              <w:ind w:left="25" w:leftChars="0" w:right="22" w:rightChars="0" w:firstLine="1" w:firstLineChars="0"/>
              <w:rPr>
                <w:rFonts w:hint="eastAsia" w:ascii="仿宋" w:hAnsi="仿宋" w:eastAsia="仿宋" w:cs="仿宋"/>
                <w:color w:val="000000"/>
                <w:sz w:val="20"/>
                <w:szCs w:val="20"/>
                <w:lang w:eastAsia="zh-CN"/>
              </w:rPr>
            </w:pPr>
            <w:r>
              <w:rPr>
                <w:rFonts w:hint="eastAsia" w:ascii="仿宋" w:hAnsi="仿宋" w:eastAsia="仿宋" w:cs="仿宋"/>
                <w:color w:val="000000"/>
                <w:sz w:val="20"/>
                <w:szCs w:val="20"/>
              </w:rPr>
              <w:t>2</w:t>
            </w:r>
            <w:r>
              <w:rPr>
                <w:rFonts w:hint="eastAsia" w:ascii="仿宋" w:hAnsi="仿宋" w:eastAsia="仿宋" w:cs="仿宋"/>
                <w:color w:val="000000"/>
                <w:sz w:val="20"/>
                <w:szCs w:val="20"/>
                <w:lang w:val="en-US" w:eastAsia="zh-CN"/>
              </w:rPr>
              <w:t>.</w:t>
            </w:r>
            <w:r>
              <w:rPr>
                <w:rFonts w:hint="eastAsia" w:ascii="仿宋" w:hAnsi="仿宋" w:eastAsia="仿宋" w:cs="仿宋"/>
                <w:color w:val="000000"/>
                <w:sz w:val="20"/>
                <w:szCs w:val="20"/>
              </w:rPr>
              <w:t>项目团队人员配置</w:t>
            </w:r>
            <w:r>
              <w:rPr>
                <w:rFonts w:hint="eastAsia" w:ascii="仿宋" w:hAnsi="仿宋" w:eastAsia="仿宋" w:cs="仿宋"/>
                <w:color w:val="000000"/>
                <w:sz w:val="20"/>
                <w:szCs w:val="20"/>
                <w:lang w:eastAsia="zh-CN"/>
              </w:rPr>
              <w:t>（</w:t>
            </w:r>
            <w:r>
              <w:rPr>
                <w:rFonts w:hint="eastAsia" w:ascii="仿宋" w:hAnsi="仿宋" w:eastAsia="仿宋" w:cs="仿宋"/>
                <w:color w:val="000000"/>
                <w:sz w:val="20"/>
                <w:szCs w:val="20"/>
                <w:lang w:val="en-US" w:eastAsia="zh-CN"/>
              </w:rPr>
              <w:t>除项目负责人外</w:t>
            </w:r>
            <w:r>
              <w:rPr>
                <w:rFonts w:hint="eastAsia" w:ascii="仿宋" w:hAnsi="仿宋" w:eastAsia="仿宋" w:cs="仿宋"/>
                <w:color w:val="000000"/>
                <w:sz w:val="20"/>
                <w:szCs w:val="20"/>
                <w:lang w:eastAsia="zh-CN"/>
              </w:rPr>
              <w:t>）</w:t>
            </w:r>
          </w:p>
          <w:p w14:paraId="673A93FB">
            <w:pPr>
              <w:keepNext w:val="0"/>
              <w:keepLines w:val="0"/>
              <w:suppressLineNumbers w:val="0"/>
              <w:adjustRightInd w:val="0"/>
              <w:snapToGrid w:val="0"/>
              <w:spacing w:before="1" w:beforeAutospacing="0" w:after="0" w:afterAutospacing="0" w:line="240" w:lineRule="auto"/>
              <w:ind w:left="25" w:leftChars="0" w:right="22" w:rightChars="0" w:firstLine="1" w:firstLineChars="0"/>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为本项目配置运输人员至少1人，在符合此要求下：每增加1名运输人员投入到本项目的，得2分，本项最高得4分。不提供或仅提供1名运输人员资料的，则本项不得分。</w:t>
            </w:r>
          </w:p>
          <w:p w14:paraId="20A06FBF">
            <w:pPr>
              <w:keepNext w:val="0"/>
              <w:keepLines w:val="0"/>
              <w:suppressLineNumbers w:val="0"/>
              <w:adjustRightInd w:val="0"/>
              <w:snapToGrid w:val="0"/>
              <w:spacing w:before="1" w:beforeAutospacing="0" w:after="0" w:afterAutospacing="0" w:line="240" w:lineRule="auto"/>
              <w:ind w:left="25" w:leftChars="0" w:right="22" w:rightChars="0" w:firstLine="1" w:firstLineChars="0"/>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为本项目配置押运人员至少1人，在符合此要求下：每增加1名押运人员投入到本项目的，得2分，本项最高得4分。不提供或仅提供1名押运人员资料的，则本项不得分。</w:t>
            </w:r>
          </w:p>
          <w:p w14:paraId="60A0CF52">
            <w:pPr>
              <w:keepNext w:val="0"/>
              <w:keepLines w:val="0"/>
              <w:suppressLineNumbers w:val="0"/>
              <w:adjustRightInd w:val="0"/>
              <w:snapToGrid w:val="0"/>
              <w:spacing w:before="1" w:beforeAutospacing="0" w:after="0" w:afterAutospacing="0" w:line="240" w:lineRule="auto"/>
              <w:ind w:left="25" w:leftChars="0" w:right="22" w:rightChars="0" w:firstLine="1" w:firstLineChars="0"/>
              <w:rPr>
                <w:rFonts w:hint="eastAsia" w:ascii="仿宋" w:hAnsi="仿宋" w:eastAsia="仿宋" w:cs="仿宋"/>
                <w:color w:val="000000"/>
                <w:sz w:val="20"/>
                <w:szCs w:val="20"/>
              </w:rPr>
            </w:pPr>
            <w:r>
              <w:rPr>
                <w:rFonts w:hint="eastAsia" w:ascii="仿宋" w:hAnsi="仿宋" w:eastAsia="仿宋" w:cs="仿宋"/>
                <w:color w:val="000000"/>
                <w:sz w:val="20"/>
                <w:szCs w:val="20"/>
              </w:rPr>
              <w:t>注：</w:t>
            </w:r>
            <w:r>
              <w:rPr>
                <w:rFonts w:hint="eastAsia" w:ascii="仿宋" w:hAnsi="仿宋" w:eastAsia="仿宋" w:cs="仿宋"/>
                <w:sz w:val="20"/>
                <w:szCs w:val="20"/>
                <w:highlight w:val="none"/>
                <w:lang w:val="en-US" w:eastAsia="zh-CN"/>
              </w:rPr>
              <w:t>须提供以上相关人员有效期内的资格证书复印件（其中，运输人员提供有效期内的危险品准驾证，押运员提供有效期内的危险品押运证）及2024年1月以来任意一个月的响应人为其缴纳的社保证明材料复印件，缺一不可。</w:t>
            </w:r>
          </w:p>
        </w:tc>
      </w:tr>
      <w:tr w14:paraId="3A510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6" w:hRule="atLeast"/>
          <w:jc w:val="center"/>
        </w:trPr>
        <w:tc>
          <w:tcPr>
            <w:tcW w:w="1682" w:type="dxa"/>
            <w:shd w:val="clear" w:color="auto" w:fill="auto"/>
            <w:vAlign w:val="center"/>
          </w:tcPr>
          <w:p w14:paraId="7FA2429A">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信息化水平评价</w:t>
            </w:r>
          </w:p>
        </w:tc>
        <w:tc>
          <w:tcPr>
            <w:tcW w:w="825" w:type="dxa"/>
            <w:shd w:val="clear" w:color="auto" w:fill="auto"/>
            <w:vAlign w:val="top"/>
          </w:tcPr>
          <w:p w14:paraId="62FE9EA3">
            <w:pPr>
              <w:pStyle w:val="8"/>
              <w:keepNext w:val="0"/>
              <w:keepLines w:val="0"/>
              <w:suppressLineNumbers w:val="0"/>
              <w:spacing w:before="0" w:beforeAutospacing="0" w:after="0" w:afterAutospacing="0"/>
              <w:ind w:left="0" w:right="0"/>
              <w:jc w:val="center"/>
              <w:rPr>
                <w:rFonts w:hint="eastAsia" w:ascii="仿宋" w:hAnsi="仿宋" w:eastAsia="仿宋" w:cs="仿宋"/>
                <w:sz w:val="20"/>
                <w:szCs w:val="20"/>
                <w:lang w:val="en-US" w:eastAsia="zh-CN"/>
              </w:rPr>
            </w:pPr>
          </w:p>
          <w:p w14:paraId="4E6AC51B">
            <w:pPr>
              <w:pStyle w:val="8"/>
              <w:keepNext w:val="0"/>
              <w:keepLines w:val="0"/>
              <w:suppressLineNumbers w:val="0"/>
              <w:spacing w:before="0" w:beforeAutospacing="0" w:after="0" w:afterAutospacing="0"/>
              <w:ind w:left="0" w:right="0"/>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6</w:t>
            </w:r>
          </w:p>
        </w:tc>
        <w:tc>
          <w:tcPr>
            <w:tcW w:w="7061" w:type="dxa"/>
            <w:shd w:val="clear" w:color="auto" w:fill="auto"/>
            <w:vAlign w:val="top"/>
          </w:tcPr>
          <w:p w14:paraId="50803304">
            <w:pPr>
              <w:keepNext w:val="0"/>
              <w:keepLines w:val="0"/>
              <w:suppressLineNumbers w:val="0"/>
              <w:adjustRightInd w:val="0"/>
              <w:snapToGrid w:val="0"/>
              <w:spacing w:before="1" w:beforeAutospacing="0" w:after="0" w:afterAutospacing="0" w:line="240" w:lineRule="auto"/>
              <w:ind w:left="25" w:leftChars="0" w:right="22" w:rightChars="0" w:firstLine="1" w:firstLineChars="0"/>
              <w:rPr>
                <w:rFonts w:hint="eastAsia" w:ascii="仿宋" w:hAnsi="仿宋" w:eastAsia="仿宋" w:cs="仿宋"/>
                <w:spacing w:val="-4"/>
                <w:sz w:val="20"/>
                <w:szCs w:val="20"/>
              </w:rPr>
            </w:pPr>
            <w:r>
              <w:rPr>
                <w:rFonts w:hint="eastAsia" w:ascii="仿宋" w:hAnsi="仿宋" w:eastAsia="仿宋" w:cs="仿宋"/>
                <w:bCs/>
                <w:color w:val="000000"/>
                <w:sz w:val="20"/>
                <w:szCs w:val="20"/>
              </w:rPr>
              <w:t>响应人</w:t>
            </w:r>
            <w:r>
              <w:rPr>
                <w:rFonts w:hint="eastAsia" w:ascii="仿宋" w:hAnsi="仿宋" w:eastAsia="仿宋" w:cs="仿宋"/>
                <w:color w:val="000000"/>
                <w:sz w:val="20"/>
                <w:szCs w:val="20"/>
                <w:lang w:eastAsia="zh-CN"/>
              </w:rPr>
              <w:t>具有危险废物智能收集管理、贮存管理、运输管理等与本项目相关的系统软件著作权登记证书或者软著使用权证明材料，有1项得2分，最多得</w:t>
            </w:r>
            <w:r>
              <w:rPr>
                <w:rFonts w:hint="eastAsia" w:ascii="仿宋" w:hAnsi="仿宋" w:eastAsia="仿宋" w:cs="仿宋"/>
                <w:color w:val="000000"/>
                <w:sz w:val="20"/>
                <w:szCs w:val="20"/>
                <w:lang w:val="en-US" w:eastAsia="zh-CN"/>
              </w:rPr>
              <w:t>6</w:t>
            </w:r>
            <w:r>
              <w:rPr>
                <w:rFonts w:hint="eastAsia" w:ascii="仿宋" w:hAnsi="仿宋" w:eastAsia="仿宋" w:cs="仿宋"/>
                <w:color w:val="000000"/>
                <w:sz w:val="20"/>
                <w:szCs w:val="20"/>
                <w:lang w:eastAsia="zh-CN"/>
              </w:rPr>
              <w:t>分。</w:t>
            </w:r>
            <w:r>
              <w:rPr>
                <w:rFonts w:hint="eastAsia" w:ascii="仿宋" w:hAnsi="仿宋" w:eastAsia="仿宋" w:cs="仿宋"/>
                <w:color w:val="000000"/>
                <w:sz w:val="20"/>
                <w:szCs w:val="20"/>
              </w:rPr>
              <w:t>注：提供有效内的证书复印件，并加盖公章，未提供不得分。</w:t>
            </w:r>
          </w:p>
        </w:tc>
      </w:tr>
    </w:tbl>
    <w:p w14:paraId="1028AB6C">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360" w:lineRule="exact"/>
        <w:ind w:leftChars="200" w:right="0" w:rightChars="0"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（3）技术评分：评审小组就各响应人对技术评审内容的各项要求进行评分，评审的具体内容见《技术评审表》。</w:t>
      </w:r>
    </w:p>
    <w:p w14:paraId="3DF3466C">
      <w:pPr>
        <w:keepNext w:val="0"/>
        <w:keepLines w:val="0"/>
        <w:widowControl w:val="0"/>
        <w:suppressLineNumbers w:val="0"/>
        <w:spacing w:before="0" w:beforeAutospacing="0" w:after="0" w:afterAutospacing="0"/>
        <w:ind w:left="0" w:right="0" w:firstLine="562"/>
        <w:jc w:val="center"/>
        <w:rPr>
          <w:rFonts w:hint="eastAsia" w:ascii="仿宋" w:hAnsi="仿宋" w:eastAsia="仿宋" w:cs="仿宋"/>
          <w:b/>
          <w:bCs/>
          <w:color w:val="000000"/>
          <w:kern w:val="2"/>
          <w:sz w:val="28"/>
          <w:szCs w:val="28"/>
          <w:highlight w:val="none"/>
          <w:lang w:val="en-US" w:eastAsia="zh-CN"/>
        </w:rPr>
      </w:pPr>
      <w:r>
        <w:rPr>
          <w:rFonts w:hint="eastAsia" w:ascii="仿宋" w:hAnsi="仿宋" w:eastAsia="仿宋" w:cs="仿宋"/>
          <w:b/>
          <w:bCs/>
          <w:color w:val="000000"/>
          <w:kern w:val="2"/>
          <w:sz w:val="28"/>
          <w:szCs w:val="28"/>
          <w:highlight w:val="none"/>
          <w:lang w:val="en-US" w:eastAsia="zh-CN"/>
        </w:rPr>
        <w:t>技术评审表（28分）</w:t>
      </w:r>
    </w:p>
    <w:tbl>
      <w:tblPr>
        <w:tblStyle w:val="23"/>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39"/>
        <w:gridCol w:w="707"/>
        <w:gridCol w:w="7017"/>
      </w:tblGrid>
      <w:tr w14:paraId="06E18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17ECDB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评审指标</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72680C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分值</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2E8A66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评审细则</w:t>
            </w:r>
          </w:p>
        </w:tc>
      </w:tr>
      <w:tr w14:paraId="586B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2682F0F9">
            <w:pPr>
              <w:keepNext w:val="0"/>
              <w:keepLines w:val="0"/>
              <w:widowControl/>
              <w:suppressLineNumbers w:val="0"/>
              <w:spacing w:before="0" w:beforeAutospacing="0" w:after="0" w:afterAutospacing="0"/>
              <w:ind w:left="0" w:right="0"/>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危险废物处置方案</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28AF7D7D">
            <w:pPr>
              <w:pStyle w:val="6"/>
              <w:keepNext w:val="0"/>
              <w:keepLines w:val="0"/>
              <w:suppressLineNumbers w:val="0"/>
              <w:spacing w:before="0" w:beforeAutospacing="0" w:after="0" w:afterAutospacing="0"/>
              <w:ind w:left="0" w:right="0" w:firstLine="0" w:firstLineChars="0"/>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14</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0E262A25">
            <w:pPr>
              <w:pStyle w:val="6"/>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000000"/>
                <w:szCs w:val="21"/>
              </w:rPr>
            </w:pPr>
            <w:r>
              <w:rPr>
                <w:rFonts w:hint="eastAsia" w:ascii="仿宋" w:hAnsi="仿宋" w:eastAsia="仿宋" w:cs="仿宋"/>
                <w:color w:val="000000"/>
                <w:szCs w:val="21"/>
              </w:rPr>
              <w:t>根据</w:t>
            </w:r>
            <w:r>
              <w:rPr>
                <w:rFonts w:hint="eastAsia" w:ascii="仿宋" w:hAnsi="仿宋" w:eastAsia="仿宋" w:cs="仿宋"/>
                <w:color w:val="000000"/>
                <w:szCs w:val="21"/>
                <w:lang w:val="en-US" w:eastAsia="zh-CN"/>
              </w:rPr>
              <w:t>响应</w:t>
            </w:r>
            <w:r>
              <w:rPr>
                <w:rFonts w:hint="eastAsia" w:ascii="仿宋" w:hAnsi="仿宋" w:eastAsia="仿宋" w:cs="仿宋"/>
                <w:color w:val="000000"/>
                <w:szCs w:val="21"/>
              </w:rPr>
              <w:t>人针对本项目特点提供的危险废物处置方案进行评审，包括以下方面：</w:t>
            </w:r>
          </w:p>
          <w:p w14:paraId="306C430E">
            <w:pPr>
              <w:pStyle w:val="6"/>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000000"/>
                <w:szCs w:val="21"/>
                <w:lang w:eastAsia="zh-CN"/>
              </w:rPr>
            </w:pPr>
            <w:r>
              <w:rPr>
                <w:rFonts w:hint="eastAsia" w:ascii="仿宋" w:hAnsi="仿宋" w:eastAsia="仿宋" w:cs="仿宋"/>
                <w:color w:val="000000"/>
                <w:szCs w:val="21"/>
              </w:rPr>
              <w:t>①危险废物</w:t>
            </w:r>
            <w:r>
              <w:rPr>
                <w:rFonts w:hint="eastAsia" w:ascii="仿宋" w:hAnsi="仿宋" w:eastAsia="仿宋" w:cs="仿宋"/>
                <w:color w:val="000000"/>
                <w:szCs w:val="21"/>
                <w:lang w:val="en-US" w:eastAsia="zh-CN"/>
              </w:rPr>
              <w:t>清运处置</w:t>
            </w:r>
            <w:r>
              <w:rPr>
                <w:rFonts w:hint="eastAsia" w:ascii="仿宋" w:hAnsi="仿宋" w:eastAsia="仿宋" w:cs="仿宋"/>
                <w:color w:val="000000"/>
                <w:szCs w:val="21"/>
              </w:rPr>
              <w:t>主要管理制度</w:t>
            </w:r>
            <w:r>
              <w:rPr>
                <w:rFonts w:hint="eastAsia" w:ascii="仿宋" w:hAnsi="仿宋" w:eastAsia="仿宋" w:cs="仿宋"/>
                <w:color w:val="000000"/>
                <w:szCs w:val="21"/>
                <w:lang w:eastAsia="zh-CN"/>
              </w:rPr>
              <w:t>；</w:t>
            </w:r>
          </w:p>
          <w:p w14:paraId="2F00D174">
            <w:pPr>
              <w:pStyle w:val="6"/>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000000"/>
                <w:szCs w:val="21"/>
                <w:lang w:eastAsia="zh-CN"/>
              </w:rPr>
            </w:pPr>
            <w:r>
              <w:rPr>
                <w:rFonts w:hint="eastAsia" w:ascii="仿宋" w:hAnsi="仿宋" w:eastAsia="仿宋" w:cs="仿宋"/>
                <w:color w:val="000000"/>
                <w:szCs w:val="21"/>
              </w:rPr>
              <w:t>②危险废物处置工艺</w:t>
            </w:r>
            <w:r>
              <w:rPr>
                <w:rFonts w:hint="eastAsia" w:ascii="仿宋" w:hAnsi="仿宋" w:eastAsia="仿宋" w:cs="仿宋"/>
                <w:color w:val="000000"/>
                <w:szCs w:val="21"/>
                <w:lang w:eastAsia="zh-CN"/>
              </w:rPr>
              <w:t>；</w:t>
            </w:r>
          </w:p>
          <w:p w14:paraId="266512E2">
            <w:pPr>
              <w:pStyle w:val="6"/>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000000"/>
                <w:szCs w:val="21"/>
                <w:lang w:eastAsia="zh-CN"/>
              </w:rPr>
            </w:pPr>
            <w:r>
              <w:rPr>
                <w:rFonts w:hint="eastAsia" w:ascii="仿宋" w:hAnsi="仿宋" w:eastAsia="仿宋" w:cs="仿宋"/>
                <w:color w:val="000000"/>
                <w:szCs w:val="21"/>
              </w:rPr>
              <w:t>③项目处置质量管理措施</w:t>
            </w:r>
            <w:r>
              <w:rPr>
                <w:rFonts w:hint="eastAsia" w:ascii="仿宋" w:hAnsi="仿宋" w:eastAsia="仿宋" w:cs="仿宋"/>
                <w:color w:val="000000"/>
                <w:szCs w:val="21"/>
                <w:lang w:eastAsia="zh-CN"/>
              </w:rPr>
              <w:t>；</w:t>
            </w:r>
          </w:p>
          <w:p w14:paraId="46F0A0CE">
            <w:pPr>
              <w:pStyle w:val="6"/>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000000"/>
                <w:szCs w:val="21"/>
                <w:lang w:eastAsia="zh-CN"/>
              </w:rPr>
            </w:pPr>
            <w:r>
              <w:rPr>
                <w:rFonts w:hint="eastAsia" w:ascii="仿宋" w:hAnsi="仿宋" w:eastAsia="仿宋" w:cs="仿宋"/>
                <w:color w:val="000000"/>
                <w:szCs w:val="21"/>
              </w:rPr>
              <w:t>④项目处置安全文明措施</w:t>
            </w:r>
            <w:r>
              <w:rPr>
                <w:rFonts w:hint="eastAsia" w:ascii="仿宋" w:hAnsi="仿宋" w:eastAsia="仿宋" w:cs="仿宋"/>
                <w:color w:val="000000"/>
                <w:szCs w:val="21"/>
                <w:lang w:eastAsia="zh-CN"/>
              </w:rPr>
              <w:t>。</w:t>
            </w:r>
          </w:p>
          <w:p w14:paraId="7F11BB0F">
            <w:pPr>
              <w:pStyle w:val="6"/>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000000"/>
                <w:szCs w:val="21"/>
              </w:rPr>
            </w:pPr>
            <w:r>
              <w:rPr>
                <w:rFonts w:hint="eastAsia" w:ascii="仿宋" w:hAnsi="仿宋" w:eastAsia="仿宋" w:cs="仿宋"/>
                <w:color w:val="000000"/>
                <w:szCs w:val="21"/>
              </w:rPr>
              <w:t>每提供1项内容且详细、具体，能满足本项目提出的所有要求，有具体可行的、规范的措施，操作性强，能有效保证项目质量，完全满足采购需求的，每项得</w:t>
            </w:r>
            <w:r>
              <w:rPr>
                <w:rFonts w:hint="eastAsia" w:ascii="仿宋" w:hAnsi="仿宋" w:eastAsia="仿宋" w:cs="仿宋"/>
                <w:color w:val="000000"/>
                <w:szCs w:val="21"/>
                <w:lang w:val="en-US" w:eastAsia="zh-CN"/>
              </w:rPr>
              <w:t>3.5</w:t>
            </w:r>
            <w:r>
              <w:rPr>
                <w:rFonts w:hint="eastAsia" w:ascii="仿宋" w:hAnsi="仿宋" w:eastAsia="仿宋" w:cs="仿宋"/>
                <w:color w:val="000000"/>
                <w:szCs w:val="21"/>
              </w:rPr>
              <w:t>分；若提供的内容较为详细具体，有较为具体规范的措施来保证项目质量，部分满足采购需求的，每项得2分；若提供的内容片面或明显有瑕疵，难以满足采购需求的，每项得0.5分。不提供方案的不得分。本项最高得</w:t>
            </w:r>
            <w:r>
              <w:rPr>
                <w:rFonts w:hint="eastAsia" w:ascii="仿宋" w:hAnsi="仿宋" w:eastAsia="仿宋" w:cs="仿宋"/>
                <w:color w:val="000000"/>
                <w:szCs w:val="21"/>
                <w:lang w:val="en-US" w:eastAsia="zh-CN"/>
              </w:rPr>
              <w:t>14</w:t>
            </w:r>
            <w:r>
              <w:rPr>
                <w:rFonts w:hint="eastAsia" w:ascii="仿宋" w:hAnsi="仿宋" w:eastAsia="仿宋" w:cs="仿宋"/>
                <w:color w:val="000000"/>
                <w:szCs w:val="21"/>
              </w:rPr>
              <w:t>分。</w:t>
            </w:r>
          </w:p>
        </w:tc>
      </w:tr>
      <w:tr w14:paraId="23346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294EC2E8">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Cs w:val="21"/>
              </w:rPr>
              <w:t>服务方案</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0B45F977">
            <w:pPr>
              <w:pStyle w:val="6"/>
              <w:keepNext w:val="0"/>
              <w:keepLines w:val="0"/>
              <w:suppressLineNumbers w:val="0"/>
              <w:spacing w:before="0" w:beforeAutospacing="0" w:after="0" w:afterAutospacing="0"/>
              <w:ind w:left="0" w:right="0" w:firstLine="0" w:firstLineChars="0"/>
              <w:jc w:val="center"/>
              <w:rPr>
                <w:rFonts w:hint="default" w:ascii="仿宋" w:hAnsi="仿宋" w:eastAsia="仿宋" w:cs="仿宋"/>
                <w:color w:val="000000"/>
                <w:kern w:val="2"/>
                <w:sz w:val="20"/>
                <w:szCs w:val="20"/>
                <w:highlight w:val="none"/>
                <w:lang w:val="en-US" w:eastAsia="zh-CN"/>
              </w:rPr>
            </w:pPr>
            <w:r>
              <w:rPr>
                <w:rFonts w:hint="eastAsia" w:ascii="仿宋" w:hAnsi="仿宋" w:eastAsia="仿宋" w:cs="仿宋"/>
                <w:color w:val="000000"/>
                <w:szCs w:val="21"/>
                <w:lang w:val="en-US" w:eastAsia="zh-CN"/>
              </w:rPr>
              <w:t>14</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25C842DE">
            <w:pPr>
              <w:pStyle w:val="6"/>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rPr>
            </w:pPr>
            <w:r>
              <w:rPr>
                <w:rFonts w:hint="eastAsia" w:ascii="仿宋" w:hAnsi="仿宋" w:eastAsia="仿宋" w:cs="仿宋"/>
                <w:color w:val="000000"/>
                <w:szCs w:val="21"/>
              </w:rPr>
              <w:t>根据</w:t>
            </w:r>
            <w:r>
              <w:rPr>
                <w:rFonts w:hint="eastAsia" w:ascii="仿宋" w:hAnsi="仿宋" w:eastAsia="仿宋" w:cs="仿宋"/>
                <w:color w:val="000000"/>
                <w:szCs w:val="21"/>
                <w:lang w:val="en-US" w:eastAsia="zh-CN"/>
              </w:rPr>
              <w:t>响应</w:t>
            </w:r>
            <w:r>
              <w:rPr>
                <w:rFonts w:hint="eastAsia" w:ascii="仿宋" w:hAnsi="仿宋" w:eastAsia="仿宋" w:cs="仿宋"/>
                <w:color w:val="000000"/>
                <w:szCs w:val="21"/>
              </w:rPr>
              <w:t>人针对本项目特点提供的服务方案进行评审，包括以下方面：</w:t>
            </w:r>
          </w:p>
          <w:p w14:paraId="35C7DE2F">
            <w:pPr>
              <w:pStyle w:val="6"/>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lang w:eastAsia="zh-CN"/>
              </w:rPr>
            </w:pPr>
            <w:r>
              <w:rPr>
                <w:rFonts w:hint="eastAsia" w:ascii="仿宋" w:hAnsi="仿宋" w:eastAsia="仿宋" w:cs="仿宋"/>
                <w:color w:val="000000"/>
                <w:szCs w:val="21"/>
              </w:rPr>
              <w:t>①作业设备</w:t>
            </w:r>
            <w:r>
              <w:rPr>
                <w:rFonts w:hint="eastAsia" w:ascii="仿宋" w:hAnsi="仿宋" w:eastAsia="仿宋" w:cs="仿宋"/>
                <w:color w:val="000000"/>
                <w:szCs w:val="21"/>
                <w:lang w:val="en-US" w:eastAsia="zh-CN"/>
              </w:rPr>
              <w:t>和运输</w:t>
            </w:r>
            <w:r>
              <w:rPr>
                <w:rFonts w:hint="eastAsia" w:ascii="仿宋" w:hAnsi="仿宋" w:eastAsia="仿宋" w:cs="仿宋"/>
                <w:color w:val="000000"/>
                <w:szCs w:val="21"/>
              </w:rPr>
              <w:t>管理</w:t>
            </w:r>
            <w:r>
              <w:rPr>
                <w:rFonts w:hint="eastAsia" w:ascii="仿宋" w:hAnsi="仿宋" w:eastAsia="仿宋" w:cs="仿宋"/>
                <w:color w:val="000000"/>
                <w:szCs w:val="21"/>
                <w:lang w:eastAsia="zh-CN"/>
              </w:rPr>
              <w:t>；</w:t>
            </w:r>
          </w:p>
          <w:p w14:paraId="6A3B3F67">
            <w:pPr>
              <w:pStyle w:val="6"/>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lang w:eastAsia="zh-CN"/>
              </w:rPr>
            </w:pPr>
            <w:r>
              <w:rPr>
                <w:rFonts w:hint="eastAsia" w:ascii="仿宋" w:hAnsi="仿宋" w:eastAsia="仿宋" w:cs="仿宋"/>
                <w:color w:val="000000"/>
                <w:szCs w:val="21"/>
              </w:rPr>
              <w:t>②现场清运的技术保障方案</w:t>
            </w:r>
            <w:r>
              <w:rPr>
                <w:rFonts w:hint="eastAsia" w:ascii="仿宋" w:hAnsi="仿宋" w:eastAsia="仿宋" w:cs="仿宋"/>
                <w:color w:val="000000"/>
                <w:szCs w:val="21"/>
                <w:lang w:val="en-US" w:eastAsia="zh-CN"/>
              </w:rPr>
              <w:t>；</w:t>
            </w:r>
          </w:p>
          <w:p w14:paraId="11752E63">
            <w:pPr>
              <w:pStyle w:val="6"/>
              <w:keepNext w:val="0"/>
              <w:keepLines w:val="0"/>
              <w:suppressLineNumbers w:val="0"/>
              <w:spacing w:before="0" w:beforeAutospacing="0" w:after="0" w:afterAutospacing="0"/>
              <w:ind w:left="0" w:right="0" w:firstLine="0" w:firstLineChars="0"/>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③紧急情况下危废清运处置的响应方案；</w:t>
            </w:r>
          </w:p>
          <w:p w14:paraId="12188DAF">
            <w:pPr>
              <w:pStyle w:val="6"/>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rPr>
            </w:pPr>
            <w:r>
              <w:rPr>
                <w:rFonts w:hint="eastAsia" w:ascii="仿宋" w:hAnsi="仿宋" w:eastAsia="仿宋" w:cs="仿宋"/>
                <w:color w:val="000000"/>
                <w:szCs w:val="21"/>
                <w:lang w:val="en-US" w:eastAsia="zh-CN"/>
              </w:rPr>
              <w:t>④</w:t>
            </w:r>
            <w:r>
              <w:rPr>
                <w:rFonts w:hint="eastAsia" w:ascii="仿宋" w:hAnsi="仿宋" w:eastAsia="仿宋" w:cs="仿宋"/>
                <w:color w:val="000000"/>
                <w:szCs w:val="21"/>
              </w:rPr>
              <w:t>污染事故、泄漏事故</w:t>
            </w:r>
            <w:r>
              <w:rPr>
                <w:rFonts w:hint="eastAsia" w:ascii="仿宋" w:hAnsi="仿宋" w:eastAsia="仿宋" w:cs="仿宋"/>
                <w:color w:val="000000"/>
                <w:szCs w:val="21"/>
                <w:lang w:val="en-US" w:eastAsia="zh-CN"/>
              </w:rPr>
              <w:t>的处理方案</w:t>
            </w:r>
            <w:r>
              <w:rPr>
                <w:rFonts w:hint="eastAsia" w:ascii="仿宋" w:hAnsi="仿宋" w:eastAsia="仿宋" w:cs="仿宋"/>
                <w:color w:val="000000"/>
                <w:szCs w:val="21"/>
              </w:rPr>
              <w:t>（包括过程中发生危废泄露、环境污染或人员伤害等）</w:t>
            </w:r>
            <w:r>
              <w:rPr>
                <w:rFonts w:hint="eastAsia" w:ascii="仿宋" w:hAnsi="仿宋" w:eastAsia="仿宋" w:cs="仿宋"/>
                <w:color w:val="000000"/>
                <w:szCs w:val="21"/>
                <w:lang w:eastAsia="zh-CN"/>
              </w:rPr>
              <w:t>。</w:t>
            </w:r>
          </w:p>
          <w:p w14:paraId="46FF1594">
            <w:pPr>
              <w:pStyle w:val="6"/>
              <w:keepNext w:val="0"/>
              <w:keepLines w:val="0"/>
              <w:suppressLineNumbers w:val="0"/>
              <w:spacing w:before="0" w:beforeAutospacing="0" w:after="0" w:afterAutospacing="0"/>
              <w:ind w:left="0" w:right="0" w:firstLine="0" w:firstLine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Cs w:val="21"/>
              </w:rPr>
              <w:t>每提供1项内容且详细、具体，能满足本项目提出的所有要求，有具体可行的、规范的措施，操作性强，能有效保证项目质量，完全满足采购需求的，每项得</w:t>
            </w:r>
            <w:r>
              <w:rPr>
                <w:rFonts w:hint="eastAsia" w:ascii="仿宋" w:hAnsi="仿宋" w:eastAsia="仿宋" w:cs="仿宋"/>
                <w:color w:val="000000"/>
                <w:szCs w:val="21"/>
                <w:lang w:val="en-US" w:eastAsia="zh-CN"/>
              </w:rPr>
              <w:t>3.5</w:t>
            </w:r>
            <w:r>
              <w:rPr>
                <w:rFonts w:hint="eastAsia" w:ascii="仿宋" w:hAnsi="仿宋" w:eastAsia="仿宋" w:cs="仿宋"/>
                <w:color w:val="000000"/>
                <w:szCs w:val="21"/>
              </w:rPr>
              <w:t>分；若提供的内容较为详细具体，有较为具体规范的措施来保证项目质量，部分满足采购需求的，每项得</w:t>
            </w:r>
            <w:r>
              <w:rPr>
                <w:rFonts w:hint="eastAsia" w:ascii="仿宋" w:hAnsi="仿宋" w:eastAsia="仿宋" w:cs="仿宋"/>
                <w:color w:val="000000"/>
                <w:szCs w:val="21"/>
                <w:lang w:val="en-US" w:eastAsia="zh-CN"/>
              </w:rPr>
              <w:t>2</w:t>
            </w:r>
            <w:r>
              <w:rPr>
                <w:rFonts w:hint="eastAsia" w:ascii="仿宋" w:hAnsi="仿宋" w:eastAsia="仿宋" w:cs="仿宋"/>
                <w:color w:val="000000"/>
                <w:szCs w:val="21"/>
              </w:rPr>
              <w:t>分；若提供的内容片面或明显有瑕疵，难以满足采购需求的，每项得0.5分。不提供方案的不得分。本项最高得</w:t>
            </w:r>
            <w:r>
              <w:rPr>
                <w:rFonts w:hint="eastAsia" w:ascii="仿宋" w:hAnsi="仿宋" w:eastAsia="仿宋" w:cs="仿宋"/>
                <w:color w:val="000000"/>
                <w:szCs w:val="21"/>
                <w:lang w:val="en-US" w:eastAsia="zh-CN"/>
              </w:rPr>
              <w:t>14</w:t>
            </w:r>
            <w:r>
              <w:rPr>
                <w:rFonts w:hint="eastAsia" w:ascii="仿宋" w:hAnsi="仿宋" w:eastAsia="仿宋" w:cs="仿宋"/>
                <w:color w:val="000000"/>
                <w:szCs w:val="21"/>
              </w:rPr>
              <w:t>分。</w:t>
            </w:r>
          </w:p>
        </w:tc>
      </w:tr>
    </w:tbl>
    <w:p w14:paraId="05AE43E0">
      <w:pPr>
        <w:pStyle w:val="30"/>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价格评分：</w:t>
      </w:r>
    </w:p>
    <w:p w14:paraId="153668D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本项目统一采用低价优先法计算，以</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作为价格评分的评审依据。</w:t>
      </w:r>
    </w:p>
    <w:p w14:paraId="36D4274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满足比选文件要求且</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最低的价格为评分基准价，价格得分＝（评分基准价/响应报价）*30，保留两位小数。</w:t>
      </w:r>
    </w:p>
    <w:p w14:paraId="2036D16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14:paraId="5860E8E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根据每个响应人在上述各评审阶段中的得分，采用下面公式算出每个响应人的综合得分： </w:t>
      </w:r>
    </w:p>
    <w:p w14:paraId="77E2E7F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W＝C ＋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 xml:space="preserve"> ＋ M </w:t>
      </w:r>
    </w:p>
    <w:p w14:paraId="1046572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14:paraId="1105D64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14:paraId="43D2F816">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价格得分</w:t>
      </w:r>
      <w:r>
        <w:rPr>
          <w:rFonts w:hint="eastAsia" w:ascii="仿宋" w:hAnsi="仿宋" w:eastAsia="仿宋" w:cs="仿宋"/>
          <w:color w:val="000000"/>
          <w:sz w:val="24"/>
          <w:szCs w:val="24"/>
          <w:highlight w:val="none"/>
        </w:rPr>
        <w:t>；</w:t>
      </w:r>
    </w:p>
    <w:p w14:paraId="6E25608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某个响应人的</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评审得分；</w:t>
      </w:r>
    </w:p>
    <w:p w14:paraId="1DA29DB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M某个响应人的商务评审得分</w:t>
      </w:r>
      <w:r>
        <w:rPr>
          <w:rFonts w:hint="eastAsia" w:ascii="仿宋" w:hAnsi="仿宋" w:eastAsia="仿宋" w:cs="仿宋"/>
          <w:color w:val="000000"/>
          <w:sz w:val="24"/>
          <w:szCs w:val="24"/>
          <w:highlight w:val="none"/>
          <w:lang w:val="en-US" w:eastAsia="zh-CN"/>
        </w:rPr>
        <w:t>。</w:t>
      </w:r>
    </w:p>
    <w:p w14:paraId="1F2A006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（注：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14:paraId="26845A0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对响应文件中的报价出现前后不一致的，按照下列规定修正：</w:t>
      </w:r>
    </w:p>
    <w:p w14:paraId="045AEAC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内容与响应文件中相应内容不一致的，以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14:paraId="7DBFDAC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14:paraId="74F3596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14:paraId="5209B636">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14:paraId="6C48C18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14:paraId="33022D18">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14:paraId="70937006">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14:paraId="147D1EF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w:t>
      </w:r>
      <w:r>
        <w:rPr>
          <w:rFonts w:hint="eastAsia" w:ascii="仿宋" w:hAnsi="仿宋" w:eastAsia="仿宋" w:cs="仿宋"/>
          <w:color w:val="000000"/>
          <w:sz w:val="24"/>
          <w:szCs w:val="24"/>
          <w:highlight w:val="none"/>
          <w:lang w:val="en-US" w:eastAsia="zh-CN"/>
        </w:rPr>
        <w:t>成交候选人</w:t>
      </w:r>
      <w:r>
        <w:rPr>
          <w:rFonts w:hint="eastAsia" w:ascii="仿宋" w:hAnsi="仿宋" w:eastAsia="仿宋" w:cs="仿宋"/>
          <w:color w:val="000000"/>
          <w:sz w:val="24"/>
          <w:szCs w:val="24"/>
          <w:highlight w:val="none"/>
        </w:rPr>
        <w:t>。推荐综合得分最高的响应人为排名第一的成交候选人，综合得分相同的，按照响应报价由低到高的顺序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成交候选人。综合得分且</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报价相同的，按照</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14:paraId="64575315">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排名靠前的成交候选人放弃成交、或拒绝与采购人签订合同的，或因不可抗力提出不能履行合同，采购人可以按照评审报告推荐的成交候选人名单排序，确定下一位排名的候选人为成交人，依次类推；采购人也可以重新开展采购活动。</w:t>
      </w:r>
    </w:p>
    <w:p w14:paraId="3A8F7A6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14:paraId="640D2CB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中山大学孙逸仙纪念医院官方网站的采购专栏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14:paraId="7BC9DAF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六、质疑与投诉</w:t>
      </w:r>
    </w:p>
    <w:p w14:paraId="425CA40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质疑</w:t>
      </w:r>
    </w:p>
    <w:p w14:paraId="15C37D9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1、提出质疑的供应商应当是参与所质疑项目采购活动的供应商。</w:t>
      </w:r>
    </w:p>
    <w:p w14:paraId="5E2B1640">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供应商认为</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、采购过程、中标或者成交结果使自己的权益受到损害的，可以在知道或者应知其权益受到损害之日起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个工作日内，以书面形式由法定代表人或授权代表签字并加盖单位公章后</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向采购人提出质疑。</w:t>
      </w:r>
    </w:p>
    <w:p w14:paraId="19C8E090">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、供应商应在</w:t>
      </w:r>
      <w:r>
        <w:rPr>
          <w:rFonts w:hint="eastAsia" w:ascii="仿宋" w:hAnsi="仿宋" w:eastAsia="仿宋" w:cs="仿宋"/>
          <w:color w:val="000000"/>
          <w:sz w:val="24"/>
          <w:szCs w:val="24"/>
          <w:highlight w:val="none"/>
          <w:lang w:val="en-US" w:eastAsia="zh-CN"/>
        </w:rPr>
        <w:t>限定</w:t>
      </w:r>
      <w:r>
        <w:rPr>
          <w:rFonts w:hint="eastAsia" w:ascii="仿宋" w:hAnsi="仿宋" w:eastAsia="仿宋" w:cs="仿宋"/>
          <w:color w:val="000000"/>
          <w:sz w:val="24"/>
          <w:szCs w:val="24"/>
          <w:highlight w:val="none"/>
        </w:rPr>
        <w:t>质疑期内一次性提出针对同一采购程序环节的质疑。若对项目的某一分包进行质疑，质疑函中应列明具体分包号。</w:t>
      </w:r>
    </w:p>
    <w:p w14:paraId="66B11BB5">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、采购人不得拒收质疑供应商在</w:t>
      </w:r>
      <w:r>
        <w:rPr>
          <w:rFonts w:hint="eastAsia" w:ascii="仿宋" w:hAnsi="仿宋" w:eastAsia="仿宋" w:cs="仿宋"/>
          <w:color w:val="000000"/>
          <w:sz w:val="24"/>
          <w:szCs w:val="24"/>
          <w:highlight w:val="none"/>
          <w:lang w:eastAsia="zh-CN"/>
        </w:rPr>
        <w:t>限定质疑</w:t>
      </w:r>
      <w:r>
        <w:rPr>
          <w:rFonts w:hint="eastAsia" w:ascii="仿宋" w:hAnsi="仿宋" w:eastAsia="仿宋" w:cs="仿宋"/>
          <w:color w:val="000000"/>
          <w:sz w:val="24"/>
          <w:szCs w:val="24"/>
          <w:highlight w:val="none"/>
        </w:rPr>
        <w:t>期内发出的质疑函，应当在收到质疑函后7个工作日内作出答复，并以书面形式通知质疑供应商和其他有关供应商。</w:t>
      </w:r>
    </w:p>
    <w:p w14:paraId="33AF938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供应商对评审过程、中标或者成交结果提出质疑的，采购人可以组织原</w:t>
      </w: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协助答复质疑。</w:t>
      </w:r>
    </w:p>
    <w:p w14:paraId="2F09824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14:paraId="1617C55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14:paraId="78A890FA">
      <w:pPr>
        <w:pStyle w:val="30"/>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供应商的姓名或者名称、地址、邮编、联系人及联系电话；</w:t>
      </w:r>
    </w:p>
    <w:p w14:paraId="15236CAF">
      <w:pPr>
        <w:pStyle w:val="30"/>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质疑项目的名称、编号；</w:t>
      </w:r>
    </w:p>
    <w:p w14:paraId="3F054A17">
      <w:pPr>
        <w:pStyle w:val="30"/>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具体、明确的质疑事项和与质疑事项相关的请求；</w:t>
      </w:r>
    </w:p>
    <w:p w14:paraId="3508813B">
      <w:pPr>
        <w:pStyle w:val="30"/>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p>
    <w:p w14:paraId="2BD35409">
      <w:pPr>
        <w:pStyle w:val="30"/>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必要的法律依据；</w:t>
      </w:r>
    </w:p>
    <w:p w14:paraId="64D3A48A">
      <w:pPr>
        <w:pStyle w:val="30"/>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提出质疑的日期。</w:t>
      </w:r>
    </w:p>
    <w:p w14:paraId="6067DBE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14:paraId="3E68EA1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14:paraId="6C22C40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质疑接收机构名称：中山大学孙逸仙纪念医院招投标与采购管理办公室</w:t>
      </w:r>
    </w:p>
    <w:p w14:paraId="3B2BCFC5">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w:t>
      </w:r>
      <w:r>
        <w:rPr>
          <w:rFonts w:hint="eastAsia" w:ascii="仿宋" w:hAnsi="仿宋" w:eastAsia="仿宋" w:cs="仿宋"/>
          <w:sz w:val="24"/>
          <w:szCs w:val="24"/>
          <w:highlight w:val="none"/>
          <w:lang w:val="en-US" w:eastAsia="zh-CN"/>
        </w:rPr>
        <w:t>广州市越秀区长堤大马路171号一方长堤健康产业中心（原威力斯大楼）907室</w:t>
      </w:r>
    </w:p>
    <w:p w14:paraId="69358E56">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质疑接收机构电话：020-81338035（工作时间：8：00-12:00,14:30-17：30）</w:t>
      </w:r>
    </w:p>
    <w:p w14:paraId="0F77043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14:paraId="70CD8A1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14:paraId="070F4B7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14:paraId="2FBCEEF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14:paraId="1617A51D">
      <w:pPr>
        <w:pStyle w:val="28"/>
        <w:rPr>
          <w:rFonts w:hint="eastAsia" w:ascii="微软雅黑" w:hAnsi="微软雅黑" w:eastAsia="微软雅黑" w:cs="微软雅黑"/>
          <w:color w:val="000000"/>
          <w:highlight w:val="none"/>
        </w:rPr>
      </w:pPr>
    </w:p>
    <w:p w14:paraId="25DE2C1E">
      <w:pPr>
        <w:pStyle w:val="28"/>
        <w:rPr>
          <w:rFonts w:hint="eastAsia" w:ascii="微软雅黑" w:hAnsi="微软雅黑" w:eastAsia="微软雅黑" w:cs="微软雅黑"/>
          <w:color w:val="000000"/>
          <w:highlight w:val="none"/>
        </w:rPr>
      </w:pPr>
    </w:p>
    <w:p w14:paraId="23DD2588">
      <w:pPr>
        <w:pStyle w:val="2"/>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p>
    <w:p w14:paraId="77C57A47">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47F5E32A">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070447AA">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146AE643">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合同参考文本</w:t>
      </w:r>
    </w:p>
    <w:p w14:paraId="743C36D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14:paraId="1D2762A1">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6C61EB26">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B58486E">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026746AE">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65ABA92A">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702E4912">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866B17D">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95B259F">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3C9BBDA">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6CDAD4A6">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6352AE8C">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23096C84">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p>
    <w:p w14:paraId="03AC7DB2">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p>
    <w:p w14:paraId="1868C820">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14:paraId="0E5E93EB">
      <w:pPr>
        <w:shd w:val="clear" w:color="auto" w:fill="FFFFFF"/>
        <w:spacing w:beforeAutospacing="1"/>
        <w:rPr>
          <w:rFonts w:hint="eastAsia" w:ascii="仿宋" w:hAnsi="仿宋" w:eastAsia="仿宋" w:cs="仿宋"/>
          <w:color w:val="000000"/>
          <w:sz w:val="21"/>
          <w:szCs w:val="24"/>
          <w:highlight w:val="none"/>
          <w:shd w:val="clear" w:color="auto" w:fill="FFFFFF"/>
        </w:rPr>
      </w:pPr>
    </w:p>
    <w:p w14:paraId="628EE72F">
      <w:pPr>
        <w:shd w:val="clear" w:color="auto" w:fill="FFFFFF"/>
        <w:spacing w:beforeAutospacing="1"/>
        <w:rPr>
          <w:rFonts w:hint="eastAsia" w:ascii="仿宋" w:hAnsi="仿宋" w:eastAsia="仿宋" w:cs="仿宋"/>
          <w:color w:val="000000"/>
          <w:sz w:val="21"/>
          <w:szCs w:val="24"/>
          <w:highlight w:val="none"/>
          <w:shd w:val="clear" w:color="auto" w:fill="FFFFFF"/>
        </w:rPr>
      </w:pPr>
    </w:p>
    <w:p w14:paraId="099CC093">
      <w:pPr>
        <w:pStyle w:val="28"/>
        <w:rPr>
          <w:rFonts w:hint="eastAsia" w:ascii="仿宋" w:hAnsi="仿宋" w:eastAsia="仿宋" w:cs="仿宋"/>
          <w:highlight w:val="none"/>
        </w:rPr>
      </w:pPr>
    </w:p>
    <w:p w14:paraId="75C4DA64">
      <w:pPr>
        <w:shd w:val="clear" w:color="auto" w:fill="FFFFFF"/>
        <w:spacing w:beforeAutospacing="1"/>
        <w:rPr>
          <w:rFonts w:hint="eastAsia" w:ascii="仿宋" w:hAnsi="仿宋" w:eastAsia="仿宋" w:cs="仿宋"/>
          <w:color w:val="000000"/>
          <w:sz w:val="21"/>
          <w:szCs w:val="24"/>
          <w:highlight w:val="none"/>
          <w:shd w:val="clear" w:color="auto" w:fill="FFFFFF"/>
        </w:rPr>
      </w:pPr>
    </w:p>
    <w:p w14:paraId="26368BCE">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lang w:val="en-US" w:eastAsia="zh-CN"/>
        </w:rPr>
        <w:t xml:space="preserve">             </w:t>
      </w:r>
      <w:r>
        <w:rPr>
          <w:rFonts w:hint="eastAsia" w:ascii="仿宋" w:hAnsi="仿宋" w:eastAsia="仿宋" w:cs="仿宋"/>
          <w:b/>
          <w:color w:val="000000"/>
          <w:sz w:val="48"/>
          <w:szCs w:val="48"/>
          <w:highlight w:val="none"/>
          <w:u w:val="single"/>
        </w:rPr>
        <w:t>(项目)</w:t>
      </w:r>
    </w:p>
    <w:p w14:paraId="26CBA56F">
      <w:pPr>
        <w:spacing w:beforeAutospacing="1" w:line="360" w:lineRule="auto"/>
        <w:rPr>
          <w:rFonts w:hint="eastAsia" w:ascii="仿宋" w:hAnsi="仿宋" w:eastAsia="仿宋" w:cs="仿宋"/>
          <w:b/>
          <w:color w:val="000000"/>
          <w:sz w:val="48"/>
          <w:szCs w:val="48"/>
          <w:highlight w:val="none"/>
        </w:rPr>
      </w:pPr>
    </w:p>
    <w:p w14:paraId="66B53BB1">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14:paraId="583D5C82">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服务</w:t>
      </w:r>
      <w:r>
        <w:rPr>
          <w:rFonts w:hint="eastAsia" w:ascii="仿宋" w:hAnsi="仿宋" w:eastAsia="仿宋" w:cs="仿宋"/>
          <w:b/>
          <w:color w:val="000000"/>
          <w:sz w:val="48"/>
          <w:szCs w:val="48"/>
          <w:highlight w:val="none"/>
        </w:rPr>
        <w:t>类</w:t>
      </w:r>
    </w:p>
    <w:p w14:paraId="11228A34">
      <w:pPr>
        <w:spacing w:beforeAutospacing="1" w:line="360" w:lineRule="auto"/>
        <w:rPr>
          <w:rFonts w:hint="eastAsia" w:ascii="仿宋" w:hAnsi="仿宋" w:eastAsia="仿宋" w:cs="仿宋"/>
          <w:b/>
          <w:color w:val="000000"/>
          <w:sz w:val="28"/>
          <w:szCs w:val="28"/>
          <w:highlight w:val="none"/>
        </w:rPr>
      </w:pPr>
    </w:p>
    <w:tbl>
      <w:tblPr>
        <w:tblStyle w:val="23"/>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14:paraId="02CA0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51DBB957">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14:paraId="7C9C4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5E111C98">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14:paraId="1B18F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1CCB9633">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14:paraId="35F7A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14:paraId="5C89D2F4">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14:paraId="79935D89">
      <w:pPr>
        <w:spacing w:beforeAutospacing="1" w:line="360" w:lineRule="auto"/>
        <w:rPr>
          <w:rFonts w:hint="eastAsia" w:ascii="仿宋_GB2312" w:eastAsia="仿宋_GB2312" w:cs="仿宋_GB2312"/>
          <w:b/>
          <w:color w:val="000000"/>
          <w:sz w:val="28"/>
          <w:szCs w:val="28"/>
          <w:highlight w:val="none"/>
        </w:rPr>
      </w:pPr>
    </w:p>
    <w:p w14:paraId="744D39C0">
      <w:pPr>
        <w:pStyle w:val="28"/>
        <w:rPr>
          <w:rFonts w:hint="eastAsia"/>
          <w:highlight w:val="none"/>
        </w:rPr>
      </w:pPr>
    </w:p>
    <w:p w14:paraId="2730CA12">
      <w:pPr>
        <w:pStyle w:val="28"/>
        <w:rPr>
          <w:rFonts w:hint="eastAsia"/>
          <w:highlight w:val="none"/>
        </w:rPr>
      </w:pPr>
    </w:p>
    <w:p w14:paraId="33E3A88C">
      <w:pPr>
        <w:pStyle w:val="28"/>
        <w:rPr>
          <w:rFonts w:hint="eastAsia"/>
          <w:highlight w:val="none"/>
        </w:rPr>
      </w:pPr>
    </w:p>
    <w:p w14:paraId="0A2ECF9B">
      <w:pPr>
        <w:pStyle w:val="28"/>
        <w:rPr>
          <w:rFonts w:hint="eastAsia"/>
          <w:highlight w:val="none"/>
        </w:rPr>
      </w:pPr>
    </w:p>
    <w:p w14:paraId="27E0053E">
      <w:pPr>
        <w:pStyle w:val="30"/>
        <w:ind w:firstLine="0" w:firstLineChars="0"/>
        <w:rPr>
          <w:rFonts w:hint="eastAsia" w:ascii="仿宋_GB2312" w:eastAsia="仿宋_GB2312" w:cs="仿宋_GB2312"/>
          <w:b/>
          <w:color w:val="000000"/>
          <w:sz w:val="28"/>
          <w:szCs w:val="28"/>
          <w:highlight w:val="none"/>
        </w:rPr>
      </w:pPr>
    </w:p>
    <w:p w14:paraId="716D05DA">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14:paraId="0C274CF4">
      <w:pPr>
        <w:spacing w:beforeAutospacing="1"/>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中山大学附属仁济医院合同</w:t>
      </w:r>
    </w:p>
    <w:p w14:paraId="21936B99">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p>
    <w:p w14:paraId="7D16B8C5">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）：中山大学附属仁济医院</w:t>
      </w:r>
    </w:p>
    <w:p w14:paraId="5D0C6E4E">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rPr>
        <w:t>乙方（成交方）：</w:t>
      </w:r>
    </w:p>
    <w:p w14:paraId="276A6D63">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p>
    <w:p w14:paraId="58CF926D">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根据《中华人民共和国民法典》《中华人民共和国固体废物污染环境防治法》及其他相关法律法规规定，遵循平等、自愿、公平和诚实信用的原则，甲乙双方就</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 xml:space="preserve">项目，中山大学附属仁济医院（甲方）与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（乙方）经友好协商一致，达成以下服务合同：</w:t>
      </w:r>
    </w:p>
    <w:p w14:paraId="09032F17">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一、合同期限</w:t>
      </w:r>
    </w:p>
    <w:p w14:paraId="005D17A6">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自合同生效时间起三年或实际支付达到本项目</w:t>
      </w:r>
      <w:r>
        <w:rPr>
          <w:rFonts w:hint="eastAsia" w:ascii="仿宋" w:hAnsi="仿宋" w:eastAsia="仿宋" w:cs="仿宋"/>
          <w:color w:val="000000"/>
          <w:sz w:val="24"/>
          <w:szCs w:val="24"/>
          <w:highlight w:val="none"/>
          <w:lang w:val="en-US" w:eastAsia="zh-CN"/>
        </w:rPr>
        <w:t>合同总金额</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none"/>
          <w:lang w:val="en-US" w:eastAsia="zh-CN"/>
        </w:rPr>
        <w:t>，以先到者为准</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本合同自甲方书面通知之日起生效。</w:t>
      </w:r>
    </w:p>
    <w:p w14:paraId="50E2C122">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二、危险废物的品种和收费标准：详见附件。</w:t>
      </w:r>
    </w:p>
    <w:p w14:paraId="09ED32A2">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三、服务要求</w:t>
      </w:r>
    </w:p>
    <w:p w14:paraId="1B8EFBDD">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严格执行环保相关法律、法规，守法经营，安全处理处置危险废物。双方必须严格执行《中华人民共和国固体废物污染环境防治法》的规定，本合同涉及的危险废物必须执行国家危险废物转移联单管理制度。</w:t>
      </w:r>
    </w:p>
    <w:p w14:paraId="30B43585">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应熟悉本项目内危险废物的理化性质，以及由于危险废物或危险废物处理过程所导致或引起的健康、安全和环境风险；</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根据本项目需求提供服务所需的设施、设备、人员、专业技术等，并保证设施、设备等状态良好，人员具备从事相应工作的专业能力。</w:t>
      </w:r>
    </w:p>
    <w:p w14:paraId="27F34E56">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医疗、教学、科研工作产生的危险废物，品目较多，危险特性复杂，</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应具备识别各类危险废物危险特性且经验丰富的专业技术人员。</w:t>
      </w:r>
    </w:p>
    <w:p w14:paraId="6E2A5B9F">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4．对</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产生的危险废物按照相关规定进行分拣、分类打包装箱，内部转运以及规范处置，服务频率具体以双方协商时间为准。</w:t>
      </w:r>
    </w:p>
    <w:p w14:paraId="211547D4">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根据</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的生产情况和危险废物的产生情况，双方议定运输时间，</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在运输时间内自备运输车辆和装卸人员到</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指定的地点收取危险废物，根据危险废物的品种及化学性质分类回收、打包、贴标识，保证不影响</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生产。</w:t>
      </w:r>
    </w:p>
    <w:p w14:paraId="71994556">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四、处理处置规程</w:t>
      </w:r>
    </w:p>
    <w:p w14:paraId="7465FB43">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双方应严格遵守广东省固体废物云申报系统的相关规定，按照以下操作规程规范操作，确保危险废物进行合法、安全转移，并接受</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的监督和指导。</w:t>
      </w:r>
    </w:p>
    <w:p w14:paraId="14FD59B2">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操作规程；</w:t>
      </w:r>
    </w:p>
    <w:p w14:paraId="07F10AD9">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①</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须按照相关环保机关的要求，登录广东省固体废物云申报系统进行注册登记，并到所属环保部门领取二维码环保卡（以下简称“环保卡”）；</w:t>
      </w:r>
    </w:p>
    <w:p w14:paraId="77355272">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②</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应指定专人负责保管环保卡，不得遗失；如有遗失，应及时向相关环保部门申请补办；</w:t>
      </w:r>
    </w:p>
    <w:p w14:paraId="65787015">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③环保卡仅作为运输现场、</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司机操作电子联单时</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同意危险废物转移之用，不作其他用途；</w:t>
      </w:r>
    </w:p>
    <w:p w14:paraId="0D1FC6E7">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④在危险废物运输之前，</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应根据当次计划转移废物的名称、预计数量，登录广东省固体废物云申报系统填写、提交联单计划；</w:t>
      </w:r>
    </w:p>
    <w:p w14:paraId="41B1C996">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⑤</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每转移一车次、一种废料应填写一份联单计划；</w:t>
      </w:r>
    </w:p>
    <w:p w14:paraId="3D06D33D">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⑥同一天有安排多车次运输同种或多种废料的，应按车次、按废料种类分别填写联单计划；</w:t>
      </w:r>
    </w:p>
    <w:p w14:paraId="14DAA94E">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⑦</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填写的联单计划量不能超出广东省固体废物云申报系统“危险废物转移计划”申报的“拟转移数量”，即年度计划转移量。当累计联单计划量或累计确认联单量已接近年度计划转移量，后续仍有转移需求时，</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应提前办理“危险废物转移计划”申报手续；</w:t>
      </w:r>
    </w:p>
    <w:p w14:paraId="7D34EE7A">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⑧</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司机在</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运输现场装载完毕，</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应出示环保卡给</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司机扫描验证电子联单信息，并核实</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司机所填写的电子联单种类、名称，确认与实际移交的危废种类、名称相符后，方可放行；</w:t>
      </w:r>
    </w:p>
    <w:p w14:paraId="523B85C1">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⑨</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应于转移危险废物2个工作日后，登录广东省固体废物云申报系统核查</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确认的联单量是否与实际转移量相符，如不符合，应及时联系</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危险废物交接负责人，以便</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及时处理；如与实际转移量相符，</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应点击“提交并结束联单”，以结束电子联单流程。</w:t>
      </w:r>
    </w:p>
    <w:p w14:paraId="4EE67B07">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操作规程；</w:t>
      </w:r>
      <w:r>
        <w:rPr>
          <w:rFonts w:hint="eastAsia" w:ascii="仿宋" w:hAnsi="仿宋" w:eastAsia="仿宋" w:cs="仿宋"/>
          <w:color w:val="000000"/>
          <w:sz w:val="24"/>
          <w:szCs w:val="24"/>
          <w:highlight w:val="none"/>
        </w:rPr>
        <w:tab/>
      </w:r>
    </w:p>
    <w:p w14:paraId="2D77A668">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①</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司机出车前，应检查电子联单所需的硬件设备状态是否正常，电力是否充足，并随车携带车辆二维码环保卡。</w:t>
      </w:r>
    </w:p>
    <w:p w14:paraId="049B07D0">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②</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司机到达</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运输地点，应当首先用PDA手机登录电子联单系统，查看</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申请转移的危险废物，根据</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申请的危险废物情况，装货上车，过磅，清晰、规范填写收货单；</w:t>
      </w:r>
    </w:p>
    <w:p w14:paraId="4F39C4E7">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③</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司机应根据实际运输的危险废物，即收货单有收货数量的危险废物名称，选择符合</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当前运输日期及计划转移数量的电子联单进行企业二维码扫描；</w:t>
      </w:r>
    </w:p>
    <w:p w14:paraId="5A8022CD">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④</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司机填写的运输单位信息（含司机姓名、运输起点、运输终点）和扫描的车辆二维码，应与实际运输信息一致；</w:t>
      </w:r>
    </w:p>
    <w:p w14:paraId="3B9BE02F">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⑤同一种危险废物名称，只能填写一次，不能重复填写；</w:t>
      </w:r>
    </w:p>
    <w:p w14:paraId="63F0E50A">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⑥</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有申请联单计划而实际未运输的危险废物，</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司机不能填写、操作电子联单；</w:t>
      </w:r>
    </w:p>
    <w:p w14:paraId="46655D62">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⑦</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未申请联单计划的危险废物，</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司机应拒绝装载，拒绝填写、操作电子联单；</w:t>
      </w:r>
    </w:p>
    <w:p w14:paraId="47FE7F6F">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⑧</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司机运输危险废物到达目的地后，应再次登录电子联单系统，扫描处置企业二维码，保存处置单位信息，以结束运输流程；</w:t>
      </w:r>
    </w:p>
    <w:p w14:paraId="5EB0DDBA">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⑨</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应于接收危险废物后1个工作日内，登录广东省固体废物云申报系统确认实际接收量。</w:t>
      </w:r>
    </w:p>
    <w:p w14:paraId="2D6BB2FE">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3.危险废物交接负责人的委派</w:t>
      </w:r>
    </w:p>
    <w:p w14:paraId="127E0C57">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双方应委派各自的危险废物交接负责人，行使合同约定的交接职权。</w:t>
      </w:r>
    </w:p>
    <w:p w14:paraId="54FA4ED4">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4.检验方法、时间：</w:t>
      </w:r>
    </w:p>
    <w:p w14:paraId="740DD500">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①</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在交接危险废物后的5个工作日内对危险废物进行检验。</w:t>
      </w:r>
    </w:p>
    <w:p w14:paraId="2B23D2EC">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②</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在验收过程中，如发现危险废物的品质标准不合规定或者</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混杂其他废物的，应一边妥为保管，一边在检验后5个工作日内向</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提出书面异议。</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未按规定期限提出书面异议的，视为所交的危险废物符合合同规定。</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在运输、使用、保管、保养不善等造成危险废物品质标准不合规定的，不得提出异议。</w:t>
      </w:r>
    </w:p>
    <w:p w14:paraId="26DA5CB9">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③检验合格或者检验不合格的危险废物经双方达成书面的处理意见后，</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应按合同规定出具对账单给</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确认，</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应在5个工作日内进行确认。</w:t>
      </w:r>
    </w:p>
    <w:p w14:paraId="50CFB429">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5.待处理危险废物的环境污染责任：危险废物在</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交</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签收之前所产生的环境污染问题，由</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负责；危险废物在</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交</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签收之后所产生的环境污染问题，由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负责。</w:t>
      </w:r>
    </w:p>
    <w:p w14:paraId="12C8A7DD">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五</w:t>
      </w:r>
      <w:r>
        <w:rPr>
          <w:rFonts w:hint="eastAsia" w:ascii="仿宋" w:hAnsi="仿宋" w:eastAsia="仿宋" w:cs="仿宋"/>
          <w:color w:val="000000"/>
          <w:sz w:val="24"/>
          <w:szCs w:val="24"/>
          <w:highlight w:val="none"/>
        </w:rPr>
        <w:t>、甲方责任</w:t>
      </w:r>
    </w:p>
    <w:p w14:paraId="1F765789">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1.甲方将其生产经营过程中所产生的废物连同废包装物交由乙方处理，合同期内不得将本合同规定的废物料交由第三方或自行擅自处理。</w:t>
      </w:r>
    </w:p>
    <w:p w14:paraId="02365F00">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2.甲方须如实填写《废物料处理服务调查表》和《危险废物转移报批表》，保证废物与填写的内容保持一致。</w:t>
      </w:r>
    </w:p>
    <w:p w14:paraId="58B390B7">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3.在乙方收取和运输废物前，甲方必须将各种废物严格按不同品种分别包装、存放，并贴上标签（标签内容包括废物名称、数量、注意事项等）；保证废物包装完好及封口紧密，防止所盛装的废物泄漏污染环境。</w:t>
      </w:r>
    </w:p>
    <w:p w14:paraId="500625E8">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4.甲方须保证按照合同约定提供</w:t>
      </w:r>
      <w:r>
        <w:rPr>
          <w:rFonts w:hint="eastAsia" w:ascii="仿宋" w:hAnsi="仿宋" w:eastAsia="仿宋" w:cs="仿宋"/>
          <w:color w:val="000000"/>
          <w:sz w:val="24"/>
          <w:szCs w:val="24"/>
          <w:highlight w:val="none"/>
          <w:lang w:val="en-US" w:eastAsia="zh-CN"/>
        </w:rPr>
        <w:t>危险</w:t>
      </w:r>
      <w:r>
        <w:rPr>
          <w:rFonts w:hint="eastAsia" w:ascii="仿宋" w:hAnsi="仿宋" w:eastAsia="仿宋" w:cs="仿宋"/>
          <w:color w:val="000000"/>
          <w:sz w:val="24"/>
          <w:szCs w:val="24"/>
          <w:highlight w:val="none"/>
        </w:rPr>
        <w:t>废物给乙方，并且废物不出现以下异常情况：</w:t>
      </w:r>
    </w:p>
    <w:p w14:paraId="1B972C8C">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品种未列入本合同；</w:t>
      </w:r>
    </w:p>
    <w:p w14:paraId="28836DC8">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废物含有易爆物质、放射性物质、多氯联苯</w:t>
      </w:r>
      <w:r>
        <w:rPr>
          <w:rFonts w:hint="eastAsia" w:ascii="仿宋" w:hAnsi="仿宋" w:eastAsia="仿宋" w:cs="仿宋"/>
          <w:color w:val="000000"/>
          <w:sz w:val="24"/>
          <w:szCs w:val="24"/>
          <w:highlight w:val="none"/>
          <w:lang w:eastAsia="zh-CN"/>
        </w:rPr>
        <w:t>；</w:t>
      </w:r>
    </w:p>
    <w:p w14:paraId="7E5BA7DE">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废物含有因加温或物理、化学反应而产生剧毒气体等物质。</w:t>
      </w:r>
    </w:p>
    <w:p w14:paraId="0B5DB9DD">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5.甲方在接到乙方对于废物料的书面异议后，应在5个工作日内负责处理，否则，即视为默认乙方提出的异议和处理意见成立。</w:t>
      </w:r>
    </w:p>
    <w:p w14:paraId="50174407">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六</w:t>
      </w:r>
      <w:r>
        <w:rPr>
          <w:rFonts w:hint="eastAsia" w:ascii="仿宋" w:hAnsi="仿宋" w:eastAsia="仿宋" w:cs="仿宋"/>
          <w:color w:val="000000"/>
          <w:sz w:val="24"/>
          <w:szCs w:val="24"/>
          <w:highlight w:val="none"/>
        </w:rPr>
        <w:t>、乙方责任</w:t>
      </w:r>
    </w:p>
    <w:p w14:paraId="0015947F">
      <w:pPr>
        <w:keepNext w:val="0"/>
        <w:keepLines w:val="0"/>
        <w:pageBreakBefore w:val="0"/>
        <w:widowControl w:val="0"/>
        <w:numPr>
          <w:ilvl w:val="0"/>
          <w:numId w:val="12"/>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合同有效期内，乙方严格执行环保相关法律、法规，守法经营，安全处理处置废物料。</w:t>
      </w:r>
    </w:p>
    <w:p w14:paraId="4C964C89">
      <w:pPr>
        <w:keepNext w:val="0"/>
        <w:keepLines w:val="0"/>
        <w:pageBreakBefore w:val="0"/>
        <w:widowControl w:val="0"/>
        <w:numPr>
          <w:ilvl w:val="0"/>
          <w:numId w:val="12"/>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根据</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提供的危险废物类别，乙方应清楚本项目的危险废物特点和性质以及由危险废物或处理程序所导致或引起的健康、安全和环境危害，并要求乙方工作人员严格按照操作要求做好自身防护措施。</w:t>
      </w:r>
    </w:p>
    <w:p w14:paraId="7C579A38">
      <w:pPr>
        <w:keepNext w:val="0"/>
        <w:keepLines w:val="0"/>
        <w:pageBreakBefore w:val="0"/>
        <w:widowControl w:val="0"/>
        <w:numPr>
          <w:ilvl w:val="0"/>
          <w:numId w:val="12"/>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须</w:t>
      </w:r>
      <w:r>
        <w:rPr>
          <w:rFonts w:hint="eastAsia" w:ascii="仿宋" w:hAnsi="仿宋" w:eastAsia="仿宋" w:cs="仿宋"/>
          <w:color w:val="000000"/>
          <w:sz w:val="24"/>
          <w:szCs w:val="24"/>
          <w:highlight w:val="none"/>
          <w:lang w:eastAsia="zh-CN"/>
        </w:rPr>
        <w:t>在</w:t>
      </w:r>
      <w:r>
        <w:rPr>
          <w:rFonts w:hint="eastAsia" w:ascii="仿宋" w:hAnsi="仿宋" w:eastAsia="仿宋" w:cs="仿宋"/>
          <w:color w:val="000000"/>
          <w:sz w:val="24"/>
          <w:szCs w:val="24"/>
          <w:highlight w:val="none"/>
        </w:rPr>
        <w:t>服务期内能保证</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所有危险废物（包括但不限于：所有品种、所有数量）的正常处置；如果出现紧急情况（紧急情况为危险废物严重影响</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正常医疗、教学、科研工作或其他特殊情况），经电话联系须尽快上门协助应急处置。</w:t>
      </w:r>
    </w:p>
    <w:p w14:paraId="136948C3">
      <w:pPr>
        <w:keepNext w:val="0"/>
        <w:keepLines w:val="0"/>
        <w:pageBreakBefore w:val="0"/>
        <w:widowControl w:val="0"/>
        <w:numPr>
          <w:ilvl w:val="0"/>
          <w:numId w:val="12"/>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须承担本项目危险废物的分类整理工作及一切所需的包装物，收集、运输、临时贮存以及处置过程中发生的全部安全责任。</w:t>
      </w:r>
    </w:p>
    <w:p w14:paraId="1ED3739B">
      <w:pPr>
        <w:keepNext w:val="0"/>
        <w:keepLines w:val="0"/>
        <w:pageBreakBefore w:val="0"/>
        <w:widowControl w:val="0"/>
        <w:numPr>
          <w:ilvl w:val="0"/>
          <w:numId w:val="12"/>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工作人员应在</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范围内文明作业，遵守</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的安全卫生制度。</w:t>
      </w:r>
    </w:p>
    <w:p w14:paraId="726AC360">
      <w:pPr>
        <w:keepNext w:val="0"/>
        <w:keepLines w:val="0"/>
        <w:pageBreakBefore w:val="0"/>
        <w:widowControl w:val="0"/>
        <w:numPr>
          <w:ilvl w:val="0"/>
          <w:numId w:val="12"/>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工作人员进入</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工作场所应穿</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工作服，佩戴胸卡。</w:t>
      </w:r>
    </w:p>
    <w:p w14:paraId="09AF9922">
      <w:pPr>
        <w:keepNext w:val="0"/>
        <w:keepLines w:val="0"/>
        <w:pageBreakBefore w:val="0"/>
        <w:widowControl w:val="0"/>
        <w:numPr>
          <w:ilvl w:val="0"/>
          <w:numId w:val="12"/>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运输的车辆必须车况良好，采取符合安全、环保标准的相关措施，运输专用车辆符合危险货物运输的要求，适于运输本项目规定的废物。</w:t>
      </w:r>
    </w:p>
    <w:p w14:paraId="1B145E0E">
      <w:pPr>
        <w:keepNext w:val="0"/>
        <w:keepLines w:val="0"/>
        <w:pageBreakBefore w:val="0"/>
        <w:widowControl w:val="0"/>
        <w:numPr>
          <w:ilvl w:val="0"/>
          <w:numId w:val="12"/>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工作人员应严格按操作要求做好自身防护措施。</w:t>
      </w:r>
    </w:p>
    <w:p w14:paraId="34205BB9">
      <w:pPr>
        <w:keepNext w:val="0"/>
        <w:keepLines w:val="0"/>
        <w:pageBreakBefore w:val="0"/>
        <w:widowControl w:val="0"/>
        <w:numPr>
          <w:ilvl w:val="0"/>
          <w:numId w:val="12"/>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工作人员应严格按照操作规程，按危险废物品种及化学性质进行分类回收，并定期将</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各产生科室暂存的危险废物彻底回收。</w:t>
      </w:r>
    </w:p>
    <w:p w14:paraId="61450674">
      <w:pPr>
        <w:keepNext w:val="0"/>
        <w:keepLines w:val="0"/>
        <w:pageBreakBefore w:val="0"/>
        <w:widowControl w:val="0"/>
        <w:numPr>
          <w:ilvl w:val="0"/>
          <w:numId w:val="12"/>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工作人员装卸完毕后，填写好电子联单信息，做好交接登记。</w:t>
      </w:r>
    </w:p>
    <w:p w14:paraId="7F7D8BF5">
      <w:pPr>
        <w:keepNext w:val="0"/>
        <w:keepLines w:val="0"/>
        <w:pageBreakBefore w:val="0"/>
        <w:widowControl w:val="0"/>
        <w:numPr>
          <w:ilvl w:val="0"/>
          <w:numId w:val="12"/>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工作人员在回收过程中发生事故应及时进行处理并告知</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w:t>
      </w:r>
    </w:p>
    <w:p w14:paraId="18B16299">
      <w:pPr>
        <w:keepNext w:val="0"/>
        <w:keepLines w:val="0"/>
        <w:pageBreakBefore w:val="0"/>
        <w:widowControl w:val="0"/>
        <w:numPr>
          <w:ilvl w:val="0"/>
          <w:numId w:val="12"/>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在运输过程中不得沿途丢弃、遗撒危险废物。</w:t>
      </w:r>
    </w:p>
    <w:p w14:paraId="5164380B">
      <w:pPr>
        <w:keepNext w:val="0"/>
        <w:keepLines w:val="0"/>
        <w:pageBreakBefore w:val="0"/>
        <w:widowControl w:val="0"/>
        <w:numPr>
          <w:ilvl w:val="0"/>
          <w:numId w:val="12"/>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在危险废物无害化处理过程中，应该符合国家法律规定的环保和消防要求或标准，并接受</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的监督和指导。</w:t>
      </w:r>
    </w:p>
    <w:p w14:paraId="21757321">
      <w:pPr>
        <w:keepNext w:val="0"/>
        <w:keepLines w:val="0"/>
        <w:pageBreakBefore w:val="0"/>
        <w:widowControl w:val="0"/>
        <w:numPr>
          <w:ilvl w:val="0"/>
          <w:numId w:val="12"/>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的危险废物严重影响工作或其他特殊情况出现，需提前收取时，</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应予以积极配合。</w:t>
      </w:r>
    </w:p>
    <w:p w14:paraId="0C7E4AF5">
      <w:pPr>
        <w:keepNext w:val="0"/>
        <w:keepLines w:val="0"/>
        <w:pageBreakBefore w:val="0"/>
        <w:widowControl w:val="0"/>
        <w:numPr>
          <w:ilvl w:val="0"/>
          <w:numId w:val="12"/>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运输人员具有危险品准驾证，押运员具有危险品押运证。</w:t>
      </w:r>
    </w:p>
    <w:p w14:paraId="75A86080">
      <w:pPr>
        <w:keepNext w:val="0"/>
        <w:keepLines w:val="0"/>
        <w:pageBreakBefore w:val="0"/>
        <w:widowControl w:val="0"/>
        <w:numPr>
          <w:ilvl w:val="0"/>
          <w:numId w:val="12"/>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乙方有权拒绝甲方要求运输本项目之外的废物。</w:t>
      </w:r>
    </w:p>
    <w:p w14:paraId="5A92D98A">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七</w:t>
      </w:r>
      <w:r>
        <w:rPr>
          <w:rFonts w:hint="eastAsia" w:ascii="仿宋" w:hAnsi="仿宋" w:eastAsia="仿宋" w:cs="仿宋"/>
          <w:color w:val="000000"/>
          <w:sz w:val="24"/>
          <w:szCs w:val="24"/>
          <w:highlight w:val="none"/>
        </w:rPr>
        <w:t>、违约责任</w:t>
      </w:r>
    </w:p>
    <w:p w14:paraId="1D85C827">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若未按国家相关法律法规进行清运、处理，由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承担全部责任。</w:t>
      </w:r>
    </w:p>
    <w:p w14:paraId="372E43AA">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应按时积极进行清收工作，不得拖延。若未按时按质完成项目内容，经</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三次通知整改仍未完成，</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有权单方终止合同。</w:t>
      </w:r>
    </w:p>
    <w:p w14:paraId="52AC44B8">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因逾期运输废物而影响到</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生产经营的，每逾期一日按照本次应运输废物总金额的5‰支付违约金给</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w:t>
      </w:r>
    </w:p>
    <w:p w14:paraId="67A720A3">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若未如期履行付款义务的，每迟延一天按照本次运输废物应付未付金额的千分之一支付违约金给</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，违约金不超过应付未付金额的10%。</w:t>
      </w:r>
    </w:p>
    <w:p w14:paraId="59890D31">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5.若</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提供的服务不符合法律法规及采购文件要求的质量、服务标准或履约过程中有违约行为的，</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有权保留追究由此给</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造成损失责任的权利。</w:t>
      </w:r>
    </w:p>
    <w:p w14:paraId="0CD615E7">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任何一方如确因不可抗力的原因，不能履行本合同时，应在不可抗力的事件发生之后三日内向对方通知不能履行或须延期履行、部分履行的理由。在取得有关证明，且经另一方同意后，本合同可以不履行或延期履行或部分履行，并免予承担违约责任。</w:t>
      </w:r>
    </w:p>
    <w:p w14:paraId="161DC1B9">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rPr>
        <w:t>对于从另一方、其主管或雇员得知的，以及涉及另一方的计划、方案、废物来源、废物情况、废物价格、处理流程、工艺流程、处理费用、处理设备、操作、客户和包括在此的特定条文的资料，包括技术资料、经验和数据，双方应将均视为机密，承担保密责任。在没有对方的书面同意下，不能向第三者公开。</w:t>
      </w:r>
    </w:p>
    <w:p w14:paraId="43C8274D">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8.</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在实际服务时，若被发现提供的服务未能达到比选文件中的有关要求和响应文件的承诺，将按有关法规进行处罚，</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将有权单方面中止或终止合同的执行,并追究因</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所提供的未达到所承诺准确率服务而产生的所有损失和责任。</w:t>
      </w:r>
    </w:p>
    <w:p w14:paraId="185366FD">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9.</w:t>
      </w:r>
      <w:r>
        <w:rPr>
          <w:rFonts w:hint="eastAsia" w:ascii="仿宋" w:hAnsi="仿宋" w:eastAsia="仿宋" w:cs="仿宋"/>
          <w:color w:val="000000"/>
          <w:sz w:val="24"/>
          <w:szCs w:val="24"/>
          <w:highlight w:val="none"/>
        </w:rPr>
        <w:t>如因国家相关政策发生变化，应以最新的国家相关政策为准并执行，如因国家相关政策发生变化而导致本次项目的合同无法继续执行，</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不承担任何责任，</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自行承担由此带来的任何风险及后果。</w:t>
      </w:r>
    </w:p>
    <w:p w14:paraId="4DB382CA">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.其它违约责任按《中华人民共和国民法典》处理。</w:t>
      </w:r>
    </w:p>
    <w:p w14:paraId="562F58D8">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八</w:t>
      </w:r>
      <w:r>
        <w:rPr>
          <w:rFonts w:hint="eastAsia" w:ascii="仿宋" w:hAnsi="仿宋" w:eastAsia="仿宋" w:cs="仿宋"/>
          <w:color w:val="000000"/>
          <w:sz w:val="24"/>
          <w:szCs w:val="24"/>
          <w:highlight w:val="none"/>
        </w:rPr>
        <w:t>、结算方式</w:t>
      </w:r>
    </w:p>
    <w:p w14:paraId="276F0CD4">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在每次收运完成后，向</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提交本次收运废物的现场交接清单，经</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确认后，</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向</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开具正式发票。</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原则上应当自收到发票且审核无误后的20个工作日内支付结算款项。</w:t>
      </w:r>
    </w:p>
    <w:p w14:paraId="61056F6D">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2.根据实际处理数量及运输次数，按成交综合单价据实结算。</w:t>
      </w:r>
    </w:p>
    <w:p w14:paraId="33E20A54">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.若</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所交付的危险废物类别、品质标准不符合本项目或相关规定的，且</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同意收运处置，应当另行按质论价；如果</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不同意收运处置的，应及时将废物退回给</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，由</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负责自行处理，并且</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承担因此产生的退回运输费用。除</w:t>
      </w:r>
      <w:r>
        <w:rPr>
          <w:rFonts w:hint="eastAsia" w:ascii="仿宋" w:hAnsi="仿宋" w:eastAsia="仿宋" w:cs="仿宋"/>
          <w:color w:val="000000"/>
          <w:sz w:val="24"/>
          <w:szCs w:val="24"/>
          <w:highlight w:val="none"/>
          <w:lang w:val="en-US" w:eastAsia="zh-CN"/>
        </w:rPr>
        <w:t>本条以</w:t>
      </w:r>
      <w:r>
        <w:rPr>
          <w:rFonts w:hint="eastAsia" w:ascii="仿宋" w:hAnsi="仿宋" w:eastAsia="仿宋" w:cs="仿宋"/>
          <w:color w:val="000000"/>
          <w:sz w:val="24"/>
          <w:szCs w:val="24"/>
          <w:highlight w:val="none"/>
        </w:rPr>
        <w:t>外，</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不得以任何的形式向</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索要追加任何的费用，</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也没有义务支付任何合同总价外的费用。</w:t>
      </w:r>
    </w:p>
    <w:p w14:paraId="318086D8">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九</w:t>
      </w:r>
      <w:r>
        <w:rPr>
          <w:rFonts w:hint="eastAsia" w:ascii="仿宋" w:hAnsi="仿宋" w:eastAsia="仿宋" w:cs="仿宋"/>
          <w:color w:val="000000"/>
          <w:sz w:val="24"/>
          <w:szCs w:val="24"/>
          <w:highlight w:val="none"/>
        </w:rPr>
        <w:t>、附则</w:t>
      </w:r>
    </w:p>
    <w:p w14:paraId="325C8FF8">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1．本合同一式   份，甲方执叁份，乙方执  份，其余根据有关规定送交环保部门审批存档。</w:t>
      </w:r>
    </w:p>
    <w:p w14:paraId="77DCAA32">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2．本合同在履行过程中发生的争议，由双方当事人协商解决；也可由有关部门调解；协商或调解不成的，由甲方所在地的人民法院裁决。</w:t>
      </w:r>
    </w:p>
    <w:p w14:paraId="5F07F2A6">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3．合同附件经双方盖章后，与合同正文具有同等法律效力。</w:t>
      </w:r>
    </w:p>
    <w:p w14:paraId="03B4713B">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4．未尽事宜，由双方按照合同法和有关规定协商补充。</w:t>
      </w:r>
    </w:p>
    <w:p w14:paraId="45AA7449">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p>
    <w:p w14:paraId="6C1C554B">
      <w:pPr>
        <w:pStyle w:val="22"/>
        <w:rPr>
          <w:rFonts w:hint="eastAsia" w:ascii="仿宋" w:hAnsi="仿宋" w:eastAsia="仿宋" w:cs="仿宋"/>
          <w:b w:val="0"/>
          <w:bCs/>
          <w:color w:val="000000"/>
          <w:kern w:val="2"/>
          <w:sz w:val="24"/>
          <w:szCs w:val="24"/>
          <w:highlight w:val="none"/>
          <w:lang w:val="en-US" w:eastAsia="zh-CN" w:bidi="ar-SA"/>
        </w:rPr>
      </w:pPr>
    </w:p>
    <w:p w14:paraId="5B0C6C4A">
      <w:pPr>
        <w:pStyle w:val="22"/>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甲方：中山大学附属仁济医院               乙方: </w:t>
      </w:r>
    </w:p>
    <w:p w14:paraId="6743362C">
      <w:pPr>
        <w:pStyle w:val="22"/>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地址：                                   地址：   </w:t>
      </w:r>
    </w:p>
    <w:p w14:paraId="067DC148">
      <w:pPr>
        <w:pStyle w:val="22"/>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法定代表人：                             法定代表人：</w:t>
      </w:r>
    </w:p>
    <w:p w14:paraId="47585C91">
      <w:pPr>
        <w:pStyle w:val="22"/>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委托代理人：                             委托代理人：</w:t>
      </w:r>
    </w:p>
    <w:p w14:paraId="79F08FCA">
      <w:pPr>
        <w:pStyle w:val="22"/>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盖章：                                   盖章：</w:t>
      </w:r>
    </w:p>
    <w:p w14:paraId="53A8D920">
      <w:pPr>
        <w:pStyle w:val="22"/>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日期：                                   日期：</w:t>
      </w:r>
    </w:p>
    <w:p w14:paraId="48DE00BA">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p>
    <w:p w14:paraId="690505AA">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p>
    <w:p w14:paraId="37B686D9">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p>
    <w:p w14:paraId="0CCEF516">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p>
    <w:p w14:paraId="425E7D44">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p>
    <w:p w14:paraId="4E421D68">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p>
    <w:p w14:paraId="1562AEA2">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p>
    <w:p w14:paraId="060B8E7F">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p>
    <w:p w14:paraId="4CDE432C">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p>
    <w:p w14:paraId="32A09A94">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p>
    <w:p w14:paraId="480A5BAC">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附件：价格清单</w:t>
      </w:r>
    </w:p>
    <w:tbl>
      <w:tblPr>
        <w:tblStyle w:val="23"/>
        <w:tblW w:w="11096" w:type="dxa"/>
        <w:tblInd w:w="-46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4"/>
        <w:gridCol w:w="1316"/>
        <w:gridCol w:w="2234"/>
        <w:gridCol w:w="1679"/>
        <w:gridCol w:w="841"/>
        <w:gridCol w:w="710"/>
        <w:gridCol w:w="1127"/>
        <w:gridCol w:w="1088"/>
        <w:gridCol w:w="1127"/>
      </w:tblGrid>
      <w:tr w14:paraId="62FCC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60" w:hRule="atLeast"/>
        </w:trPr>
        <w:tc>
          <w:tcPr>
            <w:tcW w:w="11096" w:type="dxa"/>
            <w:gridSpan w:val="9"/>
            <w:tcBorders>
              <w:top w:val="nil"/>
              <w:left w:val="nil"/>
              <w:bottom w:val="nil"/>
              <w:right w:val="nil"/>
            </w:tcBorders>
            <w:shd w:val="clear" w:color="auto" w:fill="auto"/>
            <w:noWrap/>
            <w:vAlign w:val="center"/>
          </w:tcPr>
          <w:p w14:paraId="30DD738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中山大学附属仁济医院危险废物处置服务采购项目分项报价明细表</w:t>
            </w:r>
          </w:p>
        </w:tc>
      </w:tr>
      <w:tr w14:paraId="297EE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74" w:type="dxa"/>
            <w:vMerge w:val="restart"/>
            <w:tcBorders>
              <w:top w:val="single" w:color="000000" w:sz="8" w:space="0"/>
              <w:left w:val="single" w:color="000000" w:sz="8" w:space="0"/>
              <w:bottom w:val="single" w:color="000000" w:sz="4" w:space="0"/>
              <w:right w:val="single" w:color="000000" w:sz="4" w:space="0"/>
            </w:tcBorders>
            <w:shd w:val="clear" w:color="auto" w:fill="FFFFFF"/>
            <w:vAlign w:val="center"/>
          </w:tcPr>
          <w:p w14:paraId="7254850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废物类别</w:t>
            </w:r>
          </w:p>
        </w:tc>
        <w:tc>
          <w:tcPr>
            <w:tcW w:w="1316"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6BDCB3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废物代码</w:t>
            </w:r>
          </w:p>
        </w:tc>
        <w:tc>
          <w:tcPr>
            <w:tcW w:w="2234"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427A8F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废物名称</w:t>
            </w:r>
          </w:p>
        </w:tc>
        <w:tc>
          <w:tcPr>
            <w:tcW w:w="1679"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0520C0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质量标准</w:t>
            </w:r>
          </w:p>
        </w:tc>
        <w:tc>
          <w:tcPr>
            <w:tcW w:w="841"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76FD90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包装标准</w:t>
            </w:r>
          </w:p>
        </w:tc>
        <w:tc>
          <w:tcPr>
            <w:tcW w:w="710"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5A14612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危险特性</w:t>
            </w:r>
          </w:p>
        </w:tc>
        <w:tc>
          <w:tcPr>
            <w:tcW w:w="1127"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34C563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计划量</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（吨/年）</w:t>
            </w:r>
          </w:p>
        </w:tc>
        <w:tc>
          <w:tcPr>
            <w:tcW w:w="108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DDB910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含税综合单价（元/吨）</w:t>
            </w:r>
          </w:p>
        </w:tc>
        <w:tc>
          <w:tcPr>
            <w:tcW w:w="1127" w:type="dxa"/>
            <w:vMerge w:val="restart"/>
            <w:tcBorders>
              <w:top w:val="single" w:color="000000" w:sz="8" w:space="0"/>
              <w:left w:val="single" w:color="000000" w:sz="4" w:space="0"/>
              <w:bottom w:val="single" w:color="000000" w:sz="4" w:space="0"/>
              <w:right w:val="single" w:color="000000" w:sz="8" w:space="0"/>
            </w:tcBorders>
            <w:shd w:val="clear" w:color="FFFFFF" w:fill="FFFFFF"/>
            <w:vAlign w:val="center"/>
          </w:tcPr>
          <w:p w14:paraId="2139B5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小计</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（元/年）</w:t>
            </w:r>
          </w:p>
        </w:tc>
      </w:tr>
      <w:tr w14:paraId="4C6A5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14:paraId="01D9E783">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0"/>
                <w:szCs w:val="20"/>
                <w:u w:val="none"/>
              </w:rPr>
            </w:pPr>
          </w:p>
        </w:tc>
        <w:tc>
          <w:tcPr>
            <w:tcW w:w="1316"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2FDA32BF">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0"/>
                <w:szCs w:val="20"/>
                <w:u w:val="none"/>
              </w:rPr>
            </w:pPr>
          </w:p>
        </w:tc>
        <w:tc>
          <w:tcPr>
            <w:tcW w:w="2234"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06034EFC">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0"/>
                <w:szCs w:val="20"/>
                <w:u w:val="none"/>
              </w:rPr>
            </w:pPr>
          </w:p>
        </w:tc>
        <w:tc>
          <w:tcPr>
            <w:tcW w:w="1679"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62F97DCD">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0"/>
                <w:szCs w:val="20"/>
                <w:u w:val="none"/>
              </w:rPr>
            </w:pPr>
          </w:p>
        </w:tc>
        <w:tc>
          <w:tcPr>
            <w:tcW w:w="841"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13E16DA3">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0"/>
                <w:szCs w:val="20"/>
                <w:u w:val="none"/>
              </w:rPr>
            </w:pPr>
          </w:p>
        </w:tc>
        <w:tc>
          <w:tcPr>
            <w:tcW w:w="71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027122C8">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0"/>
                <w:szCs w:val="20"/>
                <w:u w:val="none"/>
              </w:rPr>
            </w:pPr>
          </w:p>
        </w:tc>
        <w:tc>
          <w:tcPr>
            <w:tcW w:w="1127"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61929FEB">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0"/>
                <w:szCs w:val="20"/>
                <w:u w:val="none"/>
              </w:rPr>
            </w:pPr>
          </w:p>
        </w:tc>
        <w:tc>
          <w:tcPr>
            <w:tcW w:w="108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634DBC8">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0"/>
                <w:szCs w:val="20"/>
                <w:u w:val="none"/>
              </w:rPr>
            </w:pPr>
          </w:p>
        </w:tc>
        <w:tc>
          <w:tcPr>
            <w:tcW w:w="1127" w:type="dxa"/>
            <w:vMerge w:val="continue"/>
            <w:tcBorders>
              <w:top w:val="single" w:color="000000" w:sz="8" w:space="0"/>
              <w:left w:val="single" w:color="000000" w:sz="4" w:space="0"/>
              <w:bottom w:val="single" w:color="000000" w:sz="4" w:space="0"/>
              <w:right w:val="single" w:color="000000" w:sz="8" w:space="0"/>
            </w:tcBorders>
            <w:shd w:val="clear" w:color="FFFFFF" w:fill="FFFFFF"/>
            <w:vAlign w:val="center"/>
          </w:tcPr>
          <w:p w14:paraId="4B2AAF4C">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0"/>
                <w:szCs w:val="20"/>
                <w:u w:val="none"/>
              </w:rPr>
            </w:pPr>
          </w:p>
        </w:tc>
      </w:tr>
      <w:tr w14:paraId="594BF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7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EE5C22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HW49</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其他废物</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F10EF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900-047-49</w:t>
            </w:r>
          </w:p>
        </w:tc>
        <w:tc>
          <w:tcPr>
            <w:tcW w:w="22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724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废弃有机溶剂与有机溶剂废物（含甲醇/二甲苯/ 甲醛/丙酮等废水）</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1BA5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分类存放，独立包装，标识清晰</w:t>
            </w: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B53F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桶装</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D9AD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T/C/I/R</w:t>
            </w:r>
          </w:p>
        </w:tc>
        <w:tc>
          <w:tcPr>
            <w:tcW w:w="112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BC49A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088"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tbl>
            <w:tblPr>
              <w:tblStyle w:val="23"/>
              <w:tblW w:w="1632" w:type="dxa"/>
              <w:tblInd w:w="-2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32"/>
            </w:tblGrid>
            <w:tr w14:paraId="56882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86" w:hRule="atLeast"/>
              </w:trPr>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CEE0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r>
          </w:tbl>
          <w:p w14:paraId="450779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127" w:type="dxa"/>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14:paraId="119A780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r>
      <w:tr w14:paraId="5C7EE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7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E1A4E9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D2E7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6BE2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7C9E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E35B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A28C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B584B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5AFE3AF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127" w:type="dxa"/>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57B85E1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14:paraId="79B14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7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CF9A6D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HW49</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其他废物</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024C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900-047-49</w:t>
            </w:r>
          </w:p>
        </w:tc>
        <w:tc>
          <w:tcPr>
            <w:tcW w:w="22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8BF88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实验室废弃试剂</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F7B3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独立包装，无破损</w:t>
            </w: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B6F98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桶装/瓶装</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3A8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T/C/I/R</w:t>
            </w:r>
          </w:p>
        </w:tc>
        <w:tc>
          <w:tcPr>
            <w:tcW w:w="112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FE0FA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8"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tbl>
            <w:tblPr>
              <w:tblStyle w:val="23"/>
              <w:tblW w:w="1632" w:type="dxa"/>
              <w:tblInd w:w="-2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32"/>
            </w:tblGrid>
            <w:tr w14:paraId="562A7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6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tbl>
                  <w:tblPr>
                    <w:tblStyle w:val="23"/>
                    <w:tblW w:w="1632" w:type="dxa"/>
                    <w:tblInd w:w="-2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32"/>
                  </w:tblGrid>
                  <w:tr w14:paraId="62248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86" w:hRule="atLeast"/>
                    </w:trPr>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3905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r>
                </w:tbl>
                <w:p w14:paraId="2FF1F94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u w:val="none"/>
                    </w:rPr>
                  </w:pPr>
                </w:p>
              </w:tc>
            </w:tr>
            <w:tr w14:paraId="0D682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EDDFC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bl>
          <w:p w14:paraId="20E992AD">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1127" w:type="dxa"/>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14:paraId="15B7AC8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r>
      <w:tr w14:paraId="0178E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97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F05BB9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359D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940B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603E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432E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356D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272CA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5337D8D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127" w:type="dxa"/>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415C8DF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14:paraId="4B083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7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A3B655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HW49</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其他废物</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80D41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900-047-49</w:t>
            </w:r>
          </w:p>
        </w:tc>
        <w:tc>
          <w:tcPr>
            <w:tcW w:w="22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FC25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实验室特殊废试剂</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F275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独立包装，无破损</w:t>
            </w: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7DB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桶装/瓶装</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C75E5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T/C/I/R</w:t>
            </w:r>
          </w:p>
        </w:tc>
        <w:tc>
          <w:tcPr>
            <w:tcW w:w="112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3D241F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0.005</w:t>
            </w:r>
          </w:p>
        </w:tc>
        <w:tc>
          <w:tcPr>
            <w:tcW w:w="1088"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tbl>
            <w:tblPr>
              <w:tblStyle w:val="23"/>
              <w:tblW w:w="1632" w:type="dxa"/>
              <w:tblInd w:w="-2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32"/>
            </w:tblGrid>
            <w:tr w14:paraId="0E5D4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40" w:hRule="atLeast"/>
              </w:trPr>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A056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r>
          </w:tbl>
          <w:p w14:paraId="4FD4A446">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1127" w:type="dxa"/>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14:paraId="08A0DD9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r>
      <w:tr w14:paraId="584BB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7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B23FE8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997B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E8D6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1645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9889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E54F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E14F4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tbl>
            <w:tblPr>
              <w:tblStyle w:val="23"/>
              <w:tblW w:w="1632" w:type="dxa"/>
              <w:tblInd w:w="-2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32"/>
            </w:tblGrid>
            <w:tr w14:paraId="53FBA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5FFB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r>
          </w:tbl>
          <w:p w14:paraId="784AD10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127" w:type="dxa"/>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4FD22E0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14:paraId="69EEB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7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E89A4E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HW49</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其他废物</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3FAC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900-041-49</w:t>
            </w:r>
          </w:p>
        </w:tc>
        <w:tc>
          <w:tcPr>
            <w:tcW w:w="22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F56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废弃实验室容器</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6A92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独立包装，无破损</w:t>
            </w: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0C82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袋装</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B6E7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T/In</w:t>
            </w:r>
          </w:p>
        </w:tc>
        <w:tc>
          <w:tcPr>
            <w:tcW w:w="112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FFA0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w:t>
            </w:r>
          </w:p>
        </w:tc>
        <w:tc>
          <w:tcPr>
            <w:tcW w:w="1088"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tbl>
            <w:tblPr>
              <w:tblStyle w:val="23"/>
              <w:tblW w:w="1632" w:type="dxa"/>
              <w:tblInd w:w="-2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32"/>
            </w:tblGrid>
            <w:tr w14:paraId="1A877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trPr>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F9E6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r>
          </w:tbl>
          <w:p w14:paraId="7ED0F7A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127" w:type="dxa"/>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14:paraId="40B612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r>
      <w:tr w14:paraId="15B2E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7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9203C4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A82A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8201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F25F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EC16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016F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AFBFE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tbl>
            <w:tblPr>
              <w:tblStyle w:val="23"/>
              <w:tblW w:w="1632" w:type="dxa"/>
              <w:tblInd w:w="-2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32"/>
            </w:tblGrid>
            <w:tr w14:paraId="3C572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6EA2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r>
          </w:tbl>
          <w:p w14:paraId="131ED89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127" w:type="dxa"/>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1478919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14:paraId="4C507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7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5083F6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HW49</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其他废物</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2A2D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900-041-49</w:t>
            </w:r>
          </w:p>
        </w:tc>
        <w:tc>
          <w:tcPr>
            <w:tcW w:w="22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74BC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废活性碳</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016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独立包装，无破损</w:t>
            </w: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39B1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箱装</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060B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T/In</w:t>
            </w:r>
          </w:p>
        </w:tc>
        <w:tc>
          <w:tcPr>
            <w:tcW w:w="112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B999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088"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tbl>
            <w:tblPr>
              <w:tblStyle w:val="23"/>
              <w:tblW w:w="1632" w:type="dxa"/>
              <w:tblInd w:w="-2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32"/>
            </w:tblGrid>
            <w:tr w14:paraId="21870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28" w:hRule="atLeast"/>
              </w:trPr>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CBD5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r>
          </w:tbl>
          <w:p w14:paraId="200DB0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127" w:type="dxa"/>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14:paraId="79AECFC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r>
      <w:tr w14:paraId="28C32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7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4155B6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912B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E988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D302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725E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ECE0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FC31E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tbl>
            <w:tblPr>
              <w:tblStyle w:val="23"/>
              <w:tblW w:w="1632" w:type="dxa"/>
              <w:tblInd w:w="-2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32"/>
            </w:tblGrid>
            <w:tr w14:paraId="7F8BC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8C45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r>
          </w:tbl>
          <w:p w14:paraId="7AFC49A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127" w:type="dxa"/>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0D998EB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14:paraId="6DC93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7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F7F9A5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HW34</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废酸</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29F5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900-349-34</w:t>
            </w:r>
          </w:p>
        </w:tc>
        <w:tc>
          <w:tcPr>
            <w:tcW w:w="22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472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含盐酸/硫酸等废水</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BE76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分类存放，独立包装，标识清晰</w:t>
            </w: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DC5F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桶装</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38E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C/T</w:t>
            </w:r>
          </w:p>
        </w:tc>
        <w:tc>
          <w:tcPr>
            <w:tcW w:w="112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D30C4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8"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tbl>
            <w:tblPr>
              <w:tblStyle w:val="23"/>
              <w:tblW w:w="1632" w:type="dxa"/>
              <w:tblInd w:w="-2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32"/>
            </w:tblGrid>
            <w:tr w14:paraId="0A549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3" w:hRule="atLeast"/>
              </w:trPr>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10EF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r>
          </w:tbl>
          <w:p w14:paraId="4D7445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127" w:type="dxa"/>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14:paraId="64DC5D5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r>
      <w:tr w14:paraId="30D79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7E9026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FB82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262A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FC0D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462C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7CBB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F6C88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tbl>
            <w:tblPr>
              <w:tblStyle w:val="23"/>
              <w:tblW w:w="1632" w:type="dxa"/>
              <w:tblInd w:w="-2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32"/>
            </w:tblGrid>
            <w:tr w14:paraId="65C1F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1572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r>
          </w:tbl>
          <w:p w14:paraId="22CFDC8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127" w:type="dxa"/>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68B7012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14:paraId="53E59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7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9B1DF6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HW35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废碱</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F7E6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900-399-35</w:t>
            </w:r>
          </w:p>
        </w:tc>
        <w:tc>
          <w:tcPr>
            <w:tcW w:w="22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DBDA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含氢氧化钠等废水</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A640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分类存放，独立包装，标识清晰</w:t>
            </w: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92BA2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桶装</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5D9D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C/T</w:t>
            </w:r>
          </w:p>
        </w:tc>
        <w:tc>
          <w:tcPr>
            <w:tcW w:w="112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E2F65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8"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tbl>
            <w:tblPr>
              <w:tblStyle w:val="23"/>
              <w:tblW w:w="1632" w:type="dxa"/>
              <w:tblInd w:w="-2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32"/>
            </w:tblGrid>
            <w:tr w14:paraId="21AB4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87" w:hRule="atLeast"/>
              </w:trPr>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0351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r>
          </w:tbl>
          <w:p w14:paraId="358FAB3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127" w:type="dxa"/>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14:paraId="2D23E41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r>
      <w:tr w14:paraId="67803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7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6D2142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4825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588A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AE18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5E54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9009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553D1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tbl>
            <w:tblPr>
              <w:tblStyle w:val="23"/>
              <w:tblW w:w="1632" w:type="dxa"/>
              <w:tblInd w:w="-2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32"/>
            </w:tblGrid>
            <w:tr w14:paraId="11A01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D8FC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r>
          </w:tbl>
          <w:p w14:paraId="1C1B1FC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127" w:type="dxa"/>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549E850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14:paraId="443AC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7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853DA7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HW16</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感光材料废物</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F089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900-019-016</w:t>
            </w:r>
          </w:p>
        </w:tc>
        <w:tc>
          <w:tcPr>
            <w:tcW w:w="22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E0A5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废CT、X光、MR胶片和废（显）定影剂等类感光材料废物</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98C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分类存放，独立包装，标识清晰</w:t>
            </w: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D37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袋装/箱装</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68D4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w:t>
            </w:r>
          </w:p>
        </w:tc>
        <w:tc>
          <w:tcPr>
            <w:tcW w:w="112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F590C1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8"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tbl>
            <w:tblPr>
              <w:tblStyle w:val="23"/>
              <w:tblW w:w="1632" w:type="dxa"/>
              <w:tblInd w:w="-2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32"/>
            </w:tblGrid>
            <w:tr w14:paraId="293C6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40" w:hRule="atLeast"/>
              </w:trPr>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7103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r>
          </w:tbl>
          <w:p w14:paraId="4619F14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127" w:type="dxa"/>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14:paraId="52CB7CC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r>
      <w:tr w14:paraId="78693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7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8F8D06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894A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82C2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EF1A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19EB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ED9E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4BD26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3454CCB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127" w:type="dxa"/>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4B7F17C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14:paraId="59D54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29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7A691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服务内容</w:t>
            </w:r>
          </w:p>
        </w:tc>
        <w:tc>
          <w:tcPr>
            <w:tcW w:w="54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F0539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车辆要求</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730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计划次数</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（次/年）</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C4A9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含税综合单价（元/次）</w:t>
            </w:r>
          </w:p>
        </w:tc>
        <w:tc>
          <w:tcPr>
            <w:tcW w:w="112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A5A152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小计</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（元/年）</w:t>
            </w:r>
          </w:p>
        </w:tc>
      </w:tr>
      <w:tr w14:paraId="5C55A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290" w:type="dxa"/>
            <w:gridSpan w:val="2"/>
            <w:tcBorders>
              <w:top w:val="single" w:color="000000" w:sz="4" w:space="0"/>
              <w:left w:val="single" w:color="000000" w:sz="8" w:space="0"/>
              <w:bottom w:val="single" w:color="000000" w:sz="4" w:space="0"/>
              <w:right w:val="single" w:color="000000" w:sz="4" w:space="0"/>
            </w:tcBorders>
            <w:shd w:val="clear" w:color="auto" w:fill="auto"/>
            <w:noWrap/>
            <w:vAlign w:val="center"/>
          </w:tcPr>
          <w:p w14:paraId="25B5679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危险废物运输装卸</w:t>
            </w:r>
          </w:p>
        </w:tc>
        <w:tc>
          <w:tcPr>
            <w:tcW w:w="546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91FD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运输专用车辆符合危险废物运输的要求，车辆规格1.5吨/车</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666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088" w:type="dxa"/>
            <w:tcBorders>
              <w:top w:val="single" w:color="000000" w:sz="4" w:space="0"/>
              <w:left w:val="single" w:color="000000" w:sz="4" w:space="0"/>
              <w:bottom w:val="single" w:color="000000" w:sz="4" w:space="0"/>
              <w:right w:val="single" w:color="000000" w:sz="4" w:space="0"/>
            </w:tcBorders>
            <w:shd w:val="clear" w:color="auto" w:fill="FFFF00"/>
            <w:noWrap/>
            <w:vAlign w:val="center"/>
          </w:tcPr>
          <w:tbl>
            <w:tblPr>
              <w:tblStyle w:val="23"/>
              <w:tblW w:w="1632" w:type="dxa"/>
              <w:tblInd w:w="-2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32"/>
            </w:tblGrid>
            <w:tr w14:paraId="0552F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5" w:hRule="atLeast"/>
              </w:trPr>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F1F7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r>
          </w:tbl>
          <w:p w14:paraId="2DB9B27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12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C61837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r>
      <w:tr w14:paraId="77398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290" w:type="dxa"/>
            <w:gridSpan w:val="2"/>
            <w:tcBorders>
              <w:top w:val="single" w:color="000000" w:sz="4" w:space="0"/>
              <w:left w:val="single" w:color="000000" w:sz="8" w:space="0"/>
              <w:bottom w:val="single" w:color="000000" w:sz="4" w:space="0"/>
              <w:right w:val="single" w:color="000000" w:sz="4" w:space="0"/>
            </w:tcBorders>
            <w:shd w:val="clear" w:color="auto" w:fill="auto"/>
            <w:noWrap/>
            <w:vAlign w:val="center"/>
          </w:tcPr>
          <w:p w14:paraId="559E8B7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每年合计金额（元）：</w:t>
            </w:r>
          </w:p>
        </w:tc>
        <w:tc>
          <w:tcPr>
            <w:tcW w:w="8806" w:type="dxa"/>
            <w:gridSpan w:val="7"/>
            <w:tcBorders>
              <w:top w:val="single" w:color="000000" w:sz="4" w:space="0"/>
              <w:left w:val="single" w:color="000000" w:sz="4" w:space="0"/>
              <w:bottom w:val="single" w:color="000000" w:sz="4" w:space="0"/>
              <w:right w:val="single" w:color="000000" w:sz="8" w:space="0"/>
            </w:tcBorders>
            <w:shd w:val="clear" w:color="auto" w:fill="auto"/>
            <w:noWrap/>
            <w:vAlign w:val="center"/>
          </w:tcPr>
          <w:p w14:paraId="24DA5E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r>
      <w:tr w14:paraId="1A21C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290" w:type="dxa"/>
            <w:gridSpan w:val="2"/>
            <w:tcBorders>
              <w:top w:val="single" w:color="000000" w:sz="4" w:space="0"/>
              <w:left w:val="single" w:color="000000" w:sz="8" w:space="0"/>
              <w:bottom w:val="single" w:color="000000" w:sz="8" w:space="0"/>
              <w:right w:val="single" w:color="000000" w:sz="4" w:space="0"/>
            </w:tcBorders>
            <w:shd w:val="clear" w:color="auto" w:fill="auto"/>
            <w:noWrap/>
            <w:vAlign w:val="center"/>
          </w:tcPr>
          <w:p w14:paraId="1E238C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三年合计金额（元）：</w:t>
            </w:r>
          </w:p>
        </w:tc>
        <w:tc>
          <w:tcPr>
            <w:tcW w:w="8806" w:type="dxa"/>
            <w:gridSpan w:val="7"/>
            <w:tcBorders>
              <w:top w:val="single" w:color="000000" w:sz="4" w:space="0"/>
              <w:left w:val="single" w:color="000000" w:sz="4" w:space="0"/>
              <w:bottom w:val="single" w:color="000000" w:sz="8" w:space="0"/>
              <w:right w:val="single" w:color="000000" w:sz="8" w:space="0"/>
            </w:tcBorders>
            <w:shd w:val="clear" w:color="auto" w:fill="auto"/>
            <w:noWrap/>
            <w:vAlign w:val="center"/>
          </w:tcPr>
          <w:p w14:paraId="6134F3E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r>
    </w:tbl>
    <w:p w14:paraId="05397CA1">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0C88FCE">
      <w:pPr>
        <w:rPr>
          <w:rFonts w:hint="eastAsia" w:ascii="微软雅黑" w:hAnsi="微软雅黑" w:eastAsia="微软雅黑" w:cs="微软雅黑"/>
          <w:color w:val="000000"/>
          <w:highlight w:val="none"/>
        </w:rPr>
      </w:pPr>
    </w:p>
    <w:p w14:paraId="48B757DE">
      <w:pPr>
        <w:pStyle w:val="2"/>
        <w:rPr>
          <w:rFonts w:hint="eastAsia" w:ascii="微软雅黑" w:hAnsi="微软雅黑" w:eastAsia="微软雅黑" w:cs="微软雅黑"/>
          <w:color w:val="000000"/>
          <w:highlight w:val="none"/>
        </w:rPr>
      </w:pPr>
    </w:p>
    <w:p w14:paraId="5DBE9F64">
      <w:pPr>
        <w:rPr>
          <w:rFonts w:hint="eastAsia" w:ascii="微软雅黑" w:hAnsi="微软雅黑" w:eastAsia="微软雅黑" w:cs="微软雅黑"/>
          <w:color w:val="000000"/>
          <w:highlight w:val="none"/>
        </w:rPr>
      </w:pPr>
    </w:p>
    <w:p w14:paraId="4DD86F5C">
      <w:pPr>
        <w:pStyle w:val="2"/>
        <w:rPr>
          <w:rFonts w:hint="eastAsia"/>
        </w:rPr>
      </w:pPr>
    </w:p>
    <w:p w14:paraId="203B568C">
      <w:pPr>
        <w:rPr>
          <w:rFonts w:hint="eastAsia"/>
        </w:rPr>
      </w:pPr>
    </w:p>
    <w:p w14:paraId="444975B4">
      <w:pPr>
        <w:rPr>
          <w:rFonts w:hint="eastAsia"/>
        </w:rPr>
      </w:pPr>
    </w:p>
    <w:p w14:paraId="3305D1C7">
      <w:pPr>
        <w:rPr>
          <w:rFonts w:hint="eastAsia"/>
        </w:rPr>
      </w:pPr>
    </w:p>
    <w:p w14:paraId="61198792">
      <w:pPr>
        <w:rPr>
          <w:rFonts w:hint="eastAsia"/>
        </w:rPr>
      </w:pPr>
    </w:p>
    <w:p w14:paraId="205634E4">
      <w:pPr>
        <w:rPr>
          <w:rFonts w:hint="eastAsia"/>
        </w:rPr>
      </w:pPr>
    </w:p>
    <w:p w14:paraId="49AF1AAD">
      <w:pPr>
        <w:rPr>
          <w:rFonts w:hint="eastAsia"/>
        </w:rPr>
      </w:pPr>
    </w:p>
    <w:p w14:paraId="2DC2BE06">
      <w:pPr>
        <w:pStyle w:val="2"/>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响应文件编制要求</w:t>
      </w:r>
    </w:p>
    <w:p w14:paraId="1CB640E7">
      <w:pPr>
        <w:pStyle w:val="30"/>
        <w:rPr>
          <w:rFonts w:hint="eastAsia"/>
          <w:color w:val="000000"/>
          <w:highlight w:val="none"/>
        </w:rPr>
      </w:pPr>
    </w:p>
    <w:p w14:paraId="415C4B2C">
      <w:pPr>
        <w:pStyle w:val="30"/>
        <w:rPr>
          <w:rFonts w:hint="eastAsia"/>
          <w:color w:val="000000"/>
          <w:highlight w:val="none"/>
        </w:rPr>
      </w:pPr>
    </w:p>
    <w:p w14:paraId="6578C338">
      <w:pPr>
        <w:pStyle w:val="30"/>
        <w:rPr>
          <w:rFonts w:hint="eastAsia"/>
          <w:color w:val="000000"/>
          <w:highlight w:val="none"/>
        </w:rPr>
      </w:pPr>
    </w:p>
    <w:p w14:paraId="04A25E76">
      <w:pPr>
        <w:pStyle w:val="30"/>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14:paraId="556AA4BB">
      <w:pPr>
        <w:pStyle w:val="30"/>
        <w:rPr>
          <w:rFonts w:hint="eastAsia"/>
          <w:color w:val="FF0000"/>
          <w:highlight w:val="none"/>
        </w:rPr>
      </w:pPr>
    </w:p>
    <w:p w14:paraId="2A6D30A5">
      <w:pPr>
        <w:pStyle w:val="30"/>
        <w:rPr>
          <w:rFonts w:hint="eastAsia"/>
          <w:color w:val="000000"/>
          <w:highlight w:val="none"/>
        </w:rPr>
      </w:pPr>
    </w:p>
    <w:p w14:paraId="338F8648">
      <w:pPr>
        <w:pStyle w:val="30"/>
        <w:rPr>
          <w:rFonts w:hint="eastAsia"/>
          <w:color w:val="000000"/>
          <w:highlight w:val="none"/>
        </w:rPr>
      </w:pPr>
    </w:p>
    <w:p w14:paraId="009DBEEE">
      <w:pPr>
        <w:pStyle w:val="30"/>
        <w:rPr>
          <w:rFonts w:hint="eastAsia"/>
          <w:color w:val="000000"/>
          <w:highlight w:val="none"/>
        </w:rPr>
      </w:pPr>
    </w:p>
    <w:p w14:paraId="2E5AB3A2">
      <w:pPr>
        <w:pStyle w:val="30"/>
        <w:rPr>
          <w:rFonts w:hint="eastAsia"/>
          <w:color w:val="000000"/>
          <w:highlight w:val="none"/>
        </w:rPr>
      </w:pPr>
    </w:p>
    <w:p w14:paraId="784A839B">
      <w:pPr>
        <w:pStyle w:val="30"/>
        <w:rPr>
          <w:rFonts w:hint="eastAsia"/>
          <w:color w:val="000000"/>
          <w:highlight w:val="none"/>
        </w:rPr>
      </w:pPr>
    </w:p>
    <w:p w14:paraId="66AE6B3B">
      <w:pPr>
        <w:pStyle w:val="30"/>
        <w:rPr>
          <w:rFonts w:hint="eastAsia"/>
          <w:color w:val="000000"/>
          <w:highlight w:val="none"/>
        </w:rPr>
      </w:pPr>
    </w:p>
    <w:p w14:paraId="09F24D49">
      <w:pPr>
        <w:pStyle w:val="30"/>
        <w:rPr>
          <w:rFonts w:hint="eastAsia"/>
          <w:color w:val="000000"/>
          <w:highlight w:val="none"/>
        </w:rPr>
      </w:pPr>
    </w:p>
    <w:p w14:paraId="728E76DB">
      <w:pPr>
        <w:pStyle w:val="30"/>
        <w:rPr>
          <w:rFonts w:hint="eastAsia"/>
          <w:color w:val="000000"/>
          <w:highlight w:val="none"/>
        </w:rPr>
      </w:pPr>
    </w:p>
    <w:p w14:paraId="2E4CE761">
      <w:pPr>
        <w:pStyle w:val="30"/>
        <w:rPr>
          <w:rFonts w:hint="eastAsia"/>
          <w:color w:val="000000"/>
          <w:highlight w:val="none"/>
        </w:rPr>
      </w:pPr>
    </w:p>
    <w:p w14:paraId="7DF3A52C">
      <w:pPr>
        <w:pStyle w:val="30"/>
        <w:rPr>
          <w:rFonts w:hint="eastAsia"/>
          <w:color w:val="000000"/>
          <w:highlight w:val="none"/>
        </w:rPr>
      </w:pPr>
    </w:p>
    <w:p w14:paraId="63A1F1E3">
      <w:pPr>
        <w:pStyle w:val="30"/>
        <w:rPr>
          <w:rFonts w:hint="eastAsia"/>
          <w:color w:val="000000"/>
          <w:highlight w:val="none"/>
        </w:rPr>
      </w:pPr>
    </w:p>
    <w:p w14:paraId="7E245D88">
      <w:pPr>
        <w:pStyle w:val="30"/>
        <w:rPr>
          <w:rFonts w:hint="eastAsia"/>
          <w:color w:val="000000"/>
          <w:highlight w:val="none"/>
        </w:rPr>
      </w:pPr>
    </w:p>
    <w:p w14:paraId="7525BD9F">
      <w:pPr>
        <w:pStyle w:val="30"/>
        <w:rPr>
          <w:rFonts w:hint="eastAsia"/>
          <w:color w:val="000000"/>
          <w:highlight w:val="none"/>
        </w:rPr>
      </w:pPr>
    </w:p>
    <w:p w14:paraId="71AA9098">
      <w:pPr>
        <w:pStyle w:val="30"/>
        <w:rPr>
          <w:rFonts w:hint="eastAsia"/>
          <w:color w:val="000000"/>
          <w:highlight w:val="none"/>
        </w:rPr>
      </w:pPr>
    </w:p>
    <w:p w14:paraId="2CA06E4F">
      <w:pPr>
        <w:pStyle w:val="30"/>
        <w:rPr>
          <w:rFonts w:hint="eastAsia"/>
          <w:color w:val="000000"/>
          <w:highlight w:val="none"/>
        </w:rPr>
      </w:pPr>
    </w:p>
    <w:p w14:paraId="7EDBBF3E">
      <w:pPr>
        <w:pStyle w:val="30"/>
        <w:rPr>
          <w:rFonts w:hint="eastAsia"/>
          <w:color w:val="000000"/>
          <w:highlight w:val="none"/>
        </w:rPr>
      </w:pPr>
    </w:p>
    <w:p w14:paraId="510F92EF">
      <w:pPr>
        <w:pStyle w:val="30"/>
        <w:rPr>
          <w:rFonts w:hint="eastAsia"/>
          <w:color w:val="000000"/>
          <w:highlight w:val="none"/>
        </w:rPr>
      </w:pPr>
    </w:p>
    <w:p w14:paraId="4FF379D8">
      <w:pPr>
        <w:pStyle w:val="30"/>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14:paraId="3237618B">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为准。）</w:t>
      </w:r>
    </w:p>
    <w:p w14:paraId="24E7E8A6">
      <w:pPr>
        <w:pStyle w:val="30"/>
        <w:numPr>
          <w:ilvl w:val="0"/>
          <w:numId w:val="13"/>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14:paraId="0ABFEA2E">
      <w:pPr>
        <w:pStyle w:val="30"/>
        <w:numPr>
          <w:ilvl w:val="0"/>
          <w:numId w:val="13"/>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14:paraId="1873AFF8">
      <w:pPr>
        <w:pStyle w:val="30"/>
        <w:numPr>
          <w:ilvl w:val="0"/>
          <w:numId w:val="13"/>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14:paraId="499EABD5">
      <w:pPr>
        <w:pStyle w:val="30"/>
        <w:numPr>
          <w:ilvl w:val="0"/>
          <w:numId w:val="13"/>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14:paraId="01789DBB">
      <w:pPr>
        <w:pStyle w:val="30"/>
        <w:numPr>
          <w:ilvl w:val="0"/>
          <w:numId w:val="13"/>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14:paraId="2ECFB872">
      <w:pPr>
        <w:pStyle w:val="30"/>
        <w:numPr>
          <w:ilvl w:val="0"/>
          <w:numId w:val="13"/>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比选邀请</w:t>
      </w:r>
      <w:r>
        <w:rPr>
          <w:rFonts w:hint="eastAsia" w:ascii="黑体" w:hAnsi="黑体" w:eastAsia="黑体" w:cs="黑体"/>
          <w:color w:val="000000"/>
          <w:sz w:val="28"/>
          <w:szCs w:val="28"/>
          <w:highlight w:val="none"/>
        </w:rPr>
        <w:t>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14:paraId="5EA5A22D">
      <w:pPr>
        <w:pStyle w:val="30"/>
        <w:numPr>
          <w:ilvl w:val="0"/>
          <w:numId w:val="13"/>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14:paraId="791DE4BB">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14:paraId="3DBB9311">
      <w:pPr>
        <w:pStyle w:val="30"/>
        <w:rPr>
          <w:rFonts w:hint="eastAsia" w:ascii="宋体" w:hAnsi="宋体" w:cs="宋体"/>
          <w:color w:val="000000"/>
          <w:sz w:val="32"/>
          <w:szCs w:val="32"/>
          <w:highlight w:val="none"/>
        </w:rPr>
      </w:pPr>
    </w:p>
    <w:p w14:paraId="372983FD">
      <w:pPr>
        <w:pStyle w:val="30"/>
        <w:rPr>
          <w:rFonts w:hint="eastAsia" w:ascii="宋体" w:hAnsi="宋体" w:cs="宋体"/>
          <w:color w:val="000000"/>
          <w:sz w:val="32"/>
          <w:szCs w:val="32"/>
          <w:highlight w:val="none"/>
        </w:rPr>
      </w:pPr>
    </w:p>
    <w:p w14:paraId="3678644F">
      <w:pPr>
        <w:pStyle w:val="30"/>
        <w:rPr>
          <w:rFonts w:hint="eastAsia" w:ascii="宋体" w:hAnsi="宋体" w:cs="宋体"/>
          <w:color w:val="000000"/>
          <w:sz w:val="32"/>
          <w:szCs w:val="32"/>
          <w:highlight w:val="none"/>
        </w:rPr>
      </w:pPr>
    </w:p>
    <w:p w14:paraId="503C2951">
      <w:pPr>
        <w:rPr>
          <w:rFonts w:hint="eastAsia" w:ascii="宋体" w:hAnsi="宋体" w:cs="宋体"/>
          <w:color w:val="000000"/>
          <w:sz w:val="32"/>
          <w:szCs w:val="32"/>
          <w:highlight w:val="none"/>
        </w:rPr>
      </w:pPr>
    </w:p>
    <w:p w14:paraId="4BA3578E">
      <w:pPr>
        <w:pStyle w:val="2"/>
        <w:rPr>
          <w:rFonts w:hint="eastAsia"/>
        </w:rPr>
      </w:pPr>
    </w:p>
    <w:p w14:paraId="3EA66BDB">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中山大学附属仁济医院</w:t>
      </w:r>
    </w:p>
    <w:p w14:paraId="05B02D02">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u w:val="single"/>
          <w:lang w:val="en-US" w:eastAsia="zh-CN"/>
        </w:rPr>
        <w:t xml:space="preserve">             </w:t>
      </w:r>
      <w:r>
        <w:rPr>
          <w:rFonts w:hint="eastAsia" w:ascii="华文中宋" w:hAnsi="华文中宋" w:eastAsia="华文中宋" w:cs="华文中宋"/>
          <w:b/>
          <w:color w:val="000000"/>
          <w:sz w:val="52"/>
          <w:szCs w:val="32"/>
          <w:highlight w:val="none"/>
        </w:rPr>
        <w:t>项目</w:t>
      </w:r>
    </w:p>
    <w:p w14:paraId="5699D750">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14:paraId="5620A40F">
      <w:pPr>
        <w:pStyle w:val="13"/>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14:paraId="47A1F5F0">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02E18B25">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CD8FF91">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C1B3F04">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6964BDBF">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2BA60807">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4DF8F96C">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bookmarkStart w:id="20" w:name="_Toc97049462"/>
      <w:bookmarkStart w:id="21" w:name="_Toc97049463"/>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1E9B18E0">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776E1EC5">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14:paraId="4C1FB14A">
      <w:pPr>
        <w:pStyle w:val="13"/>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14:paraId="59C55E12">
      <w:pPr>
        <w:pStyle w:val="3"/>
        <w:pageBreakBefore/>
        <w:jc w:val="center"/>
        <w:rPr>
          <w:rFonts w:hint="eastAsia" w:ascii="仿宋" w:hAnsi="仿宋" w:eastAsia="仿宋" w:cs="仿宋"/>
          <w:color w:val="000000"/>
          <w:sz w:val="24"/>
          <w:highlight w:val="none"/>
        </w:rPr>
      </w:pPr>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20"/>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14:paraId="35628C07">
      <w:pPr>
        <w:keepNext w:val="0"/>
        <w:keepLines w:val="0"/>
        <w:widowControl/>
        <w:suppressLineNumbers w:val="0"/>
        <w:jc w:val="left"/>
        <w:rPr>
          <w:rFonts w:hint="eastAsia" w:ascii="仿宋" w:hAnsi="仿宋" w:eastAsia="仿宋" w:cs="仿宋"/>
          <w:color w:val="000000"/>
          <w:sz w:val="24"/>
          <w:szCs w:val="24"/>
          <w:highlight w:val="none"/>
        </w:rPr>
      </w:pPr>
    </w:p>
    <w:p w14:paraId="10763E57">
      <w:pPr>
        <w:shd w:val="clear" w:color="auto" w:fill="FFFFFF"/>
        <w:spacing w:line="360" w:lineRule="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一、</w:t>
      </w:r>
      <w:r>
        <w:rPr>
          <w:rFonts w:hint="eastAsia" w:ascii="仿宋" w:hAnsi="仿宋" w:eastAsia="仿宋" w:cs="仿宋"/>
          <w:color w:val="000000"/>
          <w:sz w:val="24"/>
          <w:szCs w:val="24"/>
          <w:highlight w:val="none"/>
          <w:lang w:val="en-US" w:eastAsia="zh-CN"/>
        </w:rPr>
        <w:t>报价…………………………………………………………………………第（  ）页</w:t>
      </w:r>
    </w:p>
    <w:p w14:paraId="58E31D8D">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（一）报价一览表………………………………………………………………第（  ）页</w:t>
      </w:r>
    </w:p>
    <w:p w14:paraId="2A0CDF37">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（二）分项报价明细表</w:t>
      </w:r>
      <w:r>
        <w:rPr>
          <w:rFonts w:hint="eastAsia" w:ascii="仿宋" w:hAnsi="仿宋" w:eastAsia="仿宋" w:cs="仿宋"/>
          <w:color w:val="000000"/>
          <w:sz w:val="24"/>
          <w:szCs w:val="24"/>
          <w:highlight w:val="none"/>
          <w:lang w:val="en-US" w:eastAsia="zh-CN"/>
        </w:rPr>
        <w:t>…………………………………………………………第（  ）页</w:t>
      </w:r>
    </w:p>
    <w:p w14:paraId="4F27E05A">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val="en-US" w:eastAsia="zh-CN"/>
        </w:rPr>
        <w:t>审查……………………………………………………………………第（  ）页</w:t>
      </w:r>
    </w:p>
    <w:p w14:paraId="656296E9">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14:paraId="15A5537D">
      <w:pPr>
        <w:pStyle w:val="30"/>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14:paraId="00CEEC96">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三、符合性</w:t>
      </w:r>
      <w:r>
        <w:rPr>
          <w:rFonts w:hint="eastAsia" w:ascii="仿宋" w:hAnsi="仿宋" w:eastAsia="仿宋" w:cs="仿宋"/>
          <w:color w:val="000000"/>
          <w:sz w:val="24"/>
          <w:szCs w:val="24"/>
          <w:highlight w:val="none"/>
          <w:lang w:val="en-US" w:eastAsia="zh-CN"/>
        </w:rPr>
        <w:t>审查…………………………………………………………………第（  ）页</w:t>
      </w:r>
    </w:p>
    <w:p w14:paraId="6EF9ACBE">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14:paraId="405EA2A8">
      <w:pPr>
        <w:pStyle w:val="30"/>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14:paraId="16BFC678">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四、商务</w:t>
      </w:r>
      <w:r>
        <w:rPr>
          <w:rFonts w:hint="eastAsia" w:ascii="仿宋" w:hAnsi="仿宋" w:eastAsia="仿宋" w:cs="仿宋"/>
          <w:color w:val="000000"/>
          <w:sz w:val="24"/>
          <w:szCs w:val="24"/>
          <w:highlight w:val="none"/>
          <w:lang w:val="en-US" w:eastAsia="zh-CN"/>
        </w:rPr>
        <w:t>评审……………………………………………………………………第（  ）页</w:t>
      </w:r>
    </w:p>
    <w:p w14:paraId="5CB86BC8">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14:paraId="35645888">
      <w:pPr>
        <w:pStyle w:val="30"/>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14:paraId="707CCAD7">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w:t>
      </w:r>
      <w:r>
        <w:rPr>
          <w:rFonts w:hint="eastAsia" w:ascii="仿宋" w:hAnsi="仿宋" w:eastAsia="仿宋" w:cs="仿宋"/>
          <w:color w:val="000000"/>
          <w:sz w:val="24"/>
          <w:szCs w:val="24"/>
          <w:highlight w:val="none"/>
          <w:lang w:val="en-US" w:eastAsia="zh-CN"/>
        </w:rPr>
        <w:t>技术评审……………………………………………………………………第（  ）页</w:t>
      </w:r>
    </w:p>
    <w:p w14:paraId="28CF66CF">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（一）技术评审自查表…………………………………………………………第（  ）页</w:t>
      </w:r>
    </w:p>
    <w:p w14:paraId="340DF5DB">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（二）技术评审证明资料………………………………………………………第（  ）页</w:t>
      </w:r>
    </w:p>
    <w:p w14:paraId="27DCA938">
      <w:pPr>
        <w:shd w:val="clear" w:color="auto" w:fill="FFFFFF"/>
        <w:spacing w:line="360" w:lineRule="auto"/>
        <w:rPr>
          <w:rFonts w:hint="eastAsia" w:ascii="仿宋" w:hAnsi="仿宋" w:eastAsia="仿宋" w:cs="仿宋"/>
          <w:color w:val="000000"/>
          <w:sz w:val="24"/>
          <w:szCs w:val="36"/>
          <w:highlight w:val="none"/>
        </w:rPr>
      </w:pPr>
    </w:p>
    <w:p w14:paraId="47F0DEE2">
      <w:pPr>
        <w:pStyle w:val="30"/>
        <w:rPr>
          <w:rFonts w:hint="eastAsia" w:ascii="仿宋" w:hAnsi="仿宋" w:eastAsia="仿宋" w:cs="仿宋"/>
          <w:color w:val="000000"/>
          <w:highlight w:val="none"/>
        </w:rPr>
      </w:pPr>
    </w:p>
    <w:p w14:paraId="25D19A98">
      <w:pPr>
        <w:pStyle w:val="30"/>
        <w:ind w:left="0" w:leftChars="0" w:firstLine="0" w:firstLineChars="0"/>
        <w:rPr>
          <w:rFonts w:hint="eastAsia" w:ascii="仿宋" w:hAnsi="仿宋" w:eastAsia="仿宋" w:cs="仿宋"/>
          <w:color w:val="000000"/>
          <w:sz w:val="24"/>
          <w:szCs w:val="24"/>
          <w:highlight w:val="none"/>
        </w:rPr>
      </w:pPr>
    </w:p>
    <w:p w14:paraId="62C32D41">
      <w:pPr>
        <w:pStyle w:val="30"/>
        <w:ind w:left="0" w:leftChars="0" w:firstLine="0" w:firstLineChars="0"/>
        <w:rPr>
          <w:rFonts w:hint="eastAsia" w:ascii="仿宋" w:hAnsi="仿宋" w:eastAsia="仿宋" w:cs="仿宋"/>
          <w:color w:val="000000"/>
          <w:sz w:val="24"/>
          <w:szCs w:val="24"/>
          <w:highlight w:val="none"/>
        </w:rPr>
      </w:pPr>
    </w:p>
    <w:p w14:paraId="775CADAE">
      <w:pPr>
        <w:pStyle w:val="30"/>
        <w:ind w:firstLine="400"/>
        <w:rPr>
          <w:rFonts w:hint="eastAsia" w:ascii="仿宋" w:hAnsi="仿宋" w:eastAsia="仿宋" w:cs="仿宋"/>
          <w:color w:val="000000"/>
          <w:sz w:val="24"/>
          <w:szCs w:val="24"/>
          <w:highlight w:val="none"/>
        </w:rPr>
      </w:pPr>
    </w:p>
    <w:p w14:paraId="12BC972F">
      <w:pPr>
        <w:pStyle w:val="30"/>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14:paraId="2969E5AB">
      <w:pPr>
        <w:pStyle w:val="30"/>
        <w:ind w:left="0" w:leftChars="0"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14:paraId="66A5DCF6">
      <w:pPr>
        <w:pStyle w:val="30"/>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14:paraId="0FAA25D3">
      <w:pPr>
        <w:pStyle w:val="18"/>
        <w:spacing w:line="360" w:lineRule="auto"/>
        <w:rPr>
          <w:rFonts w:hint="eastAsia" w:ascii="仿宋" w:hAnsi="仿宋" w:eastAsia="仿宋" w:cs="仿宋"/>
          <w:color w:val="000000"/>
          <w:sz w:val="24"/>
          <w:szCs w:val="24"/>
          <w:highlight w:val="none"/>
        </w:rPr>
      </w:pPr>
    </w:p>
    <w:p w14:paraId="5AFD2CD1">
      <w:pPr>
        <w:spacing w:before="240" w:line="360" w:lineRule="auto"/>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p w14:paraId="0CFD4F72">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21"/>
    <w:p w14:paraId="0CA229B1">
      <w:pPr>
        <w:pStyle w:val="3"/>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14:paraId="62FA94B4">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）报价一览表</w:t>
      </w:r>
    </w:p>
    <w:tbl>
      <w:tblPr>
        <w:tblStyle w:val="23"/>
        <w:tblW w:w="0" w:type="auto"/>
        <w:jc w:val="center"/>
        <w:tblLayout w:type="autofit"/>
        <w:tblCellMar>
          <w:top w:w="0" w:type="dxa"/>
          <w:left w:w="108" w:type="dxa"/>
          <w:bottom w:w="0" w:type="dxa"/>
          <w:right w:w="108" w:type="dxa"/>
        </w:tblCellMar>
      </w:tblPr>
      <w:tblGrid>
        <w:gridCol w:w="1560"/>
        <w:gridCol w:w="2593"/>
        <w:gridCol w:w="1517"/>
        <w:gridCol w:w="2945"/>
      </w:tblGrid>
      <w:tr w14:paraId="3CC1B225">
        <w:trPr>
          <w:jc w:val="center"/>
        </w:trPr>
        <w:tc>
          <w:tcPr>
            <w:tcW w:w="1560" w:type="dxa"/>
            <w:vAlign w:val="bottom"/>
          </w:tcPr>
          <w:p w14:paraId="54F481CC">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7055" w:type="dxa"/>
            <w:gridSpan w:val="3"/>
            <w:tcBorders>
              <w:top w:val="nil"/>
              <w:left w:val="nil"/>
              <w:bottom w:val="single" w:color="auto" w:sz="4" w:space="0"/>
              <w:right w:val="nil"/>
            </w:tcBorders>
            <w:vAlign w:val="bottom"/>
          </w:tcPr>
          <w:p w14:paraId="4EAA621C">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中山大学附属仁济医院危险废物处置服务采购项目</w:t>
            </w:r>
          </w:p>
        </w:tc>
      </w:tr>
      <w:tr w14:paraId="3C50FC13">
        <w:tblPrEx>
          <w:tblCellMar>
            <w:top w:w="0" w:type="dxa"/>
            <w:left w:w="108" w:type="dxa"/>
            <w:bottom w:w="0" w:type="dxa"/>
            <w:right w:w="108" w:type="dxa"/>
          </w:tblCellMar>
        </w:tblPrEx>
        <w:trPr>
          <w:jc w:val="center"/>
        </w:trPr>
        <w:tc>
          <w:tcPr>
            <w:tcW w:w="1560" w:type="dxa"/>
            <w:vAlign w:val="bottom"/>
          </w:tcPr>
          <w:p w14:paraId="3D5D1F3B">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14:paraId="7CFFDB07">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14:paraId="4993ECE5">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2945" w:type="dxa"/>
            <w:tcBorders>
              <w:top w:val="single" w:color="auto" w:sz="4" w:space="0"/>
              <w:left w:val="nil"/>
              <w:bottom w:val="single" w:color="auto" w:sz="4" w:space="0"/>
              <w:right w:val="nil"/>
            </w:tcBorders>
          </w:tcPr>
          <w:p w14:paraId="11D0CBA2">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14:paraId="2C2D37C4">
        <w:tblPrEx>
          <w:tblCellMar>
            <w:top w:w="0" w:type="dxa"/>
            <w:left w:w="108" w:type="dxa"/>
            <w:bottom w:w="0" w:type="dxa"/>
            <w:right w:w="108" w:type="dxa"/>
          </w:tblCellMar>
        </w:tblPrEx>
        <w:trPr>
          <w:jc w:val="center"/>
        </w:trPr>
        <w:tc>
          <w:tcPr>
            <w:tcW w:w="1560" w:type="dxa"/>
            <w:vAlign w:val="bottom"/>
          </w:tcPr>
          <w:p w14:paraId="09D2C8CC">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14:paraId="778A065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14:paraId="50D1845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945" w:type="dxa"/>
            <w:tcBorders>
              <w:top w:val="single" w:color="auto" w:sz="4" w:space="0"/>
              <w:left w:val="nil"/>
              <w:bottom w:val="single" w:color="auto" w:sz="4" w:space="0"/>
              <w:right w:val="nil"/>
            </w:tcBorders>
          </w:tcPr>
          <w:p w14:paraId="3F9D60C1">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14:paraId="47BE90EC">
      <w:pPr>
        <w:rPr>
          <w:highlight w:val="none"/>
        </w:rPr>
      </w:pPr>
    </w:p>
    <w:p w14:paraId="18552DE4">
      <w:pPr>
        <w:pStyle w:val="30"/>
        <w:rPr>
          <w:rFonts w:hint="eastAsia" w:ascii="仿宋" w:hAnsi="仿宋" w:eastAsia="仿宋" w:cs="仿宋"/>
          <w:color w:val="000000"/>
          <w:sz w:val="21"/>
          <w:szCs w:val="21"/>
          <w:highlight w:val="none"/>
        </w:rPr>
      </w:pPr>
    </w:p>
    <w:tbl>
      <w:tblPr>
        <w:tblStyle w:val="23"/>
        <w:tblW w:w="94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3436"/>
        <w:gridCol w:w="3402"/>
        <w:gridCol w:w="1596"/>
        <w:gridCol w:w="1045"/>
      </w:tblGrid>
      <w:tr w14:paraId="09A77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3436" w:type="dxa"/>
            <w:shd w:val="clear" w:color="auto" w:fill="EEECE1"/>
            <w:vAlign w:val="center"/>
          </w:tcPr>
          <w:p w14:paraId="6AF66D9B">
            <w:pPr>
              <w:pStyle w:val="34"/>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kern w:val="0"/>
                <w:sz w:val="22"/>
                <w:szCs w:val="22"/>
                <w:highlight w:val="none"/>
              </w:rPr>
              <w:t>项目名称</w:t>
            </w:r>
          </w:p>
        </w:tc>
        <w:tc>
          <w:tcPr>
            <w:tcW w:w="3402" w:type="dxa"/>
            <w:shd w:val="clear" w:color="auto" w:fill="EEECE1"/>
            <w:vAlign w:val="center"/>
          </w:tcPr>
          <w:p w14:paraId="44309A47">
            <w:pPr>
              <w:pStyle w:val="34"/>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总报价（元）</w:t>
            </w:r>
          </w:p>
        </w:tc>
        <w:tc>
          <w:tcPr>
            <w:tcW w:w="1596" w:type="dxa"/>
            <w:shd w:val="clear" w:color="auto" w:fill="EEECE1"/>
            <w:vAlign w:val="center"/>
          </w:tcPr>
          <w:p w14:paraId="112953C8">
            <w:pPr>
              <w:pStyle w:val="34"/>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响应有效期</w:t>
            </w:r>
          </w:p>
        </w:tc>
        <w:tc>
          <w:tcPr>
            <w:tcW w:w="1045" w:type="dxa"/>
            <w:shd w:val="clear" w:color="auto" w:fill="EEECE1"/>
            <w:vAlign w:val="center"/>
          </w:tcPr>
          <w:p w14:paraId="58607411">
            <w:pPr>
              <w:pStyle w:val="34"/>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备注</w:t>
            </w:r>
          </w:p>
        </w:tc>
      </w:tr>
      <w:tr w14:paraId="24A6F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0" w:hRule="atLeast"/>
          <w:jc w:val="center"/>
        </w:trPr>
        <w:tc>
          <w:tcPr>
            <w:tcW w:w="3436" w:type="dxa"/>
            <w:shd w:val="clear" w:color="auto" w:fill="FFFFFF"/>
            <w:vAlign w:val="center"/>
          </w:tcPr>
          <w:p w14:paraId="6950C8E5">
            <w:pPr>
              <w:pStyle w:val="34"/>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Cs/>
                <w:color w:val="auto"/>
                <w:kern w:val="0"/>
                <w:sz w:val="22"/>
                <w:szCs w:val="22"/>
                <w:highlight w:val="none"/>
              </w:rPr>
            </w:pPr>
            <w:r>
              <w:rPr>
                <w:rFonts w:hint="eastAsia" w:ascii="仿宋" w:hAnsi="仿宋" w:eastAsia="仿宋" w:cs="仿宋"/>
                <w:color w:val="auto"/>
                <w:sz w:val="22"/>
                <w:szCs w:val="22"/>
                <w:highlight w:val="none"/>
              </w:rPr>
              <w:t>中山大学</w:t>
            </w:r>
            <w:r>
              <w:rPr>
                <w:rFonts w:hint="eastAsia" w:ascii="仿宋" w:hAnsi="仿宋" w:eastAsia="仿宋" w:cs="仿宋"/>
                <w:color w:val="auto"/>
                <w:sz w:val="22"/>
                <w:szCs w:val="22"/>
                <w:highlight w:val="none"/>
                <w:lang w:val="en-US" w:eastAsia="zh-CN"/>
              </w:rPr>
              <w:t>附属仁济医院</w:t>
            </w:r>
            <w:r>
              <w:rPr>
                <w:rFonts w:hint="eastAsia" w:ascii="仿宋" w:hAnsi="仿宋" w:eastAsia="仿宋" w:cs="仿宋"/>
                <w:color w:val="auto"/>
                <w:sz w:val="22"/>
                <w:szCs w:val="22"/>
                <w:highlight w:val="none"/>
              </w:rPr>
              <w:t>危险废物处置服务采购项目</w:t>
            </w:r>
          </w:p>
        </w:tc>
        <w:tc>
          <w:tcPr>
            <w:tcW w:w="3402" w:type="dxa"/>
            <w:shd w:val="clear" w:color="auto" w:fill="FFFFFF"/>
            <w:vAlign w:val="center"/>
          </w:tcPr>
          <w:p w14:paraId="201EBC4D">
            <w:pPr>
              <w:keepNext w:val="0"/>
              <w:keepLines w:val="0"/>
              <w:suppressLineNumbers w:val="0"/>
              <w:overflowPunct w:val="0"/>
              <w:spacing w:before="0" w:beforeAutospacing="0" w:after="0" w:afterAutospacing="0" w:line="460" w:lineRule="exact"/>
              <w:ind w:left="0" w:right="0"/>
              <w:rPr>
                <w:rFonts w:hint="eastAsia" w:ascii="仿宋" w:hAnsi="仿宋" w:eastAsia="仿宋" w:cs="仿宋"/>
                <w:color w:val="auto"/>
                <w:sz w:val="22"/>
                <w:highlight w:val="none"/>
              </w:rPr>
            </w:pPr>
            <w:r>
              <w:rPr>
                <w:rFonts w:hint="eastAsia" w:ascii="仿宋" w:hAnsi="仿宋" w:eastAsia="仿宋" w:cs="仿宋"/>
                <w:color w:val="auto"/>
                <w:sz w:val="22"/>
                <w:highlight w:val="none"/>
              </w:rPr>
              <w:t>大写：</w:t>
            </w:r>
            <w:r>
              <w:rPr>
                <w:rFonts w:hint="eastAsia" w:ascii="仿宋" w:hAnsi="仿宋" w:eastAsia="仿宋" w:cs="仿宋"/>
                <w:color w:val="auto"/>
                <w:sz w:val="22"/>
                <w:highlight w:val="none"/>
                <w:u w:val="single"/>
              </w:rPr>
              <w:t xml:space="preserve">                          </w:t>
            </w:r>
          </w:p>
          <w:p w14:paraId="638B6E28">
            <w:pPr>
              <w:keepNext w:val="0"/>
              <w:keepLines w:val="0"/>
              <w:suppressLineNumbers w:val="0"/>
              <w:overflowPunct w:val="0"/>
              <w:spacing w:before="0" w:beforeAutospacing="0" w:after="0" w:afterAutospacing="0" w:line="460" w:lineRule="exact"/>
              <w:ind w:left="0" w:right="0"/>
              <w:rPr>
                <w:rFonts w:hint="eastAsia" w:ascii="仿宋" w:hAnsi="仿宋" w:eastAsia="仿宋" w:cs="仿宋"/>
                <w:color w:val="auto"/>
                <w:highlight w:val="none"/>
                <w:u w:val="single"/>
              </w:rPr>
            </w:pPr>
            <w:r>
              <w:rPr>
                <w:rFonts w:hint="eastAsia" w:ascii="仿宋" w:hAnsi="仿宋" w:eastAsia="仿宋" w:cs="仿宋"/>
                <w:color w:val="auto"/>
                <w:sz w:val="22"/>
                <w:highlight w:val="none"/>
              </w:rPr>
              <w:t>小写：</w:t>
            </w:r>
            <w:r>
              <w:rPr>
                <w:rFonts w:hint="eastAsia" w:ascii="仿宋" w:hAnsi="仿宋" w:eastAsia="仿宋" w:cs="仿宋"/>
                <w:color w:val="auto"/>
                <w:highlight w:val="none"/>
                <w:u w:val="single"/>
              </w:rPr>
              <w:t xml:space="preserve">                          </w:t>
            </w:r>
          </w:p>
        </w:tc>
        <w:tc>
          <w:tcPr>
            <w:tcW w:w="1596" w:type="dxa"/>
            <w:shd w:val="clear" w:color="auto" w:fill="FFFFFF"/>
            <w:vAlign w:val="center"/>
          </w:tcPr>
          <w:p w14:paraId="2DA09921">
            <w:pPr>
              <w:pStyle w:val="34"/>
              <w:keepNext w:val="0"/>
              <w:keepLines w:val="0"/>
              <w:suppressLineNumbers w:val="0"/>
              <w:spacing w:before="0" w:beforeAutospacing="0" w:after="0" w:afterAutospacing="0" w:line="240" w:lineRule="auto"/>
              <w:ind w:left="0" w:right="0" w:firstLine="0" w:firstLineChars="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自提交响应文件的截止之日起90个公历日</w:t>
            </w:r>
          </w:p>
        </w:tc>
        <w:tc>
          <w:tcPr>
            <w:tcW w:w="1045" w:type="dxa"/>
            <w:shd w:val="clear" w:color="auto" w:fill="FFFFFF"/>
            <w:vAlign w:val="center"/>
          </w:tcPr>
          <w:p w14:paraId="1554CD49">
            <w:pPr>
              <w:pStyle w:val="34"/>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sz w:val="22"/>
                <w:szCs w:val="22"/>
                <w:highlight w:val="none"/>
              </w:rPr>
            </w:pPr>
          </w:p>
        </w:tc>
      </w:tr>
    </w:tbl>
    <w:p w14:paraId="6ADA619F">
      <w:pPr>
        <w:pStyle w:val="30"/>
        <w:rPr>
          <w:rFonts w:hint="eastAsia" w:ascii="仿宋" w:hAnsi="仿宋" w:eastAsia="仿宋" w:cs="仿宋"/>
          <w:color w:val="000000"/>
          <w:sz w:val="21"/>
          <w:szCs w:val="21"/>
          <w:highlight w:val="none"/>
        </w:rPr>
      </w:pPr>
    </w:p>
    <w:p w14:paraId="6140AC82">
      <w:pPr>
        <w:pStyle w:val="30"/>
        <w:rPr>
          <w:rFonts w:hint="eastAsia" w:ascii="仿宋" w:hAnsi="仿宋" w:eastAsia="仿宋" w:cs="仿宋"/>
          <w:color w:val="000000"/>
          <w:sz w:val="21"/>
          <w:szCs w:val="21"/>
          <w:highlight w:val="none"/>
        </w:rPr>
      </w:pPr>
    </w:p>
    <w:p w14:paraId="7AFB3EA7">
      <w:pPr>
        <w:pStyle w:val="3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14:paraId="7CC5F855">
      <w:pPr>
        <w:pStyle w:val="3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1、响应人须按要求填写所有信息，不得随意更改本表格式。</w:t>
      </w:r>
    </w:p>
    <w:p w14:paraId="00E64911">
      <w:pPr>
        <w:pStyle w:val="3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含危险废物的上门回收、装卸、运输、处置、检测、车辆及相关设备的保险、维修、油料、人工、税金、利润、完成合同所需的一切本身和不可或缺的所有工作开支等费用）。</w:t>
      </w:r>
    </w:p>
    <w:p w14:paraId="002CBBFC">
      <w:pPr>
        <w:pStyle w:val="30"/>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此表是响应文件的必要组成文件。</w:t>
      </w:r>
    </w:p>
    <w:p w14:paraId="09AC4C68">
      <w:pPr>
        <w:pStyle w:val="30"/>
        <w:rPr>
          <w:rFonts w:hint="eastAsia" w:ascii="仿宋" w:hAnsi="仿宋" w:eastAsia="仿宋" w:cs="仿宋"/>
          <w:color w:val="000000"/>
          <w:highlight w:val="none"/>
        </w:rPr>
      </w:pPr>
    </w:p>
    <w:p w14:paraId="6AD694B7">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05CCFBE">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4F6DE5D">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7350CE24">
      <w:pPr>
        <w:pStyle w:val="3"/>
        <w:keepNext/>
        <w:keepLines/>
        <w:pageBreakBefore/>
        <w:widowControl w:val="0"/>
        <w:numPr>
          <w:ilvl w:val="0"/>
          <w:numId w:val="0"/>
        </w:numPr>
        <w:kinsoku/>
        <w:wordWrap/>
        <w:overflowPunct/>
        <w:topLinePunct w:val="0"/>
        <w:autoSpaceDE/>
        <w:autoSpaceDN/>
        <w:bidi w:val="0"/>
        <w:adjustRightInd w:val="0"/>
        <w:snapToGrid w:val="0"/>
        <w:spacing w:before="157" w:beforeLines="50" w:after="0" w:line="240" w:lineRule="auto"/>
        <w:ind w:leftChars="200"/>
        <w:jc w:val="center"/>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（二）分项报价明细表（详细报价清单）</w:t>
      </w:r>
    </w:p>
    <w:p w14:paraId="11B80930">
      <w:pPr>
        <w:numPr>
          <w:ilvl w:val="0"/>
          <w:numId w:val="0"/>
        </w:numPr>
        <w:rPr>
          <w:rFonts w:hint="eastAsia"/>
          <w:color w:val="000000" w:themeColor="text1"/>
          <w:highlight w:val="none"/>
          <w:lang w:val="en-US" w:eastAsia="zh-CN"/>
          <w14:textFill>
            <w14:solidFill>
              <w14:schemeClr w14:val="tx1"/>
            </w14:solidFill>
          </w14:textFill>
        </w:rPr>
      </w:pPr>
    </w:p>
    <w:p w14:paraId="7ED5930D">
      <w:pPr>
        <w:numPr>
          <w:ilvl w:val="0"/>
          <w:numId w:val="0"/>
        </w:numP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项目名称：中山大学附属仁济医院危险废物处置服务采购项目</w:t>
      </w:r>
    </w:p>
    <w:p w14:paraId="27962CA0">
      <w:pPr>
        <w:pStyle w:val="15"/>
        <w:rPr>
          <w:rFonts w:hint="eastAsia" w:ascii="仿宋" w:hAnsi="仿宋" w:eastAsia="仿宋" w:cs="仿宋"/>
          <w:lang w:val="en-US" w:eastAsia="zh-CN"/>
        </w:rPr>
      </w:pPr>
    </w:p>
    <w:p w14:paraId="090F1347">
      <w:pPr>
        <w:rPr>
          <w:rFonts w:hint="eastAsia" w:ascii="仿宋" w:hAnsi="仿宋" w:eastAsia="仿宋" w:cs="仿宋"/>
          <w:lang w:val="en-US" w:eastAsia="zh-CN"/>
        </w:rPr>
      </w:pPr>
    </w:p>
    <w:p w14:paraId="3A6C39AF">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1.分项报价明细表另附，详见附件3：《中山大学附属仁济医院危险废物处置服务采购项目分项报价明细表》</w:t>
      </w:r>
    </w:p>
    <w:p w14:paraId="2348C43C">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2.响应人须按照上述附件内的要求进行填写报价。不得修改分项报价明细表内任何公式。</w:t>
      </w:r>
    </w:p>
    <w:p w14:paraId="356E2DDC">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3.分项报价明细表均需打印放入响应文件中作为响应明细报价表内容。</w:t>
      </w:r>
    </w:p>
    <w:p w14:paraId="2053BDA6">
      <w:pPr>
        <w:rPr>
          <w:rFonts w:hint="eastAsia" w:ascii="仿宋" w:hAnsi="仿宋" w:eastAsia="仿宋" w:cs="仿宋"/>
          <w:sz w:val="21"/>
          <w:szCs w:val="21"/>
          <w:lang w:val="en-US" w:eastAsia="zh-CN"/>
        </w:rPr>
      </w:pPr>
    </w:p>
    <w:p w14:paraId="64512558">
      <w:pPr>
        <w:rPr>
          <w:rFonts w:hint="eastAsia" w:ascii="仿宋" w:hAnsi="仿宋" w:eastAsia="仿宋" w:cs="仿宋"/>
          <w:sz w:val="18"/>
          <w:szCs w:val="18"/>
          <w:lang w:val="en-US" w:eastAsia="zh-CN"/>
        </w:rPr>
      </w:pPr>
    </w:p>
    <w:p w14:paraId="668081DA">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注：1.此表为报价总表内各项服务的报价明细表。</w:t>
      </w:r>
    </w:p>
    <w:p w14:paraId="3D0A6CDC">
      <w:pPr>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2.报价人应按分项报价明细表的各项内容要求进行填写，不得更改此表格式。</w:t>
      </w:r>
    </w:p>
    <w:p w14:paraId="0B9EBC35">
      <w:pPr>
        <w:pStyle w:val="15"/>
        <w:keepNext w:val="0"/>
        <w:keepLines w:val="0"/>
        <w:pageBreakBefore w:val="0"/>
        <w:widowControl w:val="0"/>
        <w:numPr>
          <w:ilvl w:val="0"/>
          <w:numId w:val="0"/>
        </w:numPr>
        <w:kinsoku/>
        <w:wordWrap/>
        <w:overflowPunct/>
        <w:topLinePunct w:val="0"/>
        <w:autoSpaceDE/>
        <w:autoSpaceDN/>
        <w:bidi w:val="0"/>
        <w:adjustRightInd/>
        <w:snapToGrid/>
        <w:ind w:firstLine="360"/>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3.必须将标黄色的区域一一填写完整。</w:t>
      </w:r>
    </w:p>
    <w:p w14:paraId="146AEF56">
      <w:pPr>
        <w:pStyle w:val="15"/>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4.不得修改本表格内的计算公式。</w:t>
      </w:r>
    </w:p>
    <w:p w14:paraId="1F097770">
      <w:pPr>
        <w:pStyle w:val="15"/>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5.所填报的含税综合单价均不得超过对应项目的含税综合单价最高限价。</w:t>
      </w:r>
    </w:p>
    <w:p w14:paraId="4749F0CA">
      <w:pPr>
        <w:pStyle w:val="15"/>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6.分项报价明细表的三年合计金额必须与《报价一览表》中的总报价一致。</w:t>
      </w:r>
    </w:p>
    <w:p w14:paraId="7E700B17">
      <w:pPr>
        <w:pStyle w:val="15"/>
        <w:keepNext w:val="0"/>
        <w:keepLines w:val="0"/>
        <w:pageBreakBefore w:val="0"/>
        <w:widowControl w:val="0"/>
        <w:numPr>
          <w:ilvl w:val="0"/>
          <w:numId w:val="0"/>
        </w:numPr>
        <w:kinsoku/>
        <w:wordWrap/>
        <w:overflowPunct/>
        <w:topLinePunct w:val="0"/>
        <w:autoSpaceDE/>
        <w:autoSpaceDN/>
        <w:bidi w:val="0"/>
        <w:adjustRightInd/>
        <w:snapToGrid/>
        <w:ind w:firstLine="361" w:firstLineChars="200"/>
        <w:textAlignment w:val="auto"/>
        <w:rPr>
          <w:rFonts w:hint="eastAsia" w:ascii="仿宋" w:hAnsi="仿宋" w:eastAsia="仿宋" w:cs="仿宋"/>
          <w:b/>
          <w:bCs/>
          <w:sz w:val="18"/>
          <w:szCs w:val="18"/>
          <w:lang w:val="en-US" w:eastAsia="zh-CN"/>
        </w:rPr>
      </w:pPr>
      <w:r>
        <w:rPr>
          <w:rFonts w:hint="eastAsia" w:ascii="仿宋" w:hAnsi="仿宋" w:eastAsia="仿宋" w:cs="仿宋"/>
          <w:b/>
          <w:bCs/>
          <w:sz w:val="18"/>
          <w:szCs w:val="18"/>
          <w:lang w:val="en-US" w:eastAsia="zh-CN"/>
        </w:rPr>
        <w:t>7.未完全按第2-6点要求执行的，均按无效响应处理。</w:t>
      </w:r>
    </w:p>
    <w:p w14:paraId="77726599">
      <w:pPr>
        <w:rPr>
          <w:rFonts w:hint="eastAsia" w:ascii="仿宋" w:hAnsi="仿宋" w:eastAsia="仿宋" w:cs="仿宋"/>
          <w:lang w:val="en-US" w:eastAsia="zh-CN"/>
        </w:rPr>
      </w:pPr>
    </w:p>
    <w:p w14:paraId="41930C5F">
      <w:pPr>
        <w:pStyle w:val="15"/>
        <w:rPr>
          <w:rFonts w:hint="eastAsia" w:ascii="仿宋" w:hAnsi="仿宋" w:eastAsia="仿宋" w:cs="仿宋"/>
          <w:lang w:val="en-US" w:eastAsia="zh-CN"/>
        </w:rPr>
      </w:pPr>
    </w:p>
    <w:p w14:paraId="7B3C7B1E">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606182F6">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0F267315">
      <w:pPr>
        <w:pageBreakBefore w:val="0"/>
        <w:kinsoku/>
        <w:wordWrap/>
        <w:overflowPunct/>
        <w:topLinePunct w:val="0"/>
        <w:bidi w:val="0"/>
        <w:spacing w:line="360" w:lineRule="auto"/>
        <w:ind w:right="0" w:rightChars="0"/>
        <w:jc w:val="center"/>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3BFA191B">
      <w:pPr>
        <w:pStyle w:val="3"/>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14:paraId="5ED4295B">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23"/>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453521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17FD9142">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14:paraId="5369B344">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515" w:type="dxa"/>
            <w:vAlign w:val="center"/>
          </w:tcPr>
          <w:p w14:paraId="4F9BBF90">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14:paraId="5954F369">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1D39FA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7B7E92DB">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14:paraId="29733D29">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14:paraId="3DB8AC0A">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14:paraId="70AB2474">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14:paraId="1DBAF8EE">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14:paraId="3C56DD14">
            <w:pPr>
              <w:keepNext w:val="0"/>
              <w:keepLines w:val="0"/>
              <w:suppressLineNumbers w:val="0"/>
              <w:spacing w:before="0" w:beforeAutospacing="0" w:after="0" w:afterAutospacing="0"/>
              <w:ind w:left="0" w:leftChars="0" w:right="78" w:rightChars="37"/>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14:paraId="0BB2B0D9">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5EE11576">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70A7B958">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34620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B737203">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76627E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6AEAC82E">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5F5F593">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3672B3E7">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16B644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44926FA">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697B65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7648C1FE">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A27AF8E">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6440B974">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2424C8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6565E18">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5E724B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本项目不接受联合体报名，成交供应商不得以任何方式转包或分包本项目。</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14:paraId="7362F30B">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59B9457">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04026C50">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669A1C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481440BC">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7A1F70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highlight w:val="none"/>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5A4B1805">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B6B38EA">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12127149">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89D85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3BB1D2BA">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14:paraId="4D2095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c>
          <w:tcPr>
            <w:tcW w:w="1515" w:type="dxa"/>
            <w:vAlign w:val="center"/>
          </w:tcPr>
          <w:p w14:paraId="423507A3">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EA21C77">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14:paraId="553163C1">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6BCF8E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14:paraId="0357A261">
            <w:pPr>
              <w:keepNext w:val="0"/>
              <w:keepLines w:val="0"/>
              <w:suppressLineNumbers w:val="0"/>
              <w:spacing w:before="0" w:beforeAutospacing="0" w:after="0" w:afterAutospacing="0"/>
              <w:ind w:left="0" w:right="-178" w:rightChars="-85"/>
              <w:jc w:val="center"/>
              <w:rPr>
                <w:rFonts w:hint="eastAsia" w:ascii="仿宋" w:hAnsi="仿宋" w:eastAsia="仿宋" w:cs="仿宋"/>
                <w:highlight w:val="none"/>
              </w:rPr>
            </w:pPr>
          </w:p>
        </w:tc>
        <w:tc>
          <w:tcPr>
            <w:tcW w:w="5834" w:type="dxa"/>
            <w:vAlign w:val="center"/>
          </w:tcPr>
          <w:p w14:paraId="397CE4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rPr>
            </w:pPr>
            <w:r>
              <w:rPr>
                <w:rFonts w:hint="eastAsia" w:ascii="仿宋" w:hAnsi="仿宋" w:eastAsia="仿宋" w:cs="仿宋"/>
                <w:kern w:val="28"/>
                <w:sz w:val="21"/>
                <w:szCs w:val="21"/>
                <w:highlight w:val="none"/>
              </w:rPr>
              <w:t>出具加盖公章、有</w:t>
            </w:r>
            <w:r>
              <w:rPr>
                <w:rFonts w:hint="eastAsia" w:ascii="仿宋" w:hAnsi="仿宋" w:eastAsia="仿宋" w:cs="仿宋"/>
                <w:kern w:val="28"/>
                <w:sz w:val="21"/>
                <w:szCs w:val="21"/>
                <w:highlight w:val="none"/>
                <w:lang w:val="en-US" w:eastAsia="zh-CN"/>
              </w:rPr>
              <w:t>单位负责人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法定代表人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rPr>
              <w:t>签名的《供应商廉洁守约承诺书》。（出具有效的加盖公章</w:t>
            </w:r>
            <w:r>
              <w:rPr>
                <w:rFonts w:hint="eastAsia" w:ascii="仿宋" w:hAnsi="仿宋" w:eastAsia="仿宋" w:cs="仿宋"/>
                <w:kern w:val="28"/>
                <w:sz w:val="21"/>
                <w:szCs w:val="21"/>
                <w:highlight w:val="none"/>
                <w:lang w:val="en-US" w:eastAsia="zh-CN"/>
              </w:rPr>
              <w:t>承诺书</w:t>
            </w:r>
            <w:r>
              <w:rPr>
                <w:rFonts w:hint="eastAsia" w:ascii="仿宋" w:hAnsi="仿宋" w:eastAsia="仿宋" w:cs="仿宋"/>
                <w:kern w:val="28"/>
                <w:sz w:val="21"/>
                <w:szCs w:val="21"/>
                <w:highlight w:val="none"/>
                <w:lang w:eastAsia="zh-CN"/>
              </w:rPr>
              <w:t>，格式详见“</w:t>
            </w:r>
            <w:r>
              <w:rPr>
                <w:rFonts w:hint="eastAsia" w:ascii="仿宋" w:hAnsi="仿宋" w:eastAsia="仿宋" w:cs="仿宋"/>
                <w:kern w:val="28"/>
                <w:sz w:val="21"/>
                <w:szCs w:val="21"/>
                <w:highlight w:val="none"/>
                <w:lang w:val="en-US" w:eastAsia="zh-CN"/>
              </w:rPr>
              <w:t>3</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供应商廉洁守约承诺书</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不得擅自删改</w:t>
            </w:r>
            <w:r>
              <w:rPr>
                <w:rFonts w:hint="eastAsia" w:ascii="仿宋" w:hAnsi="仿宋" w:eastAsia="仿宋" w:cs="仿宋"/>
                <w:kern w:val="28"/>
                <w:sz w:val="21"/>
                <w:szCs w:val="21"/>
                <w:highlight w:val="none"/>
              </w:rPr>
              <w:t>）</w:t>
            </w:r>
          </w:p>
        </w:tc>
        <w:tc>
          <w:tcPr>
            <w:tcW w:w="1515" w:type="dxa"/>
            <w:vAlign w:val="center"/>
          </w:tcPr>
          <w:p w14:paraId="5C3F684A">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2636C56C">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570F4BED">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D4009D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178EBE41">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top"/>
          </w:tcPr>
          <w:p w14:paraId="1B7682F1">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color w:val="000000"/>
                <w:sz w:val="20"/>
                <w:szCs w:val="20"/>
                <w:highlight w:val="none"/>
                <w:lang w:val="en-US" w:eastAsia="zh-CN"/>
              </w:rPr>
              <w:t>响应人</w:t>
            </w:r>
            <w:r>
              <w:rPr>
                <w:rFonts w:hint="eastAsia" w:ascii="仿宋" w:hAnsi="仿宋" w:eastAsia="仿宋" w:cs="仿宋"/>
                <w:color w:val="000000"/>
                <w:sz w:val="20"/>
                <w:szCs w:val="20"/>
                <w:highlight w:val="none"/>
                <w:lang w:val="zh-CN"/>
              </w:rPr>
              <w:t>须具备生态环境主管部门颁发的在有效期内的《危险废物经营许可证》且核准经营危险废物类别代码需包含本项目全部危险废物（详见</w:t>
            </w:r>
            <w:r>
              <w:rPr>
                <w:rFonts w:hint="eastAsia" w:ascii="仿宋" w:hAnsi="仿宋" w:eastAsia="仿宋" w:cs="仿宋"/>
                <w:color w:val="000000"/>
                <w:sz w:val="20"/>
                <w:szCs w:val="20"/>
                <w:highlight w:val="none"/>
                <w:lang w:val="en-US" w:eastAsia="zh-CN"/>
              </w:rPr>
              <w:t>比选邀请函</w:t>
            </w:r>
            <w:r>
              <w:rPr>
                <w:rFonts w:hint="eastAsia" w:ascii="仿宋" w:hAnsi="仿宋" w:eastAsia="仿宋" w:cs="仿宋"/>
                <w:color w:val="000000"/>
                <w:sz w:val="20"/>
                <w:szCs w:val="20"/>
                <w:highlight w:val="none"/>
                <w:lang w:val="zh-CN"/>
              </w:rPr>
              <w:t>）。(提供有效证书的复印件，加盖公章）</w:t>
            </w:r>
          </w:p>
        </w:tc>
        <w:tc>
          <w:tcPr>
            <w:tcW w:w="1515" w:type="dxa"/>
            <w:vAlign w:val="center"/>
          </w:tcPr>
          <w:p w14:paraId="635FB86A">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5A34204">
            <w:pPr>
              <w:keepNext w:val="0"/>
              <w:keepLines w:val="0"/>
              <w:suppressLineNumbers w:val="0"/>
              <w:spacing w:before="0" w:beforeAutospacing="0" w:after="0" w:afterAutospacing="0"/>
              <w:ind w:left="36" w:leftChars="17"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35D862AA">
            <w:pPr>
              <w:keepNext w:val="0"/>
              <w:keepLines w:val="0"/>
              <w:suppressLineNumbers w:val="0"/>
              <w:spacing w:before="0" w:beforeAutospacing="0" w:after="0" w:afterAutospacing="0"/>
              <w:ind w:left="0" w:leftChars="0" w:right="-178" w:rightChars="-85"/>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3FACE3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4901F5C4">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top"/>
          </w:tcPr>
          <w:p w14:paraId="3659247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color w:val="000000"/>
                <w:sz w:val="20"/>
                <w:szCs w:val="20"/>
                <w:highlight w:val="none"/>
                <w:lang w:val="zh-CN"/>
              </w:rPr>
              <w:t>如</w:t>
            </w:r>
            <w:r>
              <w:rPr>
                <w:rFonts w:hint="eastAsia" w:ascii="仿宋" w:hAnsi="仿宋" w:eastAsia="仿宋" w:cs="仿宋"/>
                <w:color w:val="000000"/>
                <w:sz w:val="20"/>
                <w:szCs w:val="20"/>
                <w:highlight w:val="none"/>
                <w:lang w:val="en-US" w:eastAsia="zh-CN"/>
              </w:rPr>
              <w:t>响应人</w:t>
            </w:r>
            <w:r>
              <w:rPr>
                <w:rFonts w:hint="eastAsia" w:ascii="仿宋" w:hAnsi="仿宋" w:eastAsia="仿宋" w:cs="仿宋"/>
                <w:color w:val="000000"/>
                <w:sz w:val="20"/>
                <w:szCs w:val="20"/>
                <w:highlight w:val="none"/>
                <w:lang w:val="zh-CN"/>
              </w:rPr>
              <w:t>自身运输</w:t>
            </w:r>
            <w:r>
              <w:rPr>
                <w:rFonts w:hint="eastAsia" w:ascii="仿宋" w:hAnsi="仿宋" w:eastAsia="仿宋" w:cs="仿宋"/>
                <w:color w:val="000000"/>
                <w:sz w:val="20"/>
                <w:szCs w:val="20"/>
                <w:highlight w:val="none"/>
                <w:lang w:val="en-US" w:eastAsia="zh-CN"/>
              </w:rPr>
              <w:t>危险</w:t>
            </w:r>
            <w:r>
              <w:rPr>
                <w:rFonts w:hint="eastAsia" w:ascii="仿宋" w:hAnsi="仿宋" w:eastAsia="仿宋" w:cs="仿宋"/>
                <w:color w:val="000000"/>
                <w:sz w:val="20"/>
                <w:szCs w:val="20"/>
                <w:highlight w:val="none"/>
                <w:lang w:val="zh-CN"/>
              </w:rPr>
              <w:t>废物的，</w:t>
            </w:r>
            <w:r>
              <w:rPr>
                <w:rFonts w:hint="eastAsia" w:ascii="仿宋" w:hAnsi="仿宋" w:eastAsia="仿宋" w:cs="仿宋"/>
                <w:color w:val="000000"/>
                <w:sz w:val="20"/>
                <w:szCs w:val="20"/>
                <w:highlight w:val="none"/>
                <w:lang w:val="en-US" w:eastAsia="zh-CN"/>
              </w:rPr>
              <w:t>响应人</w:t>
            </w:r>
            <w:r>
              <w:rPr>
                <w:rFonts w:hint="eastAsia" w:ascii="仿宋" w:hAnsi="仿宋" w:eastAsia="仿宋" w:cs="仿宋"/>
                <w:color w:val="000000"/>
                <w:sz w:val="20"/>
                <w:szCs w:val="20"/>
                <w:highlight w:val="none"/>
                <w:lang w:val="zh-CN"/>
              </w:rPr>
              <w:t>须具备交通管理部门颁发的且在有效期内的《道路运输经营许可证》</w:t>
            </w:r>
            <w:r>
              <w:rPr>
                <w:rFonts w:hint="eastAsia" w:ascii="仿宋" w:hAnsi="仿宋" w:eastAsia="仿宋" w:cs="仿宋"/>
                <w:color w:val="auto"/>
                <w:kern w:val="2"/>
                <w:sz w:val="20"/>
                <w:szCs w:val="20"/>
                <w:highlight w:val="none"/>
                <w:lang w:val="en-US" w:eastAsia="zh-CN" w:bidi="ar"/>
              </w:rPr>
              <w:t>(经营范围包含危险货物运输)</w:t>
            </w:r>
            <w:r>
              <w:rPr>
                <w:rFonts w:hint="eastAsia" w:ascii="仿宋" w:hAnsi="仿宋" w:eastAsia="仿宋" w:cs="仿宋"/>
                <w:color w:val="000000"/>
                <w:sz w:val="20"/>
                <w:szCs w:val="20"/>
                <w:highlight w:val="none"/>
                <w:lang w:val="zh-CN"/>
              </w:rPr>
              <w:t>或《道路危险货物运输许可证》。若</w:t>
            </w:r>
            <w:r>
              <w:rPr>
                <w:rFonts w:hint="eastAsia" w:ascii="仿宋" w:hAnsi="仿宋" w:eastAsia="仿宋" w:cs="仿宋"/>
                <w:color w:val="000000"/>
                <w:sz w:val="20"/>
                <w:szCs w:val="20"/>
                <w:highlight w:val="none"/>
                <w:lang w:val="en-US" w:eastAsia="zh-CN"/>
              </w:rPr>
              <w:t>响应人</w:t>
            </w:r>
            <w:r>
              <w:rPr>
                <w:rFonts w:hint="eastAsia" w:ascii="仿宋" w:hAnsi="仿宋" w:eastAsia="仿宋" w:cs="仿宋"/>
                <w:color w:val="000000"/>
                <w:sz w:val="20"/>
                <w:szCs w:val="20"/>
                <w:highlight w:val="none"/>
                <w:lang w:val="zh-CN"/>
              </w:rPr>
              <w:t>有合作运输单位的，须提供</w:t>
            </w:r>
            <w:r>
              <w:rPr>
                <w:rFonts w:hint="eastAsia" w:ascii="仿宋" w:hAnsi="仿宋" w:eastAsia="仿宋" w:cs="仿宋"/>
                <w:color w:val="000000"/>
                <w:sz w:val="20"/>
                <w:szCs w:val="20"/>
                <w:highlight w:val="none"/>
                <w:lang w:val="en-US" w:eastAsia="zh-CN"/>
              </w:rPr>
              <w:t>响应人</w:t>
            </w:r>
            <w:r>
              <w:rPr>
                <w:rFonts w:hint="eastAsia" w:ascii="仿宋" w:hAnsi="仿宋" w:eastAsia="仿宋" w:cs="仿宋"/>
                <w:color w:val="000000"/>
                <w:sz w:val="20"/>
                <w:szCs w:val="20"/>
                <w:highlight w:val="none"/>
                <w:lang w:val="zh-CN"/>
              </w:rPr>
              <w:t>与其合作运输单位的合作协议，以及合作运输单位在有效期内的《道路运输经营许可证》</w:t>
            </w:r>
            <w:r>
              <w:rPr>
                <w:rFonts w:hint="eastAsia" w:ascii="仿宋" w:hAnsi="仿宋" w:eastAsia="仿宋" w:cs="仿宋"/>
                <w:color w:val="auto"/>
                <w:kern w:val="2"/>
                <w:sz w:val="20"/>
                <w:szCs w:val="20"/>
                <w:highlight w:val="none"/>
                <w:lang w:val="en-US" w:eastAsia="zh-CN" w:bidi="ar"/>
              </w:rPr>
              <w:t>(经营范围包含危险货物运输)</w:t>
            </w:r>
            <w:r>
              <w:rPr>
                <w:rFonts w:hint="eastAsia" w:ascii="仿宋" w:hAnsi="仿宋" w:eastAsia="仿宋" w:cs="仿宋"/>
                <w:color w:val="000000"/>
                <w:sz w:val="20"/>
                <w:szCs w:val="20"/>
                <w:highlight w:val="none"/>
                <w:lang w:val="zh-CN"/>
              </w:rPr>
              <w:t>或《道路危险货物运输许可证》，上述证明材料复印件须加盖公章。</w:t>
            </w:r>
          </w:p>
        </w:tc>
        <w:tc>
          <w:tcPr>
            <w:tcW w:w="1515" w:type="dxa"/>
            <w:vAlign w:val="center"/>
          </w:tcPr>
          <w:p w14:paraId="4ED2D50D">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6C2DB47">
            <w:pPr>
              <w:keepNext w:val="0"/>
              <w:keepLines w:val="0"/>
              <w:suppressLineNumbers w:val="0"/>
              <w:spacing w:before="0" w:beforeAutospacing="0" w:after="0" w:afterAutospacing="0"/>
              <w:ind w:left="36" w:leftChars="17"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69338E7F">
            <w:pPr>
              <w:keepNext w:val="0"/>
              <w:keepLines w:val="0"/>
              <w:suppressLineNumbers w:val="0"/>
              <w:spacing w:before="0" w:beforeAutospacing="0" w:after="0" w:afterAutospacing="0"/>
              <w:ind w:left="0" w:leftChars="0" w:right="-178" w:rightChars="-85"/>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0F7BD1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1BAF056C">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10DAD0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sz w:val="21"/>
                <w:szCs w:val="21"/>
                <w:highlight w:val="none"/>
                <w:lang w:val="en-US" w:eastAsia="zh-CN"/>
              </w:rPr>
              <w:t>已成功报名本次项目。</w:t>
            </w:r>
          </w:p>
        </w:tc>
        <w:tc>
          <w:tcPr>
            <w:tcW w:w="1515" w:type="dxa"/>
            <w:vAlign w:val="center"/>
          </w:tcPr>
          <w:p w14:paraId="34153C8A">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6D8C2F9">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14:paraId="1F730F6F">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bl>
    <w:p w14:paraId="3CAF5443">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14:paraId="6C96ECC7">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14:paraId="3C18E7AD">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14:paraId="45A2234E">
      <w:pPr>
        <w:pStyle w:val="30"/>
        <w:rPr>
          <w:rFonts w:hint="eastAsia" w:ascii="仿宋" w:hAnsi="仿宋" w:eastAsia="仿宋" w:cs="仿宋"/>
          <w:highlight w:val="none"/>
        </w:rPr>
      </w:pPr>
      <w:r>
        <w:rPr>
          <w:rFonts w:hint="eastAsia" w:ascii="仿宋" w:hAnsi="仿宋" w:eastAsia="仿宋" w:cs="仿宋"/>
          <w:color w:val="auto"/>
          <w:kern w:val="0"/>
          <w:sz w:val="21"/>
          <w:szCs w:val="22"/>
          <w:highlight w:val="none"/>
          <w:lang w:val="en-US" w:eastAsia="zh-CN"/>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14:paraId="3E317169">
      <w:pPr>
        <w:pStyle w:val="30"/>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4、本自查表不得擅自删改。</w:t>
      </w:r>
    </w:p>
    <w:p w14:paraId="1489BC3F">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14:paraId="6ED6D129">
      <w:pPr>
        <w:pStyle w:val="30"/>
        <w:ind w:left="0" w:leftChars="0" w:firstLine="0" w:firstLineChars="0"/>
        <w:rPr>
          <w:rFonts w:hint="eastAsia" w:ascii="仿宋" w:hAnsi="仿宋" w:eastAsia="仿宋" w:cs="仿宋"/>
          <w:color w:val="000000"/>
          <w:szCs w:val="21"/>
          <w:highlight w:val="none"/>
          <w:lang w:eastAsia="zh-CN"/>
        </w:rPr>
      </w:pPr>
    </w:p>
    <w:p w14:paraId="3E500AA7">
      <w:pPr>
        <w:pStyle w:val="30"/>
        <w:rPr>
          <w:rFonts w:hint="eastAsia" w:ascii="仿宋" w:hAnsi="仿宋" w:eastAsia="仿宋" w:cs="仿宋"/>
          <w:color w:val="000000"/>
          <w:szCs w:val="21"/>
          <w:highlight w:val="none"/>
          <w:lang w:eastAsia="zh-CN"/>
        </w:rPr>
      </w:pPr>
    </w:p>
    <w:p w14:paraId="745FADD7">
      <w:pPr>
        <w:pStyle w:val="30"/>
        <w:rPr>
          <w:rFonts w:hint="eastAsia" w:ascii="仿宋" w:hAnsi="仿宋" w:eastAsia="仿宋" w:cs="仿宋"/>
          <w:color w:val="000000"/>
          <w:szCs w:val="21"/>
          <w:highlight w:val="none"/>
          <w:lang w:eastAsia="zh-CN"/>
        </w:rPr>
      </w:pPr>
    </w:p>
    <w:p w14:paraId="73B42816">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14:paraId="3C800A66">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2755DB1">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254C4DB">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23AA1F87">
      <w:pPr>
        <w:pStyle w:val="30"/>
        <w:rPr>
          <w:rFonts w:ascii="仿宋_GB2312" w:hAnsi="华文仿宋" w:eastAsia="仿宋_GB2312" w:cs="华文仿宋"/>
          <w:bCs/>
          <w:color w:val="000000"/>
          <w:szCs w:val="21"/>
          <w:highlight w:val="none"/>
        </w:rPr>
      </w:pPr>
    </w:p>
    <w:p w14:paraId="734DE2AF">
      <w:pPr>
        <w:pStyle w:val="30"/>
        <w:rPr>
          <w:rFonts w:hint="eastAsia" w:ascii="宋体" w:hAnsi="宋体" w:cs="宋体"/>
          <w:color w:val="000000"/>
          <w:szCs w:val="21"/>
          <w:highlight w:val="none"/>
          <w:lang w:eastAsia="zh-CN"/>
        </w:rPr>
      </w:pPr>
    </w:p>
    <w:p w14:paraId="22125549">
      <w:pPr>
        <w:pStyle w:val="30"/>
        <w:rPr>
          <w:rFonts w:ascii="仿宋_GB2312" w:hAnsi="华文仿宋" w:eastAsia="仿宋_GB2312" w:cs="华文仿宋"/>
          <w:bCs/>
          <w:color w:val="000000"/>
          <w:szCs w:val="21"/>
          <w:highlight w:val="none"/>
        </w:rPr>
      </w:pPr>
    </w:p>
    <w:p w14:paraId="2A53B3A6">
      <w:pPr>
        <w:pStyle w:val="30"/>
        <w:rPr>
          <w:rFonts w:hint="eastAsia" w:ascii="宋体" w:hAnsi="宋体" w:cs="宋体"/>
          <w:color w:val="000000"/>
          <w:szCs w:val="21"/>
          <w:highlight w:val="none"/>
          <w:lang w:eastAsia="zh-CN"/>
        </w:rPr>
      </w:pPr>
    </w:p>
    <w:p w14:paraId="11657108">
      <w:pPr>
        <w:pStyle w:val="30"/>
        <w:rPr>
          <w:rFonts w:hint="eastAsia" w:ascii="宋体" w:hAnsi="宋体" w:cs="宋体"/>
          <w:color w:val="000000"/>
          <w:szCs w:val="21"/>
          <w:highlight w:val="none"/>
          <w:lang w:eastAsia="zh-CN"/>
        </w:rPr>
      </w:pPr>
    </w:p>
    <w:p w14:paraId="1110ECB4">
      <w:pPr>
        <w:pStyle w:val="30"/>
        <w:rPr>
          <w:rFonts w:hint="eastAsia" w:ascii="宋体" w:hAnsi="宋体" w:cs="宋体"/>
          <w:color w:val="000000"/>
          <w:szCs w:val="21"/>
          <w:highlight w:val="none"/>
          <w:lang w:eastAsia="zh-CN"/>
        </w:rPr>
      </w:pPr>
    </w:p>
    <w:p w14:paraId="54544EDC">
      <w:pPr>
        <w:pStyle w:val="30"/>
        <w:rPr>
          <w:rFonts w:hint="eastAsia" w:ascii="宋体" w:hAnsi="宋体" w:cs="宋体"/>
          <w:color w:val="000000"/>
          <w:szCs w:val="21"/>
          <w:highlight w:val="none"/>
          <w:lang w:eastAsia="zh-CN"/>
        </w:rPr>
      </w:pPr>
    </w:p>
    <w:p w14:paraId="2382DE53">
      <w:pPr>
        <w:pStyle w:val="30"/>
        <w:rPr>
          <w:rFonts w:hint="eastAsia" w:ascii="宋体" w:hAnsi="宋体" w:cs="宋体"/>
          <w:color w:val="000000"/>
          <w:szCs w:val="21"/>
          <w:highlight w:val="none"/>
          <w:lang w:eastAsia="zh-CN"/>
        </w:rPr>
      </w:pPr>
    </w:p>
    <w:p w14:paraId="2F183A18">
      <w:pPr>
        <w:pStyle w:val="30"/>
        <w:rPr>
          <w:rFonts w:hint="eastAsia" w:ascii="宋体" w:hAnsi="宋体" w:cs="宋体"/>
          <w:color w:val="000000"/>
          <w:szCs w:val="21"/>
          <w:highlight w:val="none"/>
          <w:lang w:eastAsia="zh-CN"/>
        </w:rPr>
      </w:pPr>
    </w:p>
    <w:p w14:paraId="19B2FAAC">
      <w:pPr>
        <w:pStyle w:val="30"/>
        <w:rPr>
          <w:rFonts w:hint="eastAsia" w:ascii="宋体" w:hAnsi="宋体" w:cs="宋体"/>
          <w:color w:val="000000"/>
          <w:szCs w:val="21"/>
          <w:highlight w:val="none"/>
          <w:lang w:eastAsia="zh-CN"/>
        </w:rPr>
      </w:pPr>
    </w:p>
    <w:p w14:paraId="4D10C4FE">
      <w:pPr>
        <w:pStyle w:val="30"/>
        <w:rPr>
          <w:rFonts w:hint="eastAsia" w:ascii="宋体" w:hAnsi="宋体" w:cs="宋体"/>
          <w:color w:val="000000"/>
          <w:szCs w:val="21"/>
          <w:highlight w:val="none"/>
          <w:lang w:eastAsia="zh-CN"/>
        </w:rPr>
      </w:pPr>
    </w:p>
    <w:p w14:paraId="246A9FC2">
      <w:pPr>
        <w:pStyle w:val="30"/>
        <w:rPr>
          <w:rFonts w:ascii="仿宋_GB2312" w:hAnsi="华文仿宋" w:eastAsia="仿宋_GB2312" w:cs="华文仿宋"/>
          <w:bCs/>
          <w:color w:val="000000"/>
          <w:szCs w:val="21"/>
          <w:highlight w:val="none"/>
        </w:rPr>
      </w:pPr>
    </w:p>
    <w:p w14:paraId="415E7A76">
      <w:pPr>
        <w:pStyle w:val="30"/>
        <w:rPr>
          <w:rFonts w:hint="eastAsia" w:ascii="宋体" w:hAnsi="宋体" w:cs="宋体"/>
          <w:color w:val="000000"/>
          <w:szCs w:val="21"/>
          <w:highlight w:val="none"/>
          <w:lang w:eastAsia="zh-CN"/>
        </w:rPr>
      </w:pPr>
    </w:p>
    <w:p w14:paraId="696A324F">
      <w:pPr>
        <w:pStyle w:val="30"/>
        <w:rPr>
          <w:rFonts w:hint="eastAsia" w:ascii="宋体" w:hAnsi="宋体" w:cs="宋体"/>
          <w:color w:val="000000"/>
          <w:szCs w:val="21"/>
          <w:highlight w:val="none"/>
          <w:lang w:eastAsia="zh-CN"/>
        </w:rPr>
      </w:pPr>
    </w:p>
    <w:p w14:paraId="61C676A6">
      <w:pPr>
        <w:pStyle w:val="30"/>
        <w:rPr>
          <w:rFonts w:hint="eastAsia" w:ascii="宋体" w:hAnsi="宋体" w:cs="宋体"/>
          <w:color w:val="000000"/>
          <w:szCs w:val="21"/>
          <w:highlight w:val="none"/>
          <w:lang w:eastAsia="zh-CN"/>
        </w:rPr>
      </w:pPr>
    </w:p>
    <w:p w14:paraId="684FBDD8">
      <w:pPr>
        <w:pStyle w:val="30"/>
        <w:rPr>
          <w:rFonts w:hint="eastAsia" w:ascii="宋体" w:hAnsi="宋体" w:cs="宋体"/>
          <w:color w:val="000000"/>
          <w:szCs w:val="21"/>
          <w:highlight w:val="none"/>
          <w:lang w:eastAsia="zh-CN"/>
        </w:rPr>
      </w:pPr>
    </w:p>
    <w:p w14:paraId="0F94592F">
      <w:pPr>
        <w:pStyle w:val="30"/>
        <w:rPr>
          <w:rFonts w:hint="eastAsia" w:ascii="宋体" w:hAnsi="宋体" w:cs="宋体"/>
          <w:color w:val="000000"/>
          <w:szCs w:val="21"/>
          <w:highlight w:val="none"/>
          <w:lang w:eastAsia="zh-CN"/>
        </w:rPr>
      </w:pPr>
    </w:p>
    <w:p w14:paraId="5F822CF1">
      <w:pPr>
        <w:pStyle w:val="30"/>
        <w:rPr>
          <w:rFonts w:hint="eastAsia" w:ascii="宋体" w:hAnsi="宋体" w:cs="宋体"/>
          <w:color w:val="000000"/>
          <w:szCs w:val="21"/>
          <w:highlight w:val="none"/>
          <w:lang w:eastAsia="zh-CN"/>
        </w:rPr>
      </w:pPr>
    </w:p>
    <w:p w14:paraId="1F00174F">
      <w:pPr>
        <w:pStyle w:val="30"/>
        <w:rPr>
          <w:rFonts w:hint="eastAsia" w:ascii="宋体" w:hAnsi="宋体" w:cs="宋体"/>
          <w:color w:val="000000"/>
          <w:szCs w:val="21"/>
          <w:highlight w:val="none"/>
          <w:lang w:eastAsia="zh-CN"/>
        </w:rPr>
      </w:pPr>
    </w:p>
    <w:p w14:paraId="4B38F0CF">
      <w:pPr>
        <w:pStyle w:val="30"/>
        <w:rPr>
          <w:rFonts w:hint="eastAsia" w:ascii="宋体" w:hAnsi="宋体" w:cs="宋体"/>
          <w:color w:val="000000"/>
          <w:szCs w:val="21"/>
          <w:highlight w:val="none"/>
          <w:lang w:eastAsia="zh-CN"/>
        </w:rPr>
      </w:pPr>
    </w:p>
    <w:p w14:paraId="3AF24BF6">
      <w:pPr>
        <w:pStyle w:val="30"/>
        <w:rPr>
          <w:rFonts w:hint="eastAsia" w:ascii="宋体" w:hAnsi="宋体" w:cs="宋体"/>
          <w:color w:val="000000"/>
          <w:szCs w:val="21"/>
          <w:highlight w:val="none"/>
          <w:lang w:eastAsia="zh-CN"/>
        </w:rPr>
      </w:pPr>
    </w:p>
    <w:p w14:paraId="15CC8FB6">
      <w:pPr>
        <w:pStyle w:val="30"/>
        <w:rPr>
          <w:rFonts w:hint="eastAsia" w:ascii="宋体" w:hAnsi="宋体" w:cs="宋体"/>
          <w:color w:val="000000"/>
          <w:szCs w:val="21"/>
          <w:highlight w:val="none"/>
          <w:lang w:eastAsia="zh-CN"/>
        </w:rPr>
      </w:pPr>
    </w:p>
    <w:p w14:paraId="06E9C225">
      <w:pPr>
        <w:pStyle w:val="30"/>
        <w:rPr>
          <w:rFonts w:hint="eastAsia" w:ascii="宋体" w:hAnsi="宋体" w:cs="宋体"/>
          <w:color w:val="000000"/>
          <w:szCs w:val="21"/>
          <w:highlight w:val="none"/>
          <w:lang w:eastAsia="zh-CN"/>
        </w:rPr>
      </w:pPr>
    </w:p>
    <w:p w14:paraId="0EDC8FCE">
      <w:pPr>
        <w:pStyle w:val="30"/>
        <w:rPr>
          <w:rFonts w:hint="eastAsia" w:ascii="宋体" w:hAnsi="宋体" w:cs="宋体"/>
          <w:color w:val="000000"/>
          <w:szCs w:val="21"/>
          <w:highlight w:val="none"/>
          <w:lang w:eastAsia="zh-CN"/>
        </w:rPr>
      </w:pPr>
    </w:p>
    <w:p w14:paraId="14575DF9">
      <w:pPr>
        <w:pStyle w:val="30"/>
        <w:rPr>
          <w:rFonts w:hint="eastAsia" w:ascii="宋体" w:hAnsi="宋体" w:cs="宋体"/>
          <w:color w:val="000000"/>
          <w:szCs w:val="21"/>
          <w:highlight w:val="none"/>
          <w:lang w:eastAsia="zh-CN"/>
        </w:rPr>
      </w:pPr>
    </w:p>
    <w:p w14:paraId="51B55AD2">
      <w:pPr>
        <w:pStyle w:val="30"/>
        <w:rPr>
          <w:rFonts w:hint="eastAsia" w:ascii="宋体" w:hAnsi="宋体" w:cs="宋体"/>
          <w:color w:val="000000"/>
          <w:szCs w:val="21"/>
          <w:highlight w:val="none"/>
          <w:lang w:eastAsia="zh-CN"/>
        </w:rPr>
      </w:pPr>
    </w:p>
    <w:p w14:paraId="4333768D">
      <w:pPr>
        <w:pStyle w:val="30"/>
        <w:rPr>
          <w:rFonts w:hint="eastAsia" w:ascii="宋体" w:hAnsi="宋体" w:cs="宋体"/>
          <w:color w:val="000000"/>
          <w:szCs w:val="21"/>
          <w:highlight w:val="none"/>
          <w:lang w:eastAsia="zh-CN"/>
        </w:rPr>
      </w:pPr>
    </w:p>
    <w:p w14:paraId="7DD832B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sz w:val="36"/>
          <w:szCs w:val="44"/>
          <w:highlight w:val="none"/>
          <w:lang w:eastAsia="zh-CN"/>
        </w:rPr>
      </w:pPr>
    </w:p>
    <w:p w14:paraId="00DA636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14:paraId="6FFA8A7C">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14:paraId="087B7A6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06D102A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lang w:eastAsia="zh-CN"/>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r>
        <w:rPr>
          <w:rFonts w:hint="eastAsia" w:ascii="仿宋" w:hAnsi="仿宋" w:eastAsia="仿宋" w:cs="仿宋"/>
          <w:color w:val="auto"/>
          <w:sz w:val="24"/>
          <w:highlight w:val="none"/>
          <w:lang w:eastAsia="zh-CN"/>
        </w:rPr>
        <w:t>、中山大学附属仁济医院</w:t>
      </w:r>
    </w:p>
    <w:p w14:paraId="4CE5CD9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中山大学附属仁济医院</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22F85407">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05EA546D">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2507E7C4">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0495412F">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5BE9F060">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4B2C2537">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5B2AB626">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1D08A445">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3FF4240E">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69931C9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4A977D1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687FB1E9">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5E3A128">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B950952">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2F06407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14:paraId="539A173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（如为分公司报名，必须同时提供总公司的营业执照副本复印件及总公司授权书,加盖公章）</w:t>
      </w:r>
    </w:p>
    <w:p w14:paraId="5F80CCE3">
      <w:pPr>
        <w:pStyle w:val="30"/>
        <w:rPr>
          <w:rFonts w:hint="eastAsia" w:ascii="宋体" w:hAnsi="宋体" w:cs="宋体"/>
          <w:color w:val="auto"/>
          <w:szCs w:val="21"/>
          <w:highlight w:val="none"/>
          <w:lang w:eastAsia="zh-CN"/>
        </w:rPr>
      </w:pPr>
    </w:p>
    <w:p w14:paraId="353A2C3B">
      <w:pPr>
        <w:pStyle w:val="30"/>
        <w:rPr>
          <w:rFonts w:hint="eastAsia" w:ascii="宋体" w:hAnsi="宋体" w:cs="宋体"/>
          <w:color w:val="auto"/>
          <w:szCs w:val="21"/>
          <w:highlight w:val="none"/>
          <w:lang w:eastAsia="zh-CN"/>
        </w:rPr>
      </w:pPr>
    </w:p>
    <w:p w14:paraId="597D2F6D">
      <w:pPr>
        <w:pStyle w:val="30"/>
        <w:rPr>
          <w:rFonts w:hint="eastAsia" w:ascii="宋体" w:hAnsi="宋体" w:cs="宋体"/>
          <w:color w:val="auto"/>
          <w:szCs w:val="21"/>
          <w:highlight w:val="none"/>
          <w:lang w:eastAsia="zh-CN"/>
        </w:rPr>
      </w:pPr>
    </w:p>
    <w:p w14:paraId="1C7B92FD">
      <w:pPr>
        <w:pStyle w:val="30"/>
        <w:rPr>
          <w:rFonts w:hint="eastAsia" w:ascii="宋体" w:hAnsi="宋体" w:cs="宋体"/>
          <w:color w:val="auto"/>
          <w:szCs w:val="21"/>
          <w:highlight w:val="none"/>
          <w:lang w:eastAsia="zh-CN"/>
        </w:rPr>
      </w:pPr>
    </w:p>
    <w:p w14:paraId="31B76AF5">
      <w:pPr>
        <w:pStyle w:val="30"/>
        <w:rPr>
          <w:rFonts w:hint="eastAsia" w:ascii="宋体" w:hAnsi="宋体" w:cs="宋体"/>
          <w:color w:val="auto"/>
          <w:szCs w:val="21"/>
          <w:highlight w:val="none"/>
          <w:lang w:eastAsia="zh-CN"/>
        </w:rPr>
      </w:pPr>
    </w:p>
    <w:p w14:paraId="26CFD62B">
      <w:pPr>
        <w:pStyle w:val="30"/>
        <w:rPr>
          <w:rFonts w:hint="eastAsia" w:ascii="宋体" w:hAnsi="宋体" w:cs="宋体"/>
          <w:color w:val="auto"/>
          <w:szCs w:val="21"/>
          <w:highlight w:val="none"/>
          <w:lang w:eastAsia="zh-CN"/>
        </w:rPr>
      </w:pPr>
    </w:p>
    <w:p w14:paraId="286D41B8">
      <w:pPr>
        <w:pStyle w:val="30"/>
        <w:rPr>
          <w:rFonts w:hint="eastAsia" w:ascii="宋体" w:hAnsi="宋体" w:cs="宋体"/>
          <w:color w:val="auto"/>
          <w:szCs w:val="21"/>
          <w:highlight w:val="none"/>
          <w:lang w:eastAsia="zh-CN"/>
        </w:rPr>
      </w:pPr>
    </w:p>
    <w:p w14:paraId="4B53192C">
      <w:pPr>
        <w:pStyle w:val="30"/>
        <w:rPr>
          <w:rFonts w:hint="eastAsia" w:ascii="宋体" w:hAnsi="宋体" w:cs="宋体"/>
          <w:color w:val="auto"/>
          <w:szCs w:val="21"/>
          <w:highlight w:val="none"/>
          <w:lang w:eastAsia="zh-CN"/>
        </w:rPr>
      </w:pPr>
    </w:p>
    <w:p w14:paraId="29A1E61B">
      <w:pPr>
        <w:pStyle w:val="30"/>
        <w:rPr>
          <w:rFonts w:hint="eastAsia" w:ascii="宋体" w:hAnsi="宋体" w:cs="宋体"/>
          <w:color w:val="auto"/>
          <w:szCs w:val="21"/>
          <w:highlight w:val="none"/>
          <w:lang w:eastAsia="zh-CN"/>
        </w:rPr>
      </w:pPr>
    </w:p>
    <w:p w14:paraId="43E12E36">
      <w:pPr>
        <w:pStyle w:val="30"/>
        <w:rPr>
          <w:rFonts w:hint="eastAsia" w:ascii="宋体" w:hAnsi="宋体" w:cs="宋体"/>
          <w:color w:val="auto"/>
          <w:szCs w:val="21"/>
          <w:highlight w:val="none"/>
          <w:lang w:eastAsia="zh-CN"/>
        </w:rPr>
      </w:pPr>
    </w:p>
    <w:p w14:paraId="5BEA32B5">
      <w:pPr>
        <w:pStyle w:val="30"/>
        <w:rPr>
          <w:rFonts w:hint="eastAsia" w:ascii="宋体" w:hAnsi="宋体" w:cs="宋体"/>
          <w:color w:val="auto"/>
          <w:szCs w:val="21"/>
          <w:highlight w:val="none"/>
          <w:lang w:eastAsia="zh-CN"/>
        </w:rPr>
      </w:pPr>
    </w:p>
    <w:p w14:paraId="58D8F17A">
      <w:pPr>
        <w:pStyle w:val="30"/>
        <w:rPr>
          <w:rFonts w:hint="eastAsia" w:ascii="宋体" w:hAnsi="宋体" w:cs="宋体"/>
          <w:color w:val="auto"/>
          <w:szCs w:val="21"/>
          <w:highlight w:val="none"/>
          <w:lang w:eastAsia="zh-CN"/>
        </w:rPr>
      </w:pPr>
    </w:p>
    <w:p w14:paraId="7C66C6FF">
      <w:pPr>
        <w:pStyle w:val="30"/>
        <w:rPr>
          <w:rFonts w:hint="eastAsia" w:ascii="宋体" w:hAnsi="宋体" w:cs="宋体"/>
          <w:color w:val="auto"/>
          <w:szCs w:val="21"/>
          <w:highlight w:val="none"/>
          <w:lang w:eastAsia="zh-CN"/>
        </w:rPr>
      </w:pPr>
    </w:p>
    <w:p w14:paraId="7334ADAF">
      <w:pPr>
        <w:pStyle w:val="30"/>
        <w:rPr>
          <w:rFonts w:hint="eastAsia" w:ascii="宋体" w:hAnsi="宋体" w:cs="宋体"/>
          <w:color w:val="auto"/>
          <w:szCs w:val="21"/>
          <w:highlight w:val="none"/>
          <w:lang w:eastAsia="zh-CN"/>
        </w:rPr>
      </w:pPr>
    </w:p>
    <w:p w14:paraId="39EDE0D7">
      <w:pPr>
        <w:pStyle w:val="30"/>
        <w:rPr>
          <w:rFonts w:hint="eastAsia" w:ascii="宋体" w:hAnsi="宋体" w:cs="宋体"/>
          <w:color w:val="auto"/>
          <w:szCs w:val="21"/>
          <w:highlight w:val="none"/>
          <w:lang w:eastAsia="zh-CN"/>
        </w:rPr>
      </w:pPr>
    </w:p>
    <w:p w14:paraId="6440A3C2">
      <w:pPr>
        <w:pStyle w:val="30"/>
        <w:rPr>
          <w:rFonts w:hint="eastAsia" w:ascii="宋体" w:hAnsi="宋体" w:cs="宋体"/>
          <w:color w:val="auto"/>
          <w:szCs w:val="21"/>
          <w:highlight w:val="none"/>
          <w:lang w:eastAsia="zh-CN"/>
        </w:rPr>
      </w:pPr>
    </w:p>
    <w:p w14:paraId="23F310D0">
      <w:pPr>
        <w:pStyle w:val="30"/>
        <w:rPr>
          <w:rFonts w:hint="eastAsia" w:ascii="宋体" w:hAnsi="宋体" w:cs="宋体"/>
          <w:color w:val="auto"/>
          <w:szCs w:val="21"/>
          <w:highlight w:val="none"/>
          <w:lang w:eastAsia="zh-CN"/>
        </w:rPr>
      </w:pPr>
    </w:p>
    <w:p w14:paraId="3961F9A0">
      <w:pPr>
        <w:pStyle w:val="30"/>
        <w:rPr>
          <w:rFonts w:hint="eastAsia" w:ascii="宋体" w:hAnsi="宋体" w:cs="宋体"/>
          <w:color w:val="auto"/>
          <w:szCs w:val="21"/>
          <w:highlight w:val="none"/>
          <w:lang w:eastAsia="zh-CN"/>
        </w:rPr>
      </w:pPr>
    </w:p>
    <w:p w14:paraId="39DBF0FB">
      <w:pPr>
        <w:pStyle w:val="30"/>
        <w:rPr>
          <w:rFonts w:hint="eastAsia" w:ascii="宋体" w:hAnsi="宋体" w:cs="宋体"/>
          <w:color w:val="auto"/>
          <w:szCs w:val="21"/>
          <w:highlight w:val="none"/>
          <w:lang w:eastAsia="zh-CN"/>
        </w:rPr>
      </w:pPr>
    </w:p>
    <w:p w14:paraId="10125766">
      <w:pPr>
        <w:pStyle w:val="30"/>
        <w:rPr>
          <w:rFonts w:hint="eastAsia" w:ascii="宋体" w:hAnsi="宋体" w:cs="宋体"/>
          <w:color w:val="auto"/>
          <w:szCs w:val="21"/>
          <w:highlight w:val="none"/>
          <w:lang w:eastAsia="zh-CN"/>
        </w:rPr>
      </w:pPr>
    </w:p>
    <w:p w14:paraId="7AD08C95">
      <w:pPr>
        <w:pStyle w:val="30"/>
        <w:rPr>
          <w:rFonts w:hint="eastAsia" w:ascii="宋体" w:hAnsi="宋体" w:cs="宋体"/>
          <w:color w:val="auto"/>
          <w:szCs w:val="21"/>
          <w:highlight w:val="none"/>
          <w:lang w:eastAsia="zh-CN"/>
        </w:rPr>
      </w:pPr>
    </w:p>
    <w:p w14:paraId="6CB2DF05">
      <w:pPr>
        <w:pStyle w:val="30"/>
        <w:rPr>
          <w:rFonts w:hint="eastAsia" w:ascii="宋体" w:hAnsi="宋体" w:cs="宋体"/>
          <w:color w:val="auto"/>
          <w:szCs w:val="21"/>
          <w:highlight w:val="none"/>
          <w:lang w:eastAsia="zh-CN"/>
        </w:rPr>
      </w:pPr>
    </w:p>
    <w:p w14:paraId="4F4E4594">
      <w:pPr>
        <w:pStyle w:val="30"/>
        <w:rPr>
          <w:rFonts w:hint="eastAsia" w:ascii="宋体" w:hAnsi="宋体" w:cs="宋体"/>
          <w:color w:val="auto"/>
          <w:szCs w:val="21"/>
          <w:highlight w:val="none"/>
          <w:lang w:eastAsia="zh-CN"/>
        </w:rPr>
      </w:pPr>
    </w:p>
    <w:p w14:paraId="67E11517">
      <w:pPr>
        <w:pStyle w:val="30"/>
        <w:rPr>
          <w:rFonts w:hint="eastAsia" w:ascii="宋体" w:hAnsi="宋体" w:cs="宋体"/>
          <w:color w:val="auto"/>
          <w:szCs w:val="21"/>
          <w:highlight w:val="none"/>
          <w:lang w:eastAsia="zh-CN"/>
        </w:rPr>
      </w:pPr>
    </w:p>
    <w:p w14:paraId="35021BAC">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2CE890DB">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2D3D536F">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040A8899">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61578255">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6C1EFFE8">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宋体" w:hAnsi="宋体" w:cs="宋体"/>
          <w:b/>
          <w:bCs/>
          <w:sz w:val="32"/>
          <w:szCs w:val="32"/>
          <w:highlight w:val="none"/>
          <w:lang w:val="en-US" w:eastAsia="zh-CN"/>
        </w:rPr>
      </w:pPr>
    </w:p>
    <w:p w14:paraId="71A7F8D6">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p>
    <w:p w14:paraId="6AF5AAC1">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3、供应商廉洁守约承诺书</w:t>
      </w:r>
    </w:p>
    <w:p w14:paraId="1604FFE6">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u w:val="single"/>
          <w:lang w:val="en-US" w:eastAsia="zh-CN"/>
        </w:rPr>
        <w:t>要求本承诺书除了在响应文件中装订成册，须在递交响应文件时另外提供一份盖章签字版的承诺书</w:t>
      </w:r>
      <w:r>
        <w:rPr>
          <w:rFonts w:hint="eastAsia" w:ascii="仿宋" w:hAnsi="仿宋" w:eastAsia="仿宋" w:cs="仿宋"/>
          <w:b/>
          <w:bCs/>
          <w:sz w:val="24"/>
          <w:szCs w:val="24"/>
          <w:highlight w:val="none"/>
          <w:lang w:val="en-US" w:eastAsia="zh-CN"/>
        </w:rPr>
        <w:t>。若未单独提供，可能影响对响应文件的评价，但不作为一票否决的条款。（注：本承诺书内容不得擅自删改）</w:t>
      </w:r>
    </w:p>
    <w:p w14:paraId="312A4498">
      <w:pPr>
        <w:keepNext w:val="0"/>
        <w:keepLines w:val="0"/>
        <w:pageBreakBefore w:val="0"/>
        <w:widowControl w:val="0"/>
        <w:kinsoku/>
        <w:wordWrap/>
        <w:overflowPunct/>
        <w:topLinePunct w:val="0"/>
        <w:autoSpaceDE/>
        <w:autoSpaceDN/>
        <w:bidi w:val="0"/>
        <w:adjustRightInd/>
        <w:snapToGrid w:val="0"/>
        <w:spacing w:before="157" w:beforeLines="50" w:beforeAutospacing="0" w:line="240" w:lineRule="auto"/>
        <w:jc w:val="center"/>
        <w:textAlignment w:val="auto"/>
        <w:rPr>
          <w:rFonts w:hint="eastAsia" w:ascii="仿宋_GB2312" w:eastAsia="仿宋_GB2312" w:cs="仿宋_GB2312"/>
          <w:b/>
          <w:bCs/>
          <w:color w:val="FF0000"/>
          <w:position w:val="-60"/>
          <w:sz w:val="56"/>
          <w:szCs w:val="56"/>
          <w:highlight w:val="none"/>
          <w:lang w:eastAsia="zh-CN"/>
        </w:rPr>
      </w:pPr>
      <w:r>
        <w:rPr>
          <w:rFonts w:hint="eastAsia" w:ascii="仿宋_GB2312" w:hAnsi="Calibri Light" w:eastAsia="仿宋_GB2312" w:cs="仿宋_GB2312"/>
          <w:b/>
          <w:bCs/>
          <w:color w:val="FF0000"/>
          <w:position w:val="-60"/>
          <w:sz w:val="52"/>
          <w:szCs w:val="52"/>
          <w:highlight w:val="none"/>
          <w:lang w:eastAsia="zh-CN"/>
        </w:rPr>
        <w:t>中山大学附属仁济医院</w:t>
      </w:r>
    </w:p>
    <w:p w14:paraId="0EA9C98B">
      <w:pPr>
        <w:keepNext w:val="0"/>
        <w:keepLines w:val="0"/>
        <w:pageBreakBefore w:val="0"/>
        <w:widowControl w:val="0"/>
        <w:kinsoku/>
        <w:wordWrap/>
        <w:overflowPunct/>
        <w:topLinePunct w:val="0"/>
        <w:autoSpaceDE/>
        <w:autoSpaceDN/>
        <w:bidi w:val="0"/>
        <w:adjustRightInd w:val="0"/>
        <w:snapToGrid w:val="0"/>
        <w:spacing w:before="157" w:beforeLines="50" w:after="0"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廉洁守约承诺书</w:t>
      </w:r>
    </w:p>
    <w:p w14:paraId="2EC31C48">
      <w:pPr>
        <w:adjustRightInd w:val="0"/>
        <w:snapToGrid w:val="0"/>
        <w:spacing w:after="0" w:line="360" w:lineRule="auto"/>
        <w:rPr>
          <w:rFonts w:hint="eastAsia" w:ascii="仿宋" w:hAnsi="仿宋" w:eastAsia="仿宋" w:cs="仿宋"/>
          <w:sz w:val="24"/>
          <w:szCs w:val="24"/>
          <w:highlight w:val="yellow"/>
          <w:u w:val="single"/>
          <w:lang w:val="en-US" w:eastAsia="zh-CN"/>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yellow"/>
          <w:u w:val="single"/>
          <w:lang w:val="en-US" w:eastAsia="zh-CN"/>
        </w:rPr>
        <w:t xml:space="preserve"> 中山大学附属仁济医院危险废物处置服务采购项目  </w:t>
      </w:r>
    </w:p>
    <w:p w14:paraId="06425D95">
      <w:pPr>
        <w:adjustRightInd w:val="0"/>
        <w:snapToGrid w:val="0"/>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w:t>
      </w:r>
      <w:r>
        <w:rPr>
          <w:rFonts w:hint="eastAsia" w:ascii="仿宋" w:hAnsi="仿宋" w:eastAsia="仿宋" w:cs="仿宋"/>
          <w:sz w:val="24"/>
          <w:szCs w:val="24"/>
          <w:highlight w:val="none"/>
          <w:lang w:eastAsia="zh-CN"/>
        </w:rPr>
        <w:t>中山大学附属仁济医院</w:t>
      </w:r>
      <w:r>
        <w:rPr>
          <w:rFonts w:hint="eastAsia" w:ascii="仿宋" w:hAnsi="仿宋" w:eastAsia="仿宋" w:cs="仿宋"/>
          <w:sz w:val="24"/>
          <w:szCs w:val="24"/>
          <w:highlight w:val="none"/>
        </w:rPr>
        <w:t>（下称医院）的规章制度，我公司特作出以下廉洁守约承诺：</w:t>
      </w:r>
    </w:p>
    <w:p w14:paraId="06947D29">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一、我司及工作人员严格遵守医院的有关规定，不通过给予医院工作人员“红包”（含礼品、礼金、消费卡和有价证券、股权、其他金融</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等财物，公司及工作人员安排、组织或者支付费用的宴请或者旅游、健身、娱乐等活动安排，下同）、回扣、提成、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及以其它不正当利益等手段进行促销；不以任何名义、形式给予医院工作人员及其特殊关系人“红包”、回扣、提成、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 xml:space="preserve">以及其他不正当利益，或邀请医院工作人员及其特殊关系人参加涉及商业利益的活动等。 </w:t>
      </w:r>
    </w:p>
    <w:p w14:paraId="49DE2240">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前款所称“特殊关系人”，是指医院工作人员的近亲属、特殊利害关系人等 。</w:t>
      </w:r>
    </w:p>
    <w:p w14:paraId="3D91640C">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二、我司及销售人员不在医院诊疗时间、诊疗区域进入各医疗科室进行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推介活动，不干扰医务人员的医疗活动；未经医院批准，不在院内召开任何形式的</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宣传、推广活动；不在院内张贴、派发涉及</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的宣传资料和赠品。</w:t>
      </w:r>
    </w:p>
    <w:p w14:paraId="6EEA5D05">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三、我司承诺需要在医院进行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宣传、推广工作时，一定向医院相关职能部门提出书面申请。经审批后，由医院有组织、有计划地予以安排。</w:t>
      </w:r>
    </w:p>
    <w:p w14:paraId="4F55A7CA">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四、我司承诺遵守国家有关招标采购法律法规规章，在参加医院招标采购活动时，保证诚信投标、不串标、不陪标，严格按照有关规定及合同执行。</w:t>
      </w:r>
    </w:p>
    <w:p w14:paraId="0FDC2197">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五、我司承诺</w:t>
      </w:r>
    </w:p>
    <w:p w14:paraId="483F3559">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不销售、不使用假冒伪劣以及无生产批准文号或无相关经营许可证、经营注册证的药品、试剂、医疗设备、医疗器械、医用耗材及其它</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。（药品、医疗设备、医用耗材及其他货物的生产和经营企业勾选此项）</w:t>
      </w:r>
    </w:p>
    <w:p w14:paraId="7E0E4347">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00DA6EBC">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w:t>
      </w:r>
      <w:r>
        <w:rPr>
          <w:rFonts w:hint="eastAsia" w:ascii="仿宋" w:hAnsi="仿宋" w:eastAsia="仿宋" w:cs="仿宋"/>
          <w:sz w:val="24"/>
          <w:szCs w:val="24"/>
          <w:highlight w:val="none"/>
          <w:lang w:val="en-US" w:eastAsia="zh-CN"/>
        </w:rPr>
        <w:t>采购文件</w:t>
      </w:r>
      <w:r>
        <w:rPr>
          <w:rFonts w:hint="eastAsia" w:ascii="仿宋" w:hAnsi="仿宋" w:eastAsia="仿宋" w:cs="仿宋"/>
          <w:sz w:val="24"/>
          <w:szCs w:val="24"/>
          <w:highlight w:val="none"/>
        </w:rPr>
        <w:t>和</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或其他响应文件签订书面合同。</w:t>
      </w:r>
    </w:p>
    <w:p w14:paraId="2BEF63F7">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若违反上述承诺，我司自愿接受</w:t>
      </w:r>
      <w:r>
        <w:rPr>
          <w:rFonts w:hint="eastAsia" w:ascii="仿宋" w:hAnsi="仿宋" w:eastAsia="仿宋" w:cs="仿宋"/>
          <w:sz w:val="24"/>
          <w:szCs w:val="24"/>
          <w:highlight w:val="none"/>
          <w:lang w:eastAsia="zh-CN"/>
        </w:rPr>
        <w:t>中山大学附属仁济医院</w:t>
      </w:r>
      <w:r>
        <w:rPr>
          <w:rFonts w:hint="eastAsia" w:ascii="仿宋" w:hAnsi="仿宋" w:eastAsia="仿宋" w:cs="仿宋"/>
          <w:sz w:val="24"/>
          <w:szCs w:val="24"/>
          <w:highlight w:val="none"/>
        </w:rPr>
        <w:t>以下处理：医院将我司违规行为予以曝光；医院取消我司中标</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rPr>
        <w:t>资格并不予退还履约保证金；医院有权解除双方签订的买卖合同、技术服务合同及建筑工程施工合同等合同，停用相关</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并断绝与我司业务往来，且不承担我司因此造成的任何损失；取消我司参加医院招标采购投标资格两年；报请上级主管部门，依据有关规定在系统内通报、公布药品、医疗设备、医用耗材违法违规情况及其它处理。</w:t>
      </w:r>
    </w:p>
    <w:p w14:paraId="6C1ED664">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双方订立买卖合同、技术服务合同、建筑工程施工合同等合同以后，本承诺书同时作为双方合同的构成部分。</w:t>
      </w:r>
    </w:p>
    <w:p w14:paraId="4880334C">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本承诺书一式两份，一份由医院相关职能部门保存，一份由经营单位保存。</w:t>
      </w:r>
    </w:p>
    <w:p w14:paraId="79A815D5">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14:paraId="1E03502D">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名称：</w:t>
      </w:r>
    </w:p>
    <w:p w14:paraId="54125550">
      <w:pPr>
        <w:keepNext w:val="0"/>
        <w:keepLines w:val="0"/>
        <w:pageBreakBefore w:val="0"/>
        <w:widowControl w:val="0"/>
        <w:kinsoku/>
        <w:wordWrap/>
        <w:overflowPunct/>
        <w:topLinePunct w:val="0"/>
        <w:autoSpaceDE/>
        <w:autoSpaceDN/>
        <w:bidi w:val="0"/>
        <w:adjustRightInd w:val="0"/>
        <w:snapToGrid w:val="0"/>
        <w:spacing w:line="336" w:lineRule="auto"/>
        <w:ind w:firstLine="43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（盖章）</w:t>
      </w:r>
    </w:p>
    <w:p w14:paraId="6589E940">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单位负责人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法定代表人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4EDF2EE4">
      <w:pPr>
        <w:keepNext w:val="0"/>
        <w:keepLines w:val="0"/>
        <w:pageBreakBefore w:val="0"/>
        <w:widowControl w:val="0"/>
        <w:kinsoku/>
        <w:wordWrap/>
        <w:overflowPunct/>
        <w:topLinePunct w:val="0"/>
        <w:autoSpaceDE/>
        <w:autoSpaceDN/>
        <w:bidi w:val="0"/>
        <w:adjustRightInd w:val="0"/>
        <w:snapToGrid w:val="0"/>
        <w:spacing w:line="336" w:lineRule="auto"/>
        <w:ind w:firstLine="1560" w:firstLineChars="6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（签名）</w:t>
      </w:r>
    </w:p>
    <w:p w14:paraId="56A3BB11">
      <w:pPr>
        <w:keepNext w:val="0"/>
        <w:keepLines w:val="0"/>
        <w:pageBreakBefore w:val="0"/>
        <w:widowControl w:val="0"/>
        <w:kinsoku/>
        <w:wordWrap/>
        <w:overflowPunct/>
        <w:topLinePunct w:val="0"/>
        <w:autoSpaceDE/>
        <w:autoSpaceDN/>
        <w:bidi w:val="0"/>
        <w:adjustRightInd w:val="0"/>
        <w:snapToGrid w:val="0"/>
        <w:spacing w:line="336" w:lineRule="auto"/>
        <w:ind w:firstLine="1320" w:firstLineChars="550"/>
        <w:textAlignment w:val="auto"/>
        <w:rPr>
          <w:rFonts w:hint="eastAsia" w:ascii="仿宋" w:hAnsi="仿宋" w:eastAsia="仿宋" w:cs="仿宋"/>
          <w:sz w:val="20"/>
          <w:szCs w:val="22"/>
          <w:highlight w:val="none"/>
        </w:rPr>
      </w:pPr>
      <w:r>
        <w:rPr>
          <w:rFonts w:hint="eastAsia" w:ascii="仿宋" w:hAnsi="仿宋" w:eastAsia="仿宋" w:cs="仿宋"/>
          <w:sz w:val="24"/>
          <w:szCs w:val="24"/>
          <w:highlight w:val="none"/>
        </w:rPr>
        <w:t xml:space="preserve">              日期：           年    月    日</w:t>
      </w:r>
    </w:p>
    <w:p w14:paraId="0291B8ED">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14:paraId="3138517A">
      <w:pPr>
        <w:pStyle w:val="28"/>
        <w:rPr>
          <w:color w:val="000000"/>
          <w:highlight w:val="none"/>
        </w:rPr>
      </w:pPr>
    </w:p>
    <w:p w14:paraId="2A048354">
      <w:pPr>
        <w:pStyle w:val="28"/>
        <w:rPr>
          <w:color w:val="000000"/>
          <w:highlight w:val="none"/>
        </w:rPr>
      </w:pPr>
    </w:p>
    <w:p w14:paraId="7723241D">
      <w:pPr>
        <w:pStyle w:val="28"/>
        <w:rPr>
          <w:color w:val="000000"/>
          <w:highlight w:val="none"/>
        </w:rPr>
      </w:pPr>
    </w:p>
    <w:p w14:paraId="695F0737">
      <w:pPr>
        <w:pStyle w:val="28"/>
        <w:rPr>
          <w:color w:val="000000"/>
          <w:highlight w:val="none"/>
        </w:rPr>
      </w:pPr>
    </w:p>
    <w:p w14:paraId="49CA6D6E">
      <w:pPr>
        <w:pStyle w:val="28"/>
        <w:rPr>
          <w:color w:val="000000"/>
          <w:highlight w:val="none"/>
        </w:rPr>
      </w:pPr>
    </w:p>
    <w:p w14:paraId="1C8DB7F6">
      <w:pPr>
        <w:pStyle w:val="28"/>
        <w:rPr>
          <w:color w:val="000000"/>
          <w:highlight w:val="none"/>
        </w:rPr>
      </w:pPr>
    </w:p>
    <w:p w14:paraId="0FAEE8D4">
      <w:pPr>
        <w:pStyle w:val="28"/>
        <w:rPr>
          <w:color w:val="000000"/>
          <w:highlight w:val="none"/>
        </w:rPr>
      </w:pPr>
    </w:p>
    <w:p w14:paraId="395D47E6">
      <w:pPr>
        <w:pStyle w:val="28"/>
        <w:rPr>
          <w:color w:val="000000"/>
          <w:highlight w:val="none"/>
        </w:rPr>
      </w:pPr>
    </w:p>
    <w:p w14:paraId="5E591F17">
      <w:pPr>
        <w:pStyle w:val="28"/>
        <w:rPr>
          <w:color w:val="000000"/>
          <w:highlight w:val="none"/>
        </w:rPr>
      </w:pPr>
    </w:p>
    <w:p w14:paraId="673A0951">
      <w:pPr>
        <w:pStyle w:val="28"/>
        <w:rPr>
          <w:color w:val="000000"/>
          <w:highlight w:val="none"/>
        </w:rPr>
      </w:pPr>
    </w:p>
    <w:p w14:paraId="11308363">
      <w:pPr>
        <w:pStyle w:val="28"/>
        <w:rPr>
          <w:color w:val="000000"/>
          <w:highlight w:val="none"/>
        </w:rPr>
      </w:pPr>
    </w:p>
    <w:p w14:paraId="19B597BB">
      <w:pPr>
        <w:pStyle w:val="28"/>
        <w:rPr>
          <w:color w:val="000000"/>
          <w:highlight w:val="none"/>
        </w:rPr>
      </w:pPr>
    </w:p>
    <w:p w14:paraId="4A317A0E">
      <w:pPr>
        <w:pStyle w:val="28"/>
        <w:rPr>
          <w:color w:val="000000"/>
          <w:highlight w:val="none"/>
        </w:rPr>
      </w:pPr>
    </w:p>
    <w:p w14:paraId="58F36B0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4、危险废物经营许可证</w:t>
      </w:r>
    </w:p>
    <w:p w14:paraId="1158D77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r>
        <w:rPr>
          <w:rFonts w:hint="eastAsia" w:ascii="仿宋" w:hAnsi="仿宋" w:eastAsia="仿宋" w:cs="仿宋"/>
          <w:b w:val="0"/>
          <w:bCs w:val="0"/>
          <w:sz w:val="24"/>
          <w:szCs w:val="24"/>
          <w:highlight w:val="none"/>
          <w:lang w:val="en-US" w:eastAsia="zh-CN"/>
        </w:rPr>
        <w:t>由生态环境主管部门颁发的在有效期内的《危险废物经营许可证》且核准经营危险废物类别代码需包含本项目全部危险废物（详见比选邀请函）。(提供有效证书的复印件，加盖公章）</w:t>
      </w:r>
    </w:p>
    <w:p w14:paraId="6466F22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752CF34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6CB0E8D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6DE4559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2E28FE9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0E740EA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305DB92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280A410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2B92D748">
      <w:pPr>
        <w:keepNext w:val="0"/>
        <w:keepLines w:val="0"/>
        <w:pageBreakBefore w:val="0"/>
        <w:widowControl w:val="0"/>
        <w:numPr>
          <w:ilvl w:val="0"/>
          <w:numId w:val="14"/>
        </w:numPr>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《道路运输经营许可证》(经营范围包含危险货物运输)</w:t>
      </w:r>
    </w:p>
    <w:p w14:paraId="0A44ED3D">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r>
        <w:rPr>
          <w:rFonts w:hint="eastAsia" w:ascii="仿宋" w:hAnsi="仿宋" w:eastAsia="仿宋" w:cs="仿宋"/>
          <w:b/>
          <w:bCs/>
          <w:sz w:val="32"/>
          <w:szCs w:val="32"/>
          <w:highlight w:val="none"/>
          <w:lang w:val="en-US" w:eastAsia="zh-CN"/>
        </w:rPr>
        <w:t>或《道路危险货物运输许可证》</w:t>
      </w:r>
    </w:p>
    <w:p w14:paraId="7F2DA0E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响应人自身运输危险废物的，响应人须具备交通管理部门颁发的且在有效期内的《道路运输经营许可证》(经营范围包含危险货物运输)或《道路危险货物运输许可证》。若响应人有合作运输单位的，须提供响应人与其合作运输单位的合作协议，以及合作运输单位在有效期内的《道路运输经营许可证》(经营范围包含危险货物运输)或《道路危险货物运输许可证》，上述证明材料复印件须加盖公章。</w:t>
      </w:r>
    </w:p>
    <w:p w14:paraId="115AE55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6AECAD9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3BE7560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58138DB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6D3DF9E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7F57E12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4E76E16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14:paraId="1E7AAE8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23"/>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14:paraId="7FACF2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208BD4FA">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14:paraId="6FBEFE25">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100" w:type="dxa"/>
            <w:vAlign w:val="center"/>
          </w:tcPr>
          <w:p w14:paraId="757EE566">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14:paraId="38D0D996">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1C0741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6AF8E9D7">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vAlign w:val="top"/>
          </w:tcPr>
          <w:p w14:paraId="1E7ADEDA">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74ECBC48">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①响应报价未超过本项目最高限价，且单项报价也未超过单价的最高限价</w:t>
            </w:r>
            <w:r>
              <w:rPr>
                <w:rFonts w:hint="eastAsia" w:ascii="仿宋" w:hAnsi="仿宋" w:eastAsia="仿宋" w:cs="仿宋"/>
                <w:sz w:val="20"/>
                <w:szCs w:val="20"/>
                <w:highlight w:val="none"/>
                <w:lang w:eastAsia="zh-CN"/>
              </w:rPr>
              <w:t>。</w:t>
            </w:r>
          </w:p>
          <w:p w14:paraId="3CC52836">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4F9CA3B3">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服务</w:t>
            </w:r>
            <w:r>
              <w:rPr>
                <w:rFonts w:hint="eastAsia" w:ascii="仿宋" w:hAnsi="仿宋" w:eastAsia="仿宋" w:cs="仿宋"/>
                <w:sz w:val="20"/>
                <w:szCs w:val="20"/>
                <w:highlight w:val="none"/>
              </w:rPr>
              <w:t>质量的书面说明等相关证明材料的。</w:t>
            </w:r>
          </w:p>
          <w:p w14:paraId="5B07ED5D">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2BB47B11">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auto"/>
                <w:sz w:val="20"/>
                <w:szCs w:val="20"/>
                <w:highlight w:val="none"/>
                <w:lang w:val="en-US" w:eastAsia="zh-CN"/>
              </w:rPr>
            </w:pPr>
            <w:r>
              <w:rPr>
                <w:rFonts w:hint="eastAsia" w:ascii="仿宋" w:hAnsi="仿宋" w:eastAsia="仿宋" w:cs="仿宋"/>
                <w:sz w:val="20"/>
                <w:szCs w:val="20"/>
                <w:highlight w:val="none"/>
              </w:rPr>
              <w:t>⑤响应报价均应包含国家规定的税费。</w:t>
            </w:r>
          </w:p>
        </w:tc>
        <w:tc>
          <w:tcPr>
            <w:tcW w:w="1100" w:type="dxa"/>
            <w:vAlign w:val="center"/>
          </w:tcPr>
          <w:p w14:paraId="2C551A0E">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6D63885">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14:paraId="233475A5">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14:paraId="61CBCE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14:paraId="606AD05C">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vAlign w:val="top"/>
          </w:tcPr>
          <w:p w14:paraId="13FBAF5C">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c>
          <w:tcPr>
            <w:tcW w:w="1100" w:type="dxa"/>
            <w:vAlign w:val="center"/>
          </w:tcPr>
          <w:p w14:paraId="5E830E0B">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F31B8CB">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14:paraId="48AEB2E8">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78A698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24E9240A">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vAlign w:val="top"/>
          </w:tcPr>
          <w:p w14:paraId="2E2AC87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14:paraId="0EE67698">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14:paraId="5853EB11">
            <w:pPr>
              <w:pStyle w:val="30"/>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3B7A1C56">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8D91D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041C415B">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vAlign w:val="top"/>
          </w:tcPr>
          <w:p w14:paraId="782FFC86">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c>
          <w:tcPr>
            <w:tcW w:w="1100" w:type="dxa"/>
            <w:vAlign w:val="center"/>
          </w:tcPr>
          <w:p w14:paraId="7B6984D2">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5CAD0A7">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349EE524">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14:paraId="798985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14:paraId="0CD53F62">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本公开</w:t>
            </w:r>
            <w:r>
              <w:rPr>
                <w:rFonts w:hint="eastAsia" w:ascii="仿宋" w:hAnsi="仿宋" w:eastAsia="仿宋" w:cs="仿宋"/>
                <w:szCs w:val="21"/>
                <w:highlight w:val="none"/>
                <w:lang w:eastAsia="zh-CN"/>
              </w:rPr>
              <w:t>比选文件</w:t>
            </w:r>
            <w:r>
              <w:rPr>
                <w:rFonts w:hint="eastAsia" w:ascii="仿宋" w:hAnsi="仿宋" w:eastAsia="仿宋" w:cs="仿宋"/>
                <w:szCs w:val="21"/>
                <w:highlight w:val="none"/>
              </w:rPr>
              <w:t>中的“★”号条款要求</w:t>
            </w:r>
          </w:p>
        </w:tc>
        <w:tc>
          <w:tcPr>
            <w:tcW w:w="4418" w:type="dxa"/>
            <w:vAlign w:val="top"/>
          </w:tcPr>
          <w:p w14:paraId="15CB5A67">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c>
          <w:tcPr>
            <w:tcW w:w="1100" w:type="dxa"/>
            <w:vAlign w:val="center"/>
          </w:tcPr>
          <w:p w14:paraId="6DB1245C">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99CB264">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4630AFA7">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14:paraId="2972FF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14:paraId="2F7C5849">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vAlign w:val="top"/>
          </w:tcPr>
          <w:p w14:paraId="2D5C2A48">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c>
          <w:tcPr>
            <w:tcW w:w="1100" w:type="dxa"/>
            <w:vAlign w:val="center"/>
          </w:tcPr>
          <w:p w14:paraId="53099D85">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59147C7">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14:paraId="18AD4CAA">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14:paraId="317AB4F8">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14:paraId="50E54FC8">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15734343">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14:paraId="51A0D44C">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14:paraId="4EC3A936">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14:paraId="70DBD632">
      <w:pPr>
        <w:pStyle w:val="11"/>
        <w:shd w:val="clear" w:color="auto" w:fill="FFFFFF"/>
        <w:rPr>
          <w:rFonts w:hint="eastAsia" w:ascii="仿宋" w:hAnsi="仿宋" w:eastAsia="仿宋" w:cs="仿宋"/>
          <w:sz w:val="21"/>
          <w:szCs w:val="21"/>
          <w:highlight w:val="none"/>
        </w:rPr>
      </w:pPr>
    </w:p>
    <w:p w14:paraId="11C090B5">
      <w:pPr>
        <w:pStyle w:val="11"/>
        <w:shd w:val="clear" w:color="auto" w:fill="FFFFFF"/>
        <w:rPr>
          <w:rFonts w:hint="eastAsia" w:ascii="仿宋" w:hAnsi="仿宋" w:eastAsia="仿宋" w:cs="仿宋"/>
          <w:sz w:val="21"/>
          <w:szCs w:val="21"/>
          <w:highlight w:val="none"/>
        </w:rPr>
      </w:pPr>
    </w:p>
    <w:p w14:paraId="77DB0D31">
      <w:pPr>
        <w:pStyle w:val="11"/>
        <w:shd w:val="clear" w:color="auto" w:fill="FFFFFF"/>
        <w:rPr>
          <w:rFonts w:hint="eastAsia" w:ascii="仿宋" w:hAnsi="仿宋" w:eastAsia="仿宋" w:cs="仿宋"/>
          <w:sz w:val="21"/>
          <w:szCs w:val="21"/>
          <w:highlight w:val="none"/>
        </w:rPr>
      </w:pPr>
    </w:p>
    <w:p w14:paraId="3A80FD6E">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688454D7">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33692288">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26BFAF08">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14:paraId="7BAD5705">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14:paraId="589078D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14:paraId="472C1D98">
      <w:pPr>
        <w:pStyle w:val="12"/>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14:paraId="7615A396">
      <w:pPr>
        <w:pStyle w:val="12"/>
        <w:tabs>
          <w:tab w:val="left" w:pos="900"/>
        </w:tabs>
        <w:spacing w:line="400" w:lineRule="exact"/>
        <w:ind w:firstLine="0"/>
        <w:jc w:val="center"/>
        <w:rPr>
          <w:rFonts w:hint="eastAsia" w:ascii="仿宋" w:hAnsi="仿宋" w:eastAsia="仿宋" w:cs="仿宋"/>
          <w:bCs/>
          <w:color w:val="000000"/>
          <w:sz w:val="22"/>
          <w:szCs w:val="22"/>
          <w:highlight w:val="none"/>
          <w:lang w:val="en-US"/>
        </w:rPr>
      </w:pPr>
    </w:p>
    <w:p w14:paraId="15DE12A7">
      <w:pPr>
        <w:pStyle w:val="12"/>
        <w:tabs>
          <w:tab w:val="left" w:pos="900"/>
        </w:tabs>
        <w:spacing w:line="400" w:lineRule="exact"/>
        <w:ind w:firstLine="0"/>
        <w:rPr>
          <w:rFonts w:hint="eastAsia" w:ascii="仿宋" w:hAnsi="仿宋" w:eastAsia="仿宋" w:cs="仿宋"/>
          <w:bCs/>
          <w:color w:val="000000"/>
          <w:highlight w:val="none"/>
          <w:lang w:val="en-US"/>
        </w:rPr>
      </w:pPr>
    </w:p>
    <w:p w14:paraId="419C2088">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中山大学孙逸仙纪念医院、中山大学附属仁济医院</w:t>
      </w:r>
      <w:r>
        <w:rPr>
          <w:rFonts w:hint="eastAsia" w:ascii="仿宋" w:hAnsi="仿宋" w:eastAsia="仿宋" w:cs="仿宋"/>
          <w:bCs/>
          <w:color w:val="000000"/>
          <w:sz w:val="28"/>
          <w:szCs w:val="28"/>
          <w:highlight w:val="none"/>
          <w:lang w:val="en-US"/>
        </w:rPr>
        <w:t>：</w:t>
      </w:r>
    </w:p>
    <w:p w14:paraId="5A9D6697">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14:paraId="3AB3148E">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14:paraId="77AD6634">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14:paraId="54688C14">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14:paraId="37ACEC7C">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14:paraId="7BE17339">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14:paraId="6CF2CE65">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2E4DF4C6">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2875C1D4">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1488B941">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    年    月    日</w:t>
      </w:r>
    </w:p>
    <w:p w14:paraId="52940AED">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p>
    <w:p w14:paraId="084B2B6D">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5715" b="13335"/>
                <wp:docPr id="4"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5EF0849A">
                              <w:pPr>
                                <w:spacing w:before="0" w:line="240" w:lineRule="auto"/>
                                <w:rPr>
                                  <w:sz w:val="20"/>
                                </w:rPr>
                              </w:pPr>
                            </w:p>
                            <w:p w14:paraId="4B01A5AE">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25233BA2">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zBJdBNUAAAAFAQAADwAAAAAAAAABACAAAAAiAAAAZHJzL2Rvd25yZXYueG1sUEsBAhQAFAAA&#10;AAgAh07iQCnVgTudAgAAtwYAAA4AAAAAAAAAAQAgAAAAJAEAAGRycy9lMm9Eb2MueG1sUEsFBgAA&#10;AAAGAAYAWQEAADMGA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5EF0849A">
                        <w:pPr>
                          <w:spacing w:before="0" w:line="240" w:lineRule="auto"/>
                          <w:rPr>
                            <w:sz w:val="20"/>
                          </w:rPr>
                        </w:pPr>
                      </w:p>
                      <w:p w14:paraId="4B01A5AE">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25233BA2">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547FA057">
                            <w:pPr>
                              <w:pStyle w:val="7"/>
                              <w:rPr>
                                <w:sz w:val="20"/>
                              </w:rPr>
                            </w:pPr>
                          </w:p>
                          <w:p w14:paraId="260A9DCA">
                            <w:pPr>
                              <w:pStyle w:val="7"/>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0BF0C952">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547FA057">
                      <w:pPr>
                        <w:pStyle w:val="7"/>
                        <w:rPr>
                          <w:sz w:val="20"/>
                        </w:rPr>
                      </w:pPr>
                    </w:p>
                    <w:p w14:paraId="260A9DCA">
                      <w:pPr>
                        <w:pStyle w:val="7"/>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0BF0C952">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14:paraId="17482D46">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14:paraId="7BD48C3A">
      <w:pPr>
        <w:pStyle w:val="30"/>
        <w:ind w:left="0" w:leftChars="0" w:firstLine="0" w:firstLineChars="0"/>
        <w:rPr>
          <w:rFonts w:hint="eastAsia" w:ascii="仿宋" w:hAnsi="仿宋" w:eastAsia="仿宋" w:cs="仿宋"/>
          <w:highlight w:val="none"/>
          <w:lang w:eastAsia="zh-CN"/>
        </w:rPr>
      </w:pPr>
    </w:p>
    <w:p w14:paraId="159EE8F3">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51903589">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05030A52">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3581956B">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71590043">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210173DE">
      <w:pPr>
        <w:pStyle w:val="12"/>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14:paraId="5461FBB0">
      <w:pPr>
        <w:pStyle w:val="12"/>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14:paraId="1A8F2553">
      <w:pPr>
        <w:pStyle w:val="12"/>
        <w:tabs>
          <w:tab w:val="left" w:pos="900"/>
        </w:tabs>
        <w:spacing w:line="400" w:lineRule="exact"/>
        <w:ind w:firstLine="0"/>
        <w:rPr>
          <w:rFonts w:hint="eastAsia" w:ascii="仿宋" w:hAnsi="仿宋" w:eastAsia="仿宋" w:cs="仿宋"/>
          <w:bCs/>
          <w:color w:val="000000"/>
          <w:sz w:val="24"/>
          <w:szCs w:val="24"/>
          <w:highlight w:val="none"/>
          <w:lang w:val="en-US"/>
        </w:rPr>
      </w:pPr>
    </w:p>
    <w:p w14:paraId="66F48290">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中山大学孙逸仙纪念医院、中山大学附属仁济医院</w:t>
      </w:r>
      <w:r>
        <w:rPr>
          <w:rFonts w:hint="eastAsia" w:ascii="仿宋" w:hAnsi="仿宋" w:eastAsia="仿宋" w:cs="仿宋"/>
          <w:bCs/>
          <w:color w:val="000000"/>
          <w:sz w:val="28"/>
          <w:szCs w:val="28"/>
          <w:highlight w:val="none"/>
          <w:lang w:val="en-US"/>
        </w:rPr>
        <w:t>：</w:t>
      </w:r>
    </w:p>
    <w:p w14:paraId="0C8314E4">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中山大学附属仁济医院***项目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14:paraId="63474D10">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14:paraId="0E56F958">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14:paraId="74D58CDD">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4154D63A">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1C34A61B">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27BA0003">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14:paraId="465F9AD3">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14:paraId="338BE081">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14:paraId="25C94438">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01D55191">
                            <w:pPr>
                              <w:pStyle w:val="7"/>
                              <w:rPr>
                                <w:sz w:val="20"/>
                              </w:rPr>
                            </w:pPr>
                          </w:p>
                          <w:p w14:paraId="04518917">
                            <w:pPr>
                              <w:pStyle w:val="7"/>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DC2A5E6">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01D55191">
                      <w:pPr>
                        <w:pStyle w:val="7"/>
                        <w:rPr>
                          <w:sz w:val="20"/>
                        </w:rPr>
                      </w:pPr>
                    </w:p>
                    <w:p w14:paraId="04518917">
                      <w:pPr>
                        <w:pStyle w:val="7"/>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DC2A5E6">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17AF9E3B">
                            <w:pPr>
                              <w:pStyle w:val="7"/>
                              <w:rPr>
                                <w:rFonts w:hint="eastAsia" w:ascii="华文中宋" w:hAnsi="华文中宋" w:eastAsia="华文中宋" w:cs="华文中宋"/>
                                <w:sz w:val="21"/>
                                <w:szCs w:val="21"/>
                              </w:rPr>
                            </w:pPr>
                          </w:p>
                          <w:p w14:paraId="522851E4">
                            <w:pPr>
                              <w:pStyle w:val="7"/>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0B659EB">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17AF9E3B">
                      <w:pPr>
                        <w:pStyle w:val="7"/>
                        <w:rPr>
                          <w:rFonts w:hint="eastAsia" w:ascii="华文中宋" w:hAnsi="华文中宋" w:eastAsia="华文中宋" w:cs="华文中宋"/>
                          <w:sz w:val="21"/>
                          <w:szCs w:val="21"/>
                        </w:rPr>
                      </w:pPr>
                    </w:p>
                    <w:p w14:paraId="522851E4">
                      <w:pPr>
                        <w:pStyle w:val="7"/>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0B659EB">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14:paraId="14FA0AFD">
      <w:pPr>
        <w:pStyle w:val="30"/>
        <w:ind w:left="0" w:leftChars="0" w:firstLine="0" w:firstLineChars="0"/>
        <w:rPr>
          <w:rFonts w:hint="eastAsia" w:ascii="宋体" w:hAnsi="宋体" w:eastAsia="宋体" w:cs="仿宋_GB2312"/>
          <w:bCs/>
          <w:color w:val="000000"/>
          <w:sz w:val="30"/>
          <w:szCs w:val="30"/>
          <w:highlight w:val="none"/>
          <w:lang w:val="en-US"/>
        </w:rPr>
      </w:pPr>
    </w:p>
    <w:p w14:paraId="505620DC">
      <w:pPr>
        <w:pStyle w:val="30"/>
        <w:ind w:left="0" w:leftChars="0" w:firstLine="0" w:firstLineChars="0"/>
        <w:rPr>
          <w:rFonts w:hint="eastAsia" w:ascii="宋体" w:hAnsi="宋体" w:eastAsia="宋体" w:cs="宋体"/>
          <w:b/>
          <w:bCs/>
          <w:sz w:val="28"/>
          <w:szCs w:val="36"/>
          <w:highlight w:val="none"/>
          <w:lang w:eastAsia="zh-CN"/>
        </w:rPr>
      </w:pPr>
    </w:p>
    <w:p w14:paraId="7E872A26">
      <w:pPr>
        <w:pStyle w:val="7"/>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14:paraId="67600D48">
      <w:pPr>
        <w:pStyle w:val="30"/>
        <w:ind w:left="0" w:leftChars="0" w:firstLine="0" w:firstLineChars="0"/>
        <w:rPr>
          <w:rFonts w:hint="eastAsia" w:ascii="宋体" w:hAnsi="宋体" w:eastAsia="宋体" w:cs="仿宋_GB2312"/>
          <w:bCs/>
          <w:color w:val="000000"/>
          <w:sz w:val="30"/>
          <w:szCs w:val="30"/>
          <w:highlight w:val="none"/>
          <w:lang w:val="en-US"/>
        </w:rPr>
      </w:pPr>
    </w:p>
    <w:p w14:paraId="00D71E44">
      <w:pPr>
        <w:pStyle w:val="7"/>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sz w:val="32"/>
          <w:szCs w:val="32"/>
          <w:highlight w:val="none"/>
          <w:lang w:val="en-US" w:eastAsia="zh-CN"/>
        </w:rPr>
      </w:pPr>
    </w:p>
    <w:p w14:paraId="3CBA090E">
      <w:pPr>
        <w:pStyle w:val="7"/>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14:paraId="2C91C95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致：中山大学</w:t>
      </w:r>
      <w:r>
        <w:rPr>
          <w:rFonts w:hint="eastAsia" w:ascii="仿宋" w:hAnsi="仿宋" w:eastAsia="仿宋" w:cs="仿宋"/>
          <w:color w:val="auto"/>
          <w:sz w:val="22"/>
          <w:szCs w:val="22"/>
          <w:highlight w:val="none"/>
          <w:lang w:val="en-US" w:eastAsia="zh-CN"/>
        </w:rPr>
        <w:t>孙逸仙纪念</w:t>
      </w:r>
      <w:r>
        <w:rPr>
          <w:rFonts w:hint="eastAsia" w:ascii="仿宋" w:hAnsi="仿宋" w:eastAsia="仿宋" w:cs="仿宋"/>
          <w:color w:val="auto"/>
          <w:sz w:val="22"/>
          <w:szCs w:val="22"/>
          <w:highlight w:val="none"/>
        </w:rPr>
        <w:t>医院</w:t>
      </w:r>
      <w:r>
        <w:rPr>
          <w:rFonts w:hint="eastAsia" w:ascii="仿宋" w:hAnsi="仿宋" w:eastAsia="仿宋" w:cs="仿宋"/>
          <w:color w:val="auto"/>
          <w:sz w:val="22"/>
          <w:szCs w:val="22"/>
          <w:highlight w:val="none"/>
          <w:lang w:eastAsia="zh-CN"/>
        </w:rPr>
        <w:t>、中山大学附属仁济医院</w:t>
      </w:r>
    </w:p>
    <w:p w14:paraId="03A3DD1F">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)的响应邀请，我方代表</w:t>
      </w:r>
      <w:r>
        <w:rPr>
          <w:rFonts w:hint="eastAsia" w:ascii="仿宋" w:hAnsi="仿宋" w:eastAsia="仿宋" w:cs="仿宋"/>
          <w:color w:val="auto"/>
          <w:sz w:val="22"/>
          <w:szCs w:val="22"/>
          <w:highlight w:val="none"/>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none"/>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14:paraId="3E0BBF03">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14:paraId="66315CBD">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1、同意并接受比选文件的各项要求，遵守比选文件中的各项规定，按比选文件的要求提供报价。</w:t>
      </w:r>
    </w:p>
    <w:p w14:paraId="35FF5F0C">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，成交供应商响应有效期延至合同验收之日。</w:t>
      </w:r>
    </w:p>
    <w:p w14:paraId="3B968A94">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3、我方已经详细地阅读了全部比选文件及其附件，包括澄清及参考文件(如果有的话)。我方已完全清晰理解比选文件的要求，不存在任何含糊不清和误解之处，同意放弃对这些文件所提出的异议和质疑的权利。</w:t>
      </w:r>
    </w:p>
    <w:p w14:paraId="2ED178D5">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4、如果我单位成交，我方将保证按照院方认可的条件，以本比选文件内写明的金额、方式和时间要求提交履约保证金（如有）。</w:t>
      </w:r>
    </w:p>
    <w:p w14:paraId="61E037D8">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14:paraId="5B0C2E73">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6、我方承诺能够完全对比选文件所有带“</w:t>
      </w:r>
      <w:r>
        <w:rPr>
          <w:rFonts w:hint="eastAsia" w:ascii="仿宋" w:hAnsi="仿宋" w:eastAsia="仿宋" w:cs="仿宋"/>
          <w:sz w:val="22"/>
          <w:szCs w:val="22"/>
          <w:highlight w:val="none"/>
          <w:lang w:eastAsia="zh-CN"/>
        </w:rPr>
        <w:t>★</w:t>
      </w:r>
      <w:r>
        <w:rPr>
          <w:rFonts w:hint="eastAsia" w:ascii="仿宋" w:hAnsi="仿宋" w:eastAsia="仿宋" w:cs="仿宋"/>
          <w:color w:val="auto"/>
          <w:sz w:val="22"/>
          <w:szCs w:val="22"/>
          <w:highlight w:val="none"/>
          <w:lang w:val="en-US" w:eastAsia="zh-CN"/>
        </w:rPr>
        <w:t>”号条款作出响应，具体如下：</w:t>
      </w:r>
    </w:p>
    <w:p w14:paraId="0D56B3AD">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（1）我方严格执行环保相关法律、法规，守法经营，安全处理处置危险废物，严格执行《中华人民共和国固体废物污染环境防治法》的规定，本合同涉及的危险废物必须执行国家危险废物转移联单管理制度。</w:t>
      </w:r>
    </w:p>
    <w:p w14:paraId="70D95A6C">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我方承诺，服务期内能保证采购人所有危险废物（包括但不限于：所有品种、所有数量）的正常处置；如果出现紧急情况（紧急情况为危险废物严重影响采购人正常医疗、教学、科研工作或其他特殊情况），经电话联系我方尽快上门协助应急处置。</w:t>
      </w:r>
    </w:p>
    <w:p w14:paraId="70CB3CB4">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（3）我方承诺承担本项目危险废物的分类整理工作及一切所需的包装物，收集、运输、临时贮存以及处置过程中发生的全部安全责任。</w:t>
      </w:r>
    </w:p>
    <w:p w14:paraId="108C941F">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14:paraId="5D14A666">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14:paraId="55C681F2">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14:paraId="681B788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14:paraId="0C6DDAB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lang w:eastAsia="zh-CN"/>
        </w:rPr>
      </w:pPr>
    </w:p>
    <w:p w14:paraId="65835C63">
      <w:pPr>
        <w:pStyle w:val="7"/>
        <w:rPr>
          <w:rFonts w:hint="eastAsia"/>
          <w:lang w:eastAsia="zh-CN"/>
        </w:rPr>
      </w:pPr>
    </w:p>
    <w:p w14:paraId="7694EEAB">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29F17B05">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7FB22FF8">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46940F86">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2C0193D5">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17679BDF">
      <w:pPr>
        <w:rPr>
          <w:rFonts w:hint="eastAsia" w:ascii="黑体" w:hAnsi="黑体" w:eastAsia="黑体" w:cs="黑体"/>
          <w:b/>
          <w:bCs/>
          <w:sz w:val="40"/>
          <w:szCs w:val="40"/>
          <w:highlight w:val="none"/>
          <w:lang w:val="en-US" w:eastAsia="zh-CN"/>
        </w:rPr>
      </w:pPr>
    </w:p>
    <w:p w14:paraId="11AC619A">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14:paraId="4A7F1C11">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0"/>
          <w:szCs w:val="22"/>
          <w:highlight w:val="none"/>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14:paraId="052B7234">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23"/>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2595"/>
        <w:gridCol w:w="2508"/>
        <w:gridCol w:w="1510"/>
        <w:gridCol w:w="2098"/>
        <w:gridCol w:w="1423"/>
      </w:tblGrid>
      <w:tr w14:paraId="0F6B5A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14:paraId="413C41D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5103" w:type="dxa"/>
            <w:gridSpan w:val="2"/>
            <w:vAlign w:val="center"/>
          </w:tcPr>
          <w:p w14:paraId="74D354C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510" w:type="dxa"/>
            <w:vAlign w:val="center"/>
          </w:tcPr>
          <w:p w14:paraId="1CD06A4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2098" w:type="dxa"/>
            <w:vAlign w:val="center"/>
          </w:tcPr>
          <w:p w14:paraId="6A2E241C">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423" w:type="dxa"/>
            <w:vAlign w:val="center"/>
          </w:tcPr>
          <w:p w14:paraId="4B909D9E">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14:paraId="561CDE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7" w:hRule="atLeast"/>
        </w:trPr>
        <w:tc>
          <w:tcPr>
            <w:tcW w:w="647" w:type="dxa"/>
            <w:vAlign w:val="center"/>
          </w:tcPr>
          <w:p w14:paraId="6DE636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2595" w:type="dxa"/>
            <w:vAlign w:val="center"/>
          </w:tcPr>
          <w:p w14:paraId="13AC6A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自2021年1月1日（以合同签订时间为准）以来，完成同类项目业绩（危险废物收运、处理服务）进行评分，每提供一个业绩得2分，本项最高得16分。</w:t>
            </w:r>
          </w:p>
        </w:tc>
        <w:tc>
          <w:tcPr>
            <w:tcW w:w="2508" w:type="dxa"/>
            <w:vAlign w:val="center"/>
          </w:tcPr>
          <w:p w14:paraId="54E251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6"/>
                <w:szCs w:val="16"/>
                <w:highlight w:val="none"/>
                <w:lang w:val="en-US" w:eastAsia="zh-CN"/>
              </w:rPr>
              <w:t>注：须提供加盖响应人公章的业绩合同复印件（关键页内容必须清晰阐明项目名称、合同金额页、合同履行主要内容）。业绩合同主体不得为外包、转包或联合体。公章或合同章上的供应商名称与响应人名称不一致的视为无效，如响应人变更过名称，需提供有关部门证明。未按要求提供的不得分。同一客户单位不重复计分。</w:t>
            </w:r>
          </w:p>
        </w:tc>
        <w:tc>
          <w:tcPr>
            <w:tcW w:w="1510" w:type="dxa"/>
            <w:vAlign w:val="center"/>
          </w:tcPr>
          <w:p w14:paraId="238BC856">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C157FFE">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0898E9D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5C93D0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1" w:hRule="atLeast"/>
        </w:trPr>
        <w:tc>
          <w:tcPr>
            <w:tcW w:w="647" w:type="dxa"/>
            <w:vMerge w:val="restart"/>
            <w:vAlign w:val="center"/>
          </w:tcPr>
          <w:p w14:paraId="49237202">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595" w:type="dxa"/>
            <w:vAlign w:val="center"/>
          </w:tcPr>
          <w:p w14:paraId="255DCCBE">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项目负责人具备环保相关专业中级及以上职称，得3分。</w:t>
            </w:r>
          </w:p>
        </w:tc>
        <w:tc>
          <w:tcPr>
            <w:tcW w:w="2508" w:type="dxa"/>
            <w:vMerge w:val="restart"/>
            <w:vAlign w:val="center"/>
          </w:tcPr>
          <w:p w14:paraId="2459A275">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以上相关人员有效期内的资格证书复印件（其中，运输人员提供有效期内的危险品准驾证，押运员提供有效期内的危险品押运证）及2024年1月以来任意一个月的响应人为其缴纳的社保证明材料复印件，缺一不可。</w:t>
            </w:r>
          </w:p>
        </w:tc>
        <w:tc>
          <w:tcPr>
            <w:tcW w:w="1510" w:type="dxa"/>
            <w:vAlign w:val="center"/>
          </w:tcPr>
          <w:p w14:paraId="7EB5C05F">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97D74F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19E40F3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3308CF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19" w:hRule="atLeast"/>
        </w:trPr>
        <w:tc>
          <w:tcPr>
            <w:tcW w:w="647" w:type="dxa"/>
            <w:vMerge w:val="continue"/>
            <w:vAlign w:val="center"/>
          </w:tcPr>
          <w:p w14:paraId="095537FC">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rPr>
            </w:pPr>
          </w:p>
        </w:tc>
        <w:tc>
          <w:tcPr>
            <w:tcW w:w="2595" w:type="dxa"/>
            <w:vAlign w:val="center"/>
          </w:tcPr>
          <w:p w14:paraId="00051950">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为本项目配置运输人员至少1人，在符合此要求下：每增加1名运输人员投入到本项目的，得2分，本项最高得4分。不提供或仅提供1名运输人员资料的，则本项不得分。</w:t>
            </w:r>
          </w:p>
        </w:tc>
        <w:tc>
          <w:tcPr>
            <w:tcW w:w="2508" w:type="dxa"/>
            <w:vMerge w:val="continue"/>
            <w:vAlign w:val="center"/>
          </w:tcPr>
          <w:p w14:paraId="7DD2D457">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p>
        </w:tc>
        <w:tc>
          <w:tcPr>
            <w:tcW w:w="1510" w:type="dxa"/>
            <w:vAlign w:val="center"/>
          </w:tcPr>
          <w:p w14:paraId="12805371">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64D0832">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7E87B8CB">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2E961B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19" w:hRule="atLeast"/>
        </w:trPr>
        <w:tc>
          <w:tcPr>
            <w:tcW w:w="647" w:type="dxa"/>
            <w:vMerge w:val="continue"/>
            <w:vAlign w:val="center"/>
          </w:tcPr>
          <w:p w14:paraId="3DF1516B">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rPr>
            </w:pPr>
          </w:p>
        </w:tc>
        <w:tc>
          <w:tcPr>
            <w:tcW w:w="2595" w:type="dxa"/>
            <w:vAlign w:val="center"/>
          </w:tcPr>
          <w:p w14:paraId="76AA0652">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为本项目配置押运人员至少1人，在符合此要求下：每增加1名押运人员投入到本项目的，得2分，本项最高得4分。不提供或仅提供1名押运人员资料的，则本项不得分。</w:t>
            </w:r>
          </w:p>
        </w:tc>
        <w:tc>
          <w:tcPr>
            <w:tcW w:w="2508" w:type="dxa"/>
            <w:vMerge w:val="continue"/>
            <w:vAlign w:val="center"/>
          </w:tcPr>
          <w:p w14:paraId="2B61D1F8">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p>
        </w:tc>
        <w:tc>
          <w:tcPr>
            <w:tcW w:w="1510" w:type="dxa"/>
            <w:vAlign w:val="center"/>
          </w:tcPr>
          <w:p w14:paraId="3F54DB9E">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68ACD56">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38B59393">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71A28B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Merge w:val="restart"/>
            <w:vAlign w:val="center"/>
          </w:tcPr>
          <w:p w14:paraId="38B2C5D0">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595" w:type="dxa"/>
            <w:vAlign w:val="center"/>
          </w:tcPr>
          <w:p w14:paraId="0C08D5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具有有效的</w:t>
            </w:r>
            <w:r>
              <w:rPr>
                <w:rFonts w:hint="eastAsia" w:ascii="仿宋" w:hAnsi="仿宋" w:eastAsia="仿宋" w:cs="仿宋"/>
                <w:color w:val="000000"/>
                <w:sz w:val="21"/>
                <w:szCs w:val="21"/>
                <w:lang w:bidi="ar"/>
              </w:rPr>
              <w:t>质量管理体系认证证书</w:t>
            </w:r>
            <w:r>
              <w:rPr>
                <w:rFonts w:hint="eastAsia" w:ascii="仿宋" w:hAnsi="仿宋" w:eastAsia="仿宋" w:cs="仿宋"/>
                <w:color w:val="auto"/>
                <w:sz w:val="21"/>
                <w:szCs w:val="21"/>
                <w:highlight w:val="none"/>
                <w:lang w:val="en-US" w:eastAsia="zh-CN"/>
              </w:rPr>
              <w:t>得1分。</w:t>
            </w:r>
          </w:p>
        </w:tc>
        <w:tc>
          <w:tcPr>
            <w:tcW w:w="2508" w:type="dxa"/>
            <w:vMerge w:val="restart"/>
            <w:vAlign w:val="center"/>
          </w:tcPr>
          <w:p w14:paraId="68D268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注:提供有效期内的证书复印件，加盖响应人公章，未提供不得分。</w:t>
            </w:r>
          </w:p>
        </w:tc>
        <w:tc>
          <w:tcPr>
            <w:tcW w:w="1510" w:type="dxa"/>
            <w:vAlign w:val="center"/>
          </w:tcPr>
          <w:p w14:paraId="0F6FC424">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2179AF6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4D5483D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3DAC7F2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9" w:hRule="atLeast"/>
        </w:trPr>
        <w:tc>
          <w:tcPr>
            <w:tcW w:w="647" w:type="dxa"/>
            <w:vMerge w:val="continue"/>
            <w:vAlign w:val="center"/>
          </w:tcPr>
          <w:p w14:paraId="4903145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595" w:type="dxa"/>
            <w:vAlign w:val="center"/>
          </w:tcPr>
          <w:p w14:paraId="152251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具有有效的环境管理体系认证证书得1分。</w:t>
            </w:r>
          </w:p>
        </w:tc>
        <w:tc>
          <w:tcPr>
            <w:tcW w:w="2508" w:type="dxa"/>
            <w:vMerge w:val="continue"/>
            <w:vAlign w:val="center"/>
          </w:tcPr>
          <w:p w14:paraId="3C43EE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510" w:type="dxa"/>
            <w:vAlign w:val="center"/>
          </w:tcPr>
          <w:p w14:paraId="759B9A39">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7BB395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64924D5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1C94DF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9" w:hRule="atLeast"/>
        </w:trPr>
        <w:tc>
          <w:tcPr>
            <w:tcW w:w="647" w:type="dxa"/>
            <w:vMerge w:val="continue"/>
            <w:vAlign w:val="center"/>
          </w:tcPr>
          <w:p w14:paraId="4E37A2C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595" w:type="dxa"/>
            <w:vAlign w:val="center"/>
          </w:tcPr>
          <w:p w14:paraId="745E66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具有有效的职业健康安全管理体系认证证书得1分。</w:t>
            </w:r>
          </w:p>
        </w:tc>
        <w:tc>
          <w:tcPr>
            <w:tcW w:w="2508" w:type="dxa"/>
            <w:vMerge w:val="continue"/>
            <w:vAlign w:val="center"/>
          </w:tcPr>
          <w:p w14:paraId="53A8A1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p>
        </w:tc>
        <w:tc>
          <w:tcPr>
            <w:tcW w:w="1510" w:type="dxa"/>
            <w:vAlign w:val="center"/>
          </w:tcPr>
          <w:p w14:paraId="7A394121">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60F8EF6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1308CCE4">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4FB365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14:paraId="69A1189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595" w:type="dxa"/>
            <w:vAlign w:val="center"/>
          </w:tcPr>
          <w:p w14:paraId="01B06F00">
            <w:pPr>
              <w:keepNext w:val="0"/>
              <w:keepLines w:val="0"/>
              <w:pageBreakBefore w:val="0"/>
              <w:suppressLineNumbers w:val="0"/>
              <w:kinsoku/>
              <w:wordWrap/>
              <w:overflowPunct/>
              <w:topLinePunct w:val="0"/>
              <w:bidi w:val="0"/>
              <w:spacing w:before="0" w:beforeAutospacing="0" w:after="0" w:afterAutospacing="0"/>
              <w:ind w:left="0" w:leftChars="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响应人自有/租赁运输车辆：运输车辆每台得2分，最多6分。</w:t>
            </w:r>
          </w:p>
        </w:tc>
        <w:tc>
          <w:tcPr>
            <w:tcW w:w="2508" w:type="dxa"/>
            <w:vAlign w:val="center"/>
          </w:tcPr>
          <w:p w14:paraId="64729B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注：提供以下资料二选一：</w:t>
            </w:r>
          </w:p>
          <w:p w14:paraId="514EAA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1.提供危险废物运输车辆的《中华人民共和国道路运输证》(业户名称应为响应人的，经营范围包含危险货物运输)</w:t>
            </w:r>
            <w:r>
              <w:rPr>
                <w:rFonts w:hint="eastAsia" w:ascii="仿宋" w:hAnsi="仿宋" w:eastAsia="仿宋" w:cs="仿宋"/>
                <w:color w:val="auto"/>
                <w:kern w:val="2"/>
                <w:sz w:val="18"/>
                <w:szCs w:val="18"/>
                <w:highlight w:val="none"/>
                <w:lang w:val="en-US" w:eastAsia="zh-CN" w:bidi="ar"/>
              </w:rPr>
              <w:t>或《道路危险货物运输许可证》</w:t>
            </w:r>
            <w:r>
              <w:rPr>
                <w:rFonts w:hint="eastAsia" w:ascii="仿宋" w:hAnsi="仿宋" w:eastAsia="仿宋" w:cs="仿宋"/>
                <w:color w:val="auto"/>
                <w:sz w:val="18"/>
                <w:szCs w:val="18"/>
                <w:highlight w:val="none"/>
                <w:lang w:val="en-US" w:eastAsia="zh-CN"/>
              </w:rPr>
              <w:t>复印件；2.提供危险废物运输车辆的《中华人民共和国道路运输证》(经营范围包含危险货物运输)</w:t>
            </w:r>
            <w:r>
              <w:rPr>
                <w:rFonts w:hint="eastAsia" w:ascii="仿宋" w:hAnsi="仿宋" w:eastAsia="仿宋" w:cs="仿宋"/>
                <w:color w:val="auto"/>
                <w:kern w:val="2"/>
                <w:sz w:val="18"/>
                <w:szCs w:val="18"/>
                <w:highlight w:val="none"/>
                <w:lang w:val="en-US" w:eastAsia="zh-CN" w:bidi="ar"/>
              </w:rPr>
              <w:t>或《道路危险货物运输许可证》</w:t>
            </w:r>
            <w:r>
              <w:rPr>
                <w:rFonts w:hint="eastAsia" w:ascii="仿宋" w:hAnsi="仿宋" w:eastAsia="仿宋" w:cs="仿宋"/>
                <w:color w:val="auto"/>
                <w:sz w:val="18"/>
                <w:szCs w:val="18"/>
                <w:highlight w:val="none"/>
                <w:lang w:val="en-US" w:eastAsia="zh-CN"/>
              </w:rPr>
              <w:t>复印件和有效期内的车辆租赁合同复印件。</w:t>
            </w:r>
          </w:p>
        </w:tc>
        <w:tc>
          <w:tcPr>
            <w:tcW w:w="1510" w:type="dxa"/>
            <w:vAlign w:val="center"/>
          </w:tcPr>
          <w:p w14:paraId="28CF6AE7">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0ADB0FFE">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4EDE0231">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242D192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8" w:hRule="atLeast"/>
        </w:trPr>
        <w:tc>
          <w:tcPr>
            <w:tcW w:w="647" w:type="dxa"/>
            <w:vAlign w:val="center"/>
          </w:tcPr>
          <w:p w14:paraId="02CB411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2595" w:type="dxa"/>
            <w:vAlign w:val="center"/>
          </w:tcPr>
          <w:p w14:paraId="7A7A88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rPr>
              <w:t>响应人具有危险废物智能收集管理、贮存管理、运输管理等与本项目相关的系统软件著作权登记证书或者软著使用权证明材料，有1项得2分，最多得6分。</w:t>
            </w:r>
          </w:p>
        </w:tc>
        <w:tc>
          <w:tcPr>
            <w:tcW w:w="2508" w:type="dxa"/>
            <w:vAlign w:val="center"/>
          </w:tcPr>
          <w:p w14:paraId="5FFCAF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000000"/>
                <w:sz w:val="18"/>
                <w:szCs w:val="18"/>
              </w:rPr>
              <w:t>注：提供有效内的证书复印件，并加盖公章，未提供不得分。</w:t>
            </w:r>
          </w:p>
        </w:tc>
        <w:tc>
          <w:tcPr>
            <w:tcW w:w="1510" w:type="dxa"/>
            <w:vAlign w:val="center"/>
          </w:tcPr>
          <w:p w14:paraId="7511BAB2">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609BCB4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3C747AFB">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bl>
    <w:p w14:paraId="74D6DC3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14:paraId="17257D5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14:paraId="090A800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14:paraId="37C7708C">
      <w:pPr>
        <w:pStyle w:val="30"/>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1、请在表格下方附上相关证明资料，提供所需证书（或证明文件）复印件且加盖公章方可得分，不提供不得分。</w:t>
      </w:r>
    </w:p>
    <w:p w14:paraId="6EB4D8FA">
      <w:pPr>
        <w:pStyle w:val="30"/>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2、本表中所要求提交的与评分项目相关的各类证明文件或资料，需清晰反映相关的数据及印章等，如模糊不清无法辨别的，视为未按要求提交，该项评分不得分。</w:t>
      </w:r>
    </w:p>
    <w:p w14:paraId="3F48CB87">
      <w:pPr>
        <w:pStyle w:val="30"/>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3、本表要求提供的证书等证明文件，如存在有效期的，须在有效期内，否则不予得分。</w:t>
      </w:r>
    </w:p>
    <w:p w14:paraId="18FAC5F2">
      <w:pPr>
        <w:pStyle w:val="30"/>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4、承诺以上响应情况属实，如有虚假响应，同意本项目一票否决，并列入采购人失信供应商名单。</w:t>
      </w:r>
    </w:p>
    <w:p w14:paraId="545F87FE">
      <w:pPr>
        <w:pStyle w:val="30"/>
        <w:numPr>
          <w:ilvl w:val="0"/>
          <w:numId w:val="0"/>
        </w:numPr>
        <w:ind w:left="-617" w:leftChars="-294" w:right="-395" w:rightChars="-188" w:firstLine="417" w:firstLineChars="199"/>
        <w:rPr>
          <w:rFonts w:hint="eastAsia" w:ascii="仿宋" w:hAnsi="仿宋" w:eastAsia="仿宋" w:cs="仿宋"/>
          <w:highlight w:val="none"/>
        </w:rPr>
      </w:pPr>
      <w:r>
        <w:rPr>
          <w:rFonts w:hint="eastAsia" w:ascii="仿宋" w:hAnsi="仿宋" w:eastAsia="仿宋" w:cs="仿宋"/>
          <w:sz w:val="21"/>
          <w:szCs w:val="21"/>
          <w:highlight w:val="none"/>
          <w:lang w:val="en-US"/>
        </w:rPr>
        <w:t>5、本自查表不得擅自删改。</w:t>
      </w:r>
    </w:p>
    <w:p w14:paraId="5FDE07C2">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14:paraId="21A3C61B">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26E87F4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CE41DA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D11C909">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36EB4D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471F882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76C0E37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1C7AED3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74DA945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3F20009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6F84184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603893A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450182B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395D91CC">
      <w:pPr>
        <w:pStyle w:val="28"/>
        <w:rPr>
          <w:rFonts w:hint="eastAsia"/>
          <w:lang w:eastAsia="zh-CN"/>
        </w:rPr>
      </w:pPr>
    </w:p>
    <w:p w14:paraId="295A5FA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726C9D1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14:paraId="1123EF6F">
      <w:pPr>
        <w:shd w:val="clear" w:color="auto" w:fill="FFFFFF"/>
        <w:tabs>
          <w:tab w:val="left" w:pos="180"/>
        </w:tabs>
        <w:ind w:left="-24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23"/>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74F5E3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5B9F165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775584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4BAE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32D783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51CF6DD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BC8C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52EF2F7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371BC1C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07DE60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625FA7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239E0C4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6B2D6EC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8CC4D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39C0657D">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6E9C89E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1B128F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7AE253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0AE6456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7C420EF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07F4B1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1EE37B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6E73DE6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1287ED4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F771B4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1DE007E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14:paraId="4AE17EB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1B7FB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964997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202C7BF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22FCA42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4425347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789CC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53AF664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14:paraId="7EE87F7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B603B8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499C5A2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0B6D5B2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570C7DD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45B3934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553B346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3AFC3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2F013AB8">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14:paraId="15754D2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14:paraId="7249069A">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6B92EBC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16374BAC">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14:paraId="60C1DC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66544C1E">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53B4551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14:paraId="40F21A6C">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14:paraId="7BE3D54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0C727ADD">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14:paraId="2C174E27">
      <w:pPr>
        <w:pStyle w:val="28"/>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14:paraId="1D9D9C2E">
      <w:pPr>
        <w:pStyle w:val="28"/>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14:paraId="303BDEF0">
      <w:pPr>
        <w:pStyle w:val="28"/>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14:paraId="5322C4CF">
      <w:pPr>
        <w:pStyle w:val="30"/>
        <w:jc w:val="center"/>
        <w:rPr>
          <w:rFonts w:hint="eastAsia" w:ascii="宋体" w:hAnsi="宋体" w:eastAsia="宋体" w:cs="宋体"/>
          <w:b/>
          <w:bCs w:val="0"/>
          <w:sz w:val="32"/>
          <w:szCs w:val="32"/>
          <w:highlight w:val="none"/>
          <w:lang w:val="en-US" w:eastAsia="zh-CN"/>
        </w:rPr>
      </w:pPr>
    </w:p>
    <w:p w14:paraId="3113D7CD">
      <w:pPr>
        <w:pStyle w:val="30"/>
        <w:jc w:val="center"/>
        <w:rPr>
          <w:rFonts w:hint="eastAsia" w:ascii="宋体" w:hAnsi="宋体" w:eastAsia="宋体" w:cs="宋体"/>
          <w:b/>
          <w:bCs w:val="0"/>
          <w:sz w:val="32"/>
          <w:szCs w:val="32"/>
          <w:highlight w:val="none"/>
          <w:lang w:val="en-US" w:eastAsia="zh-CN"/>
        </w:rPr>
      </w:pPr>
    </w:p>
    <w:p w14:paraId="2E4A886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7F3E5DD">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A3DE3DC">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D1C8BFE">
      <w:pPr>
        <w:pStyle w:val="30"/>
        <w:rPr>
          <w:rFonts w:hint="eastAsia" w:ascii="宋体" w:hAnsi="宋体" w:eastAsia="宋体" w:cs="宋体"/>
          <w:b/>
          <w:bCs w:val="0"/>
          <w:sz w:val="32"/>
          <w:szCs w:val="32"/>
          <w:highlight w:val="none"/>
          <w:lang w:val="en-US" w:eastAsia="zh-CN"/>
        </w:rPr>
      </w:pPr>
    </w:p>
    <w:p w14:paraId="0A8ECA02">
      <w:pPr>
        <w:pStyle w:val="30"/>
        <w:jc w:val="center"/>
        <w:rPr>
          <w:rFonts w:hint="eastAsia" w:ascii="宋体" w:hAnsi="宋体" w:eastAsia="宋体" w:cs="宋体"/>
          <w:b/>
          <w:bCs w:val="0"/>
          <w:sz w:val="32"/>
          <w:szCs w:val="32"/>
          <w:highlight w:val="none"/>
          <w:lang w:val="en-US" w:eastAsia="zh-CN"/>
        </w:rPr>
      </w:pPr>
    </w:p>
    <w:p w14:paraId="10AA99AD">
      <w:pPr>
        <w:pStyle w:val="30"/>
        <w:jc w:val="center"/>
        <w:rPr>
          <w:rFonts w:hint="eastAsia" w:ascii="宋体" w:hAnsi="宋体" w:eastAsia="宋体" w:cs="宋体"/>
          <w:b/>
          <w:bCs w:val="0"/>
          <w:sz w:val="32"/>
          <w:szCs w:val="32"/>
          <w:highlight w:val="none"/>
          <w:lang w:val="en-US" w:eastAsia="zh-CN"/>
        </w:rPr>
      </w:pPr>
    </w:p>
    <w:p w14:paraId="670B031C">
      <w:pPr>
        <w:pStyle w:val="30"/>
        <w:jc w:val="center"/>
        <w:rPr>
          <w:rFonts w:hint="eastAsia" w:ascii="宋体" w:hAnsi="宋体" w:eastAsia="宋体" w:cs="宋体"/>
          <w:b/>
          <w:bCs w:val="0"/>
          <w:sz w:val="32"/>
          <w:szCs w:val="32"/>
          <w:highlight w:val="none"/>
          <w:lang w:val="en-US" w:eastAsia="zh-CN"/>
        </w:rPr>
      </w:pPr>
    </w:p>
    <w:p w14:paraId="0FBDBB4C">
      <w:pPr>
        <w:pStyle w:val="30"/>
        <w:jc w:val="center"/>
        <w:rPr>
          <w:rFonts w:hint="eastAsia" w:ascii="宋体" w:hAnsi="宋体" w:eastAsia="宋体" w:cs="宋体"/>
          <w:b/>
          <w:bCs w:val="0"/>
          <w:sz w:val="32"/>
          <w:szCs w:val="32"/>
          <w:highlight w:val="none"/>
          <w:lang w:val="en-US" w:eastAsia="zh-CN"/>
        </w:rPr>
      </w:pPr>
    </w:p>
    <w:p w14:paraId="6DED8C5D">
      <w:pPr>
        <w:pStyle w:val="30"/>
        <w:jc w:val="center"/>
        <w:rPr>
          <w:rFonts w:hint="eastAsia" w:ascii="宋体" w:hAnsi="宋体" w:eastAsia="宋体" w:cs="宋体"/>
          <w:b/>
          <w:bCs w:val="0"/>
          <w:sz w:val="32"/>
          <w:szCs w:val="32"/>
          <w:highlight w:val="none"/>
          <w:lang w:val="en-US" w:eastAsia="zh-CN"/>
        </w:rPr>
      </w:pPr>
    </w:p>
    <w:p w14:paraId="4CCD971A">
      <w:pPr>
        <w:pStyle w:val="30"/>
        <w:ind w:left="0" w:leftChars="0" w:firstLine="0" w:firstLineChars="0"/>
        <w:jc w:val="both"/>
        <w:rPr>
          <w:rFonts w:hint="eastAsia" w:ascii="宋体" w:hAnsi="宋体" w:eastAsia="宋体" w:cs="宋体"/>
          <w:b/>
          <w:bCs w:val="0"/>
          <w:sz w:val="32"/>
          <w:szCs w:val="32"/>
          <w:highlight w:val="none"/>
          <w:lang w:val="en-US" w:eastAsia="zh-CN"/>
        </w:rPr>
      </w:pPr>
    </w:p>
    <w:p w14:paraId="2C463D44">
      <w:pPr>
        <w:pStyle w:val="30"/>
        <w:ind w:left="0" w:leftChars="0" w:firstLine="0" w:firstLineChars="0"/>
        <w:jc w:val="both"/>
        <w:rPr>
          <w:rFonts w:hint="eastAsia" w:ascii="宋体" w:hAnsi="宋体" w:eastAsia="宋体" w:cs="宋体"/>
          <w:b/>
          <w:bCs w:val="0"/>
          <w:sz w:val="32"/>
          <w:szCs w:val="32"/>
          <w:highlight w:val="none"/>
          <w:lang w:val="en-US" w:eastAsia="zh-CN"/>
        </w:rPr>
      </w:pPr>
    </w:p>
    <w:p w14:paraId="118C3B9B">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23"/>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6FAEE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81E0A2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07D8B68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022E2B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C9474C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17FBD1B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FFA2BB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58E84A0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6087B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71646B0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037F5B0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523623C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6326FA9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DACC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2BB8B38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14:paraId="55E928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B4F259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7C5ACC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45F5AC5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14:paraId="2C5571E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26ECC1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14:paraId="28ED11B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125BB2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287D945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13D140B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14:paraId="7726C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0A865F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3CDDA6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6E87AD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A4D388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553B95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EDE531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A096E9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3F9116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090EE0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6E22AB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68C35A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EB465D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CFAA7C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99747E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824079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5706F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72B9D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8C5F02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138042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94A104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17103B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E734BC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6D1DF4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5AE05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9C904F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9BF29C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1DAA7E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1527E7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A932CE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685760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98CBDD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441EF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746DF2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F9EDD6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26A882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BDF658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CF412F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225670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9F5BB8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4BD14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54072F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E392CE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D461B2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6B501D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20C8EB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55F1C9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D4B0AD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14:paraId="165B713E">
      <w:pPr>
        <w:shd w:val="clear" w:color="auto" w:fill="FFFFFF"/>
        <w:jc w:val="left"/>
        <w:rPr>
          <w:rFonts w:hint="eastAsia" w:ascii="仿宋" w:hAnsi="仿宋" w:eastAsia="仿宋" w:cs="仿宋"/>
          <w:szCs w:val="21"/>
          <w:highlight w:val="none"/>
        </w:rPr>
      </w:pPr>
    </w:p>
    <w:p w14:paraId="3B4FE72A">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3A4ED34E">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14:paraId="388F5518">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14:paraId="5E5171D0">
      <w:pPr>
        <w:pStyle w:val="30"/>
        <w:rPr>
          <w:rFonts w:hint="eastAsia" w:ascii="仿宋" w:hAnsi="仿宋" w:eastAsia="仿宋" w:cs="仿宋"/>
          <w:highlight w:val="none"/>
        </w:rPr>
      </w:pPr>
    </w:p>
    <w:p w14:paraId="07CF9398">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0C06B98A">
      <w:pPr>
        <w:pStyle w:val="30"/>
        <w:jc w:val="center"/>
        <w:rPr>
          <w:rFonts w:hint="eastAsia" w:ascii="宋体" w:hAnsi="宋体" w:eastAsia="宋体" w:cs="宋体"/>
          <w:b/>
          <w:bCs w:val="0"/>
          <w:sz w:val="32"/>
          <w:szCs w:val="32"/>
          <w:highlight w:val="none"/>
          <w:lang w:val="en-US" w:eastAsia="zh-CN"/>
        </w:rPr>
      </w:pPr>
    </w:p>
    <w:p w14:paraId="2C4273AE">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3F3442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68F7ADF">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7726871">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23EC47E1">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416E245F">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21D14AEC">
      <w:pPr>
        <w:pStyle w:val="3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3、经验业绩</w:t>
      </w:r>
      <w:r>
        <w:rPr>
          <w:rFonts w:hint="eastAsia" w:ascii="仿宋" w:hAnsi="仿宋" w:eastAsia="仿宋" w:cs="仿宋"/>
          <w:b/>
          <w:bCs w:val="0"/>
          <w:sz w:val="22"/>
          <w:szCs w:val="22"/>
          <w:highlight w:val="none"/>
          <w:lang w:val="en-US" w:eastAsia="zh-CN"/>
        </w:rPr>
        <w:t>（如有）</w:t>
      </w:r>
    </w:p>
    <w:tbl>
      <w:tblPr>
        <w:tblStyle w:val="23"/>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14:paraId="571D3FE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7CCA788F">
            <w:pPr>
              <w:pStyle w:val="35"/>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14:paraId="3F7B940D">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14:paraId="213E759F">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14:paraId="4E41892A">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14:paraId="185C3B21">
            <w:pPr>
              <w:pStyle w:val="35"/>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14:paraId="31DA3189">
            <w:pPr>
              <w:pStyle w:val="35"/>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14:paraId="4B0925C1">
            <w:pPr>
              <w:pStyle w:val="35"/>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14:paraId="6B316D6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766FE41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27D8A37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3234412">
            <w:pPr>
              <w:pStyle w:val="35"/>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14:paraId="045FF94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64C11B4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3329591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175942F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6A4AD5F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20BD5CC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2CD5CC5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92490CB">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0331D1FB">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59D76CBF">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6A04D7F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534A29E5">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31E2FF6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A05CEE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1BD5516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BD58212">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6E4ADDA8">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2C8ECA8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E7217DE">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7633263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5B1CD59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6DCAE41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05D097C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488DB1F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7079D58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4563D07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2EE3BEA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17A6C06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7923C48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6045C4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50084DA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63AAE17F">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5E7113B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637560A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79677FC3">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444DCD3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0ADC0FC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2DA639F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14:paraId="5C6E2923">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14:paraId="0DE4D95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r>
              <w:rPr>
                <w:rFonts w:hint="eastAsia" w:ascii="仿宋" w:hAnsi="仿宋" w:eastAsia="仿宋" w:cs="仿宋"/>
                <w:sz w:val="21"/>
                <w:szCs w:val="21"/>
                <w:highlight w:val="none"/>
                <w:lang w:val="en-US" w:eastAsia="zh-CN"/>
              </w:rPr>
              <w:t xml:space="preserve"> </w:t>
            </w:r>
          </w:p>
        </w:tc>
        <w:tc>
          <w:tcPr>
            <w:tcW w:w="2237" w:type="dxa"/>
            <w:tcBorders>
              <w:top w:val="single" w:color="000000" w:sz="6" w:space="0"/>
              <w:left w:val="single" w:color="000000" w:sz="6" w:space="0"/>
              <w:right w:val="single" w:color="000000" w:sz="6" w:space="0"/>
            </w:tcBorders>
          </w:tcPr>
          <w:p w14:paraId="367BE6E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14:paraId="37184E7C">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14:paraId="77A60513">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14:paraId="0B89153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14:paraId="38DBDACC">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14:paraId="6754738F">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pacing w:val="-15"/>
          <w:sz w:val="21"/>
          <w:szCs w:val="21"/>
          <w:highlight w:val="none"/>
        </w:rPr>
      </w:pPr>
      <w:r>
        <w:rPr>
          <w:rFonts w:hint="eastAsia" w:ascii="仿宋" w:hAnsi="仿宋" w:eastAsia="仿宋" w:cs="仿宋"/>
          <w:sz w:val="21"/>
          <w:szCs w:val="21"/>
          <w:highlight w:val="none"/>
        </w:rPr>
        <w:t>2.如果响应人没有同类经验业绩的，请在上表正文内容第一行填写“无”。</w:t>
      </w:r>
    </w:p>
    <w:p w14:paraId="0DA960A4">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29C651C7">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7FFFB7D9">
      <w:pPr>
        <w:pStyle w:val="30"/>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4、项目团队</w:t>
      </w:r>
      <w:r>
        <w:rPr>
          <w:rFonts w:hint="eastAsia" w:ascii="仿宋" w:hAnsi="仿宋" w:eastAsia="仿宋" w:cs="仿宋"/>
          <w:b/>
          <w:bCs w:val="0"/>
          <w:sz w:val="22"/>
          <w:szCs w:val="22"/>
          <w:highlight w:val="none"/>
          <w:lang w:val="en-US" w:eastAsia="zh-CN"/>
        </w:rPr>
        <w:t>（如有）</w:t>
      </w:r>
    </w:p>
    <w:p w14:paraId="7EEF13B4">
      <w:pPr>
        <w:pStyle w:val="7"/>
        <w:spacing w:line="240" w:lineRule="auto"/>
        <w:ind w:right="706" w:rightChars="0"/>
        <w:rPr>
          <w:rFonts w:hint="eastAsia" w:ascii="仿宋" w:hAnsi="仿宋" w:eastAsia="仿宋" w:cs="仿宋"/>
        </w:rPr>
      </w:pPr>
      <w:r>
        <w:rPr>
          <w:rFonts w:hint="eastAsia" w:ascii="仿宋" w:hAnsi="仿宋" w:eastAsia="仿宋" w:cs="仿宋"/>
        </w:rPr>
        <w:t>项目名称：中山大学附属仁济医院危险废物处置服务采购项目</w:t>
      </w:r>
    </w:p>
    <w:tbl>
      <w:tblPr>
        <w:tblStyle w:val="23"/>
        <w:tblW w:w="815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147"/>
        <w:gridCol w:w="970"/>
        <w:gridCol w:w="2150"/>
        <w:gridCol w:w="1128"/>
        <w:gridCol w:w="2024"/>
      </w:tblGrid>
      <w:tr w14:paraId="7C1DA6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op w:val="single" w:color="auto" w:sz="12" w:space="0"/>
              <w:left w:val="single" w:color="auto" w:sz="12" w:space="0"/>
              <w:bottom w:val="single" w:color="auto" w:sz="2" w:space="0"/>
              <w:right w:val="single" w:color="auto" w:sz="2" w:space="0"/>
            </w:tcBorders>
            <w:vAlign w:val="center"/>
          </w:tcPr>
          <w:p w14:paraId="7B6680E0">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序号</w:t>
            </w:r>
          </w:p>
        </w:tc>
        <w:tc>
          <w:tcPr>
            <w:tcW w:w="1147" w:type="dxa"/>
            <w:tcBorders>
              <w:top w:val="single" w:color="auto" w:sz="12" w:space="0"/>
              <w:left w:val="single" w:color="auto" w:sz="2" w:space="0"/>
              <w:bottom w:val="single" w:color="auto" w:sz="2" w:space="0"/>
              <w:right w:val="single" w:color="auto" w:sz="2" w:space="0"/>
            </w:tcBorders>
            <w:vAlign w:val="center"/>
          </w:tcPr>
          <w:p w14:paraId="5068822C">
            <w:pPr>
              <w:pStyle w:val="41"/>
              <w:keepNext w:val="0"/>
              <w:keepLines w:val="0"/>
              <w:suppressLineNumbers w:val="0"/>
              <w:adjustRightInd/>
              <w:spacing w:before="0" w:beforeAutospacing="0" w:after="0" w:afterAutospacing="0" w:line="360" w:lineRule="auto"/>
              <w:ind w:left="0" w:right="0"/>
              <w:jc w:val="center"/>
              <w:rPr>
                <w:rFonts w:hint="eastAsia" w:ascii="仿宋" w:hAnsi="仿宋" w:eastAsia="仿宋" w:cs="仿宋"/>
                <w:spacing w:val="0"/>
                <w:kern w:val="2"/>
                <w:sz w:val="21"/>
                <w:szCs w:val="24"/>
              </w:rPr>
            </w:pPr>
            <w:r>
              <w:rPr>
                <w:rFonts w:hint="eastAsia" w:ascii="仿宋" w:hAnsi="仿宋" w:eastAsia="仿宋" w:cs="仿宋"/>
                <w:spacing w:val="0"/>
                <w:kern w:val="2"/>
                <w:sz w:val="21"/>
                <w:szCs w:val="24"/>
              </w:rPr>
              <w:t>姓名</w:t>
            </w:r>
          </w:p>
        </w:tc>
        <w:tc>
          <w:tcPr>
            <w:tcW w:w="970" w:type="dxa"/>
            <w:tcBorders>
              <w:top w:val="single" w:color="auto" w:sz="12" w:space="0"/>
              <w:left w:val="single" w:color="auto" w:sz="2" w:space="0"/>
              <w:bottom w:val="single" w:color="auto" w:sz="2" w:space="0"/>
              <w:right w:val="single" w:color="auto" w:sz="2" w:space="0"/>
            </w:tcBorders>
            <w:vAlign w:val="center"/>
          </w:tcPr>
          <w:p w14:paraId="13312D70">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年龄</w:t>
            </w:r>
          </w:p>
        </w:tc>
        <w:tc>
          <w:tcPr>
            <w:tcW w:w="2150" w:type="dxa"/>
            <w:tcBorders>
              <w:top w:val="single" w:color="auto" w:sz="12" w:space="0"/>
              <w:left w:val="single" w:color="auto" w:sz="2" w:space="0"/>
              <w:bottom w:val="single" w:color="auto" w:sz="2" w:space="0"/>
              <w:right w:val="single" w:color="auto" w:sz="2" w:space="0"/>
            </w:tcBorders>
            <w:vAlign w:val="center"/>
          </w:tcPr>
          <w:p w14:paraId="4DEA3108">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r>
              <w:rPr>
                <w:rFonts w:hint="eastAsia" w:ascii="仿宋" w:hAnsi="仿宋" w:eastAsia="仿宋" w:cs="仿宋"/>
                <w:lang w:val="en-US" w:eastAsia="zh-CN"/>
              </w:rPr>
              <w:t>资格证书</w:t>
            </w:r>
          </w:p>
        </w:tc>
        <w:tc>
          <w:tcPr>
            <w:tcW w:w="1128" w:type="dxa"/>
            <w:tcBorders>
              <w:top w:val="single" w:color="auto" w:sz="12" w:space="0"/>
              <w:left w:val="single" w:color="auto" w:sz="2" w:space="0"/>
              <w:bottom w:val="single" w:color="auto" w:sz="2" w:space="0"/>
              <w:right w:val="single" w:color="auto" w:sz="2" w:space="0"/>
            </w:tcBorders>
            <w:vAlign w:val="center"/>
          </w:tcPr>
          <w:p w14:paraId="6CAB1EC2">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经验年限</w:t>
            </w:r>
          </w:p>
        </w:tc>
        <w:tc>
          <w:tcPr>
            <w:tcW w:w="2024" w:type="dxa"/>
            <w:tcBorders>
              <w:top w:val="single" w:color="auto" w:sz="12" w:space="0"/>
              <w:left w:val="single" w:color="auto" w:sz="2" w:space="0"/>
              <w:bottom w:val="single" w:color="auto" w:sz="2" w:space="0"/>
              <w:right w:val="single" w:color="auto" w:sz="12" w:space="0"/>
            </w:tcBorders>
            <w:vAlign w:val="center"/>
          </w:tcPr>
          <w:p w14:paraId="6BCAE72D">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本项目拟担任职务</w:t>
            </w:r>
          </w:p>
        </w:tc>
      </w:tr>
      <w:tr w14:paraId="363790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669C999B">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0086DD1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32A73896">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068E5C36">
            <w:pPr>
              <w:keepNext w:val="0"/>
              <w:keepLines w:val="0"/>
              <w:suppressLineNumbers w:val="0"/>
              <w:spacing w:before="0" w:beforeAutospacing="0" w:after="0" w:afterAutospacing="0" w:line="240" w:lineRule="auto"/>
              <w:ind w:left="0" w:right="0"/>
              <w:jc w:val="both"/>
              <w:rPr>
                <w:rFonts w:hint="eastAsia" w:ascii="仿宋" w:hAnsi="仿宋" w:eastAsia="仿宋" w:cs="仿宋"/>
                <w:lang w:val="en-US" w:eastAsia="zh-CN"/>
              </w:rPr>
            </w:pPr>
          </w:p>
        </w:tc>
        <w:tc>
          <w:tcPr>
            <w:tcW w:w="1128" w:type="dxa"/>
            <w:tcBorders>
              <w:top w:val="single" w:color="auto" w:sz="2" w:space="0"/>
              <w:left w:val="single" w:color="auto" w:sz="2" w:space="0"/>
              <w:bottom w:val="single" w:color="auto" w:sz="2" w:space="0"/>
              <w:right w:val="single" w:color="auto" w:sz="2" w:space="0"/>
            </w:tcBorders>
            <w:vAlign w:val="center"/>
          </w:tcPr>
          <w:p w14:paraId="04C6B9B6">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1D84B6AC">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r>
              <w:rPr>
                <w:rFonts w:hint="eastAsia" w:ascii="仿宋" w:hAnsi="仿宋" w:eastAsia="仿宋" w:cs="仿宋"/>
                <w:lang w:val="en-US" w:eastAsia="zh-CN"/>
              </w:rPr>
              <w:t>项目负责人</w:t>
            </w:r>
          </w:p>
        </w:tc>
      </w:tr>
      <w:tr w14:paraId="354AEC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6FAD427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4199FAA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5D108303">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023496A8">
            <w:pPr>
              <w:keepNext w:val="0"/>
              <w:keepLines w:val="0"/>
              <w:suppressLineNumbers w:val="0"/>
              <w:spacing w:before="0" w:beforeAutospacing="0" w:after="0" w:afterAutospacing="0" w:line="240" w:lineRule="auto"/>
              <w:ind w:left="0" w:right="0"/>
              <w:jc w:val="both"/>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039CA61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7940932C">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r>
              <w:rPr>
                <w:rFonts w:hint="eastAsia" w:ascii="仿宋" w:hAnsi="仿宋" w:eastAsia="仿宋" w:cs="仿宋"/>
                <w:lang w:val="en-US" w:eastAsia="zh-CN"/>
              </w:rPr>
              <w:t>运输人员</w:t>
            </w:r>
          </w:p>
        </w:tc>
      </w:tr>
      <w:tr w14:paraId="438BD2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37FC0334">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6F667A7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5E68CF8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0095A4B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7D043C3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0350D919">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lang w:eastAsia="zh-CN"/>
              </w:rPr>
            </w:pPr>
            <w:r>
              <w:rPr>
                <w:rFonts w:hint="eastAsia" w:ascii="仿宋" w:hAnsi="仿宋" w:eastAsia="仿宋" w:cs="仿宋"/>
                <w:lang w:val="en-US" w:eastAsia="zh-CN"/>
              </w:rPr>
              <w:t>押运人员</w:t>
            </w:r>
          </w:p>
        </w:tc>
      </w:tr>
      <w:tr w14:paraId="7BDE36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4EB6972D">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49AD231B">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045F7041">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2CFEEB43">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237B36C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7939B9E3">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lang w:val="en-US" w:eastAsia="zh-CN"/>
              </w:rPr>
            </w:pPr>
            <w:r>
              <w:rPr>
                <w:rFonts w:hint="eastAsia" w:ascii="仿宋" w:hAnsi="仿宋" w:eastAsia="仿宋" w:cs="仿宋"/>
                <w:lang w:eastAsia="zh-CN"/>
              </w:rPr>
              <w:t>……</w:t>
            </w:r>
          </w:p>
        </w:tc>
      </w:tr>
      <w:tr w14:paraId="695D3B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0E517E1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497D179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4020590C">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4B13151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005B28A8">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3BD44302">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r>
      <w:tr w14:paraId="7509FC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51C8355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65ABBB3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100F18C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69479AA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112E156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36A0E1A0">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r>
      <w:tr w14:paraId="6359B6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40E8568B">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3AE3131F">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4E2DEEF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29949B19">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1C1139AC">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551BB4BD">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r>
    </w:tbl>
    <w:p w14:paraId="384F6636">
      <w:pPr>
        <w:pStyle w:val="30"/>
        <w:ind w:left="0" w:leftChars="0" w:firstLine="0" w:firstLineChars="0"/>
        <w:rPr>
          <w:rFonts w:hint="eastAsia" w:ascii="仿宋" w:hAnsi="仿宋" w:eastAsia="仿宋" w:cs="仿宋"/>
          <w:color w:val="auto"/>
          <w:sz w:val="20"/>
          <w:szCs w:val="20"/>
          <w:lang w:val="en-GB"/>
        </w:rPr>
      </w:pPr>
      <w:r>
        <w:rPr>
          <w:rFonts w:hint="eastAsia" w:ascii="仿宋" w:hAnsi="仿宋" w:eastAsia="仿宋" w:cs="仿宋"/>
          <w:color w:val="auto"/>
          <w:sz w:val="20"/>
          <w:szCs w:val="20"/>
          <w:lang w:val="en-GB"/>
        </w:rPr>
        <w:t>注：1.响应人应如实填写，不得弄虚作假；</w:t>
      </w:r>
    </w:p>
    <w:p w14:paraId="0493009F">
      <w:pPr>
        <w:numPr>
          <w:ilvl w:val="0"/>
          <w:numId w:val="8"/>
        </w:numPr>
        <w:ind w:left="0" w:leftChars="0" w:firstLine="400" w:firstLineChars="0"/>
        <w:jc w:val="both"/>
        <w:rPr>
          <w:rFonts w:hint="eastAsia" w:ascii="仿宋" w:hAnsi="仿宋" w:eastAsia="仿宋" w:cs="仿宋"/>
          <w:color w:val="auto"/>
          <w:sz w:val="20"/>
          <w:szCs w:val="20"/>
          <w:lang w:val="en-GB" w:eastAsia="zh-CN"/>
        </w:rPr>
      </w:pPr>
      <w:r>
        <w:rPr>
          <w:rFonts w:hint="eastAsia" w:ascii="仿宋" w:hAnsi="仿宋" w:eastAsia="仿宋" w:cs="仿宋"/>
          <w:color w:val="auto"/>
          <w:sz w:val="20"/>
          <w:szCs w:val="20"/>
          <w:lang w:val="en-GB" w:eastAsia="zh-CN"/>
        </w:rPr>
        <w:t>须提供以上相关技术人员有效期内的资格证书复印件及202</w:t>
      </w:r>
      <w:r>
        <w:rPr>
          <w:rFonts w:hint="eastAsia" w:ascii="仿宋" w:hAnsi="仿宋" w:eastAsia="仿宋" w:cs="仿宋"/>
          <w:color w:val="auto"/>
          <w:sz w:val="20"/>
          <w:szCs w:val="20"/>
          <w:lang w:val="en-US" w:eastAsia="zh-CN"/>
        </w:rPr>
        <w:t>4</w:t>
      </w:r>
      <w:r>
        <w:rPr>
          <w:rFonts w:hint="eastAsia" w:ascii="仿宋" w:hAnsi="仿宋" w:eastAsia="仿宋" w:cs="仿宋"/>
          <w:color w:val="auto"/>
          <w:sz w:val="20"/>
          <w:szCs w:val="20"/>
          <w:lang w:val="en-GB" w:eastAsia="zh-CN"/>
        </w:rPr>
        <w:t>年</w:t>
      </w:r>
      <w:r>
        <w:rPr>
          <w:rFonts w:hint="eastAsia" w:ascii="仿宋" w:hAnsi="仿宋" w:eastAsia="仿宋" w:cs="仿宋"/>
          <w:color w:val="auto"/>
          <w:sz w:val="20"/>
          <w:szCs w:val="20"/>
          <w:lang w:val="en-US" w:eastAsia="zh-CN"/>
        </w:rPr>
        <w:t>1</w:t>
      </w:r>
      <w:r>
        <w:rPr>
          <w:rFonts w:hint="eastAsia" w:ascii="仿宋" w:hAnsi="仿宋" w:eastAsia="仿宋" w:cs="仿宋"/>
          <w:color w:val="auto"/>
          <w:sz w:val="20"/>
          <w:szCs w:val="20"/>
          <w:lang w:val="en-GB" w:eastAsia="zh-CN"/>
        </w:rPr>
        <w:t>月以来任意一个月的响应供应商为其缴纳的社保证明材料复印件，缺一不可。</w:t>
      </w:r>
    </w:p>
    <w:p w14:paraId="4888154D">
      <w:pPr>
        <w:numPr>
          <w:ilvl w:val="0"/>
          <w:numId w:val="0"/>
        </w:numPr>
        <w:ind w:left="400" w:leftChars="0"/>
        <w:jc w:val="both"/>
        <w:rPr>
          <w:rFonts w:hint="eastAsia" w:ascii="仿宋" w:hAnsi="仿宋" w:eastAsia="仿宋" w:cs="仿宋"/>
          <w:color w:val="auto"/>
          <w:sz w:val="24"/>
          <w:szCs w:val="24"/>
          <w:highlight w:val="none"/>
          <w:lang w:eastAsia="zh-CN"/>
        </w:rPr>
      </w:pPr>
    </w:p>
    <w:p w14:paraId="6ECE59D1">
      <w:pPr>
        <w:numPr>
          <w:ilvl w:val="0"/>
          <w:numId w:val="0"/>
        </w:numPr>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CC629C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587A3E6D">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3474F44">
      <w:pPr>
        <w:pStyle w:val="30"/>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5、管理体系认证情况</w:t>
      </w:r>
      <w:r>
        <w:rPr>
          <w:rFonts w:hint="eastAsia" w:ascii="仿宋" w:hAnsi="仿宋" w:eastAsia="仿宋" w:cs="仿宋"/>
          <w:b/>
          <w:bCs w:val="0"/>
          <w:sz w:val="22"/>
          <w:szCs w:val="22"/>
          <w:highlight w:val="none"/>
          <w:lang w:val="en-US" w:eastAsia="zh-CN"/>
        </w:rPr>
        <w:t>（如有）</w:t>
      </w:r>
    </w:p>
    <w:tbl>
      <w:tblPr>
        <w:tblStyle w:val="23"/>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365"/>
      </w:tblGrid>
      <w:tr w14:paraId="093E1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2DD95EDF">
            <w:pPr>
              <w:pStyle w:val="35"/>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颁发日期</w:t>
            </w:r>
          </w:p>
        </w:tc>
        <w:tc>
          <w:tcPr>
            <w:tcW w:w="2552" w:type="dxa"/>
          </w:tcPr>
          <w:p w14:paraId="12AA4836">
            <w:pPr>
              <w:pStyle w:val="35"/>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2409" w:type="dxa"/>
          </w:tcPr>
          <w:p w14:paraId="64A1752C">
            <w:pPr>
              <w:pStyle w:val="35"/>
              <w:keepNext w:val="0"/>
              <w:keepLines w:val="0"/>
              <w:suppressLineNumbers w:val="0"/>
              <w:spacing w:before="81" w:beforeAutospacing="0" w:after="0" w:afterAutospacing="0"/>
              <w:ind w:left="724" w:right="0"/>
              <w:rPr>
                <w:rFonts w:hint="eastAsia" w:ascii="仿宋" w:hAnsi="仿宋" w:eastAsia="仿宋" w:cs="仿宋"/>
                <w:sz w:val="24"/>
                <w:highlight w:val="none"/>
              </w:rPr>
            </w:pPr>
            <w:r>
              <w:rPr>
                <w:rFonts w:hint="eastAsia" w:ascii="仿宋" w:hAnsi="仿宋" w:eastAsia="仿宋" w:cs="仿宋"/>
                <w:sz w:val="24"/>
                <w:highlight w:val="none"/>
              </w:rPr>
              <w:t>颁发机构</w:t>
            </w:r>
          </w:p>
        </w:tc>
        <w:tc>
          <w:tcPr>
            <w:tcW w:w="1365" w:type="dxa"/>
          </w:tcPr>
          <w:p w14:paraId="4EFB4AD9">
            <w:pPr>
              <w:pStyle w:val="35"/>
              <w:keepNext w:val="0"/>
              <w:keepLines w:val="0"/>
              <w:suppressLineNumbers w:val="0"/>
              <w:spacing w:before="81" w:beforeAutospacing="0" w:after="0" w:afterAutospacing="0"/>
              <w:ind w:left="206" w:leftChars="0" w:right="0" w:hanging="206" w:hangingChars="86"/>
              <w:jc w:val="center"/>
              <w:rPr>
                <w:rFonts w:hint="eastAsia" w:ascii="仿宋" w:hAnsi="仿宋" w:eastAsia="仿宋" w:cs="仿宋"/>
                <w:sz w:val="24"/>
                <w:highlight w:val="none"/>
              </w:rPr>
            </w:pPr>
            <w:r>
              <w:rPr>
                <w:rFonts w:hint="eastAsia" w:ascii="仿宋" w:hAnsi="仿宋" w:eastAsia="仿宋" w:cs="仿宋"/>
                <w:sz w:val="24"/>
                <w:highlight w:val="none"/>
              </w:rPr>
              <w:t>有效期</w:t>
            </w:r>
          </w:p>
        </w:tc>
      </w:tr>
      <w:tr w14:paraId="0325F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1B9F1B65">
            <w:pPr>
              <w:pStyle w:val="35"/>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2020A1E6">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16BEAAF4">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28EFD37F">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58F9B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55CC8B14">
            <w:pPr>
              <w:pStyle w:val="35"/>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420E43FC">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3146EA8C">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762FD05E">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6F67B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14F6BAB9">
            <w:pPr>
              <w:pStyle w:val="35"/>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552" w:type="dxa"/>
          </w:tcPr>
          <w:p w14:paraId="7FB10930">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6A0C3158">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4B5C3158">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bl>
    <w:p w14:paraId="20885D4E">
      <w:pPr>
        <w:pStyle w:val="30"/>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注：1.响应人应如实填写获得的认证情况，不得弄虚作假；</w:t>
      </w:r>
    </w:p>
    <w:p w14:paraId="14FBD7D5">
      <w:pPr>
        <w:pStyle w:val="30"/>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2.如果响应人获得过认证证书，</w:t>
      </w:r>
      <w:r>
        <w:rPr>
          <w:rFonts w:hint="eastAsia" w:ascii="仿宋" w:hAnsi="仿宋" w:eastAsia="仿宋" w:cs="仿宋"/>
          <w:b/>
          <w:bCs w:val="0"/>
          <w:sz w:val="18"/>
          <w:szCs w:val="18"/>
          <w:highlight w:val="none"/>
          <w:lang w:val="en-US" w:eastAsia="zh-CN"/>
        </w:rPr>
        <w:t>请在上表后附认证证书复印件并加盖公章</w:t>
      </w:r>
      <w:r>
        <w:rPr>
          <w:rFonts w:hint="eastAsia" w:ascii="仿宋" w:hAnsi="仿宋" w:eastAsia="仿宋" w:cs="仿宋"/>
          <w:b w:val="0"/>
          <w:bCs/>
          <w:sz w:val="18"/>
          <w:szCs w:val="18"/>
          <w:highlight w:val="none"/>
          <w:lang w:val="en-US" w:eastAsia="zh-CN"/>
        </w:rPr>
        <w:t>；</w:t>
      </w:r>
    </w:p>
    <w:p w14:paraId="47006AF1">
      <w:pPr>
        <w:pStyle w:val="30"/>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3.如果响应人未获得过任何认证，请在上表正文内容第一行填写“无”。</w:t>
      </w:r>
    </w:p>
    <w:p w14:paraId="3BEF9DBE">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p>
    <w:p w14:paraId="5BF68C8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926B38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E83040D">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C6A43A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729E0D16">
      <w:pPr>
        <w:pStyle w:val="28"/>
        <w:rPr>
          <w:rFonts w:hint="eastAsia"/>
          <w:lang w:val="en-US" w:eastAsia="zh-CN"/>
        </w:rPr>
      </w:pPr>
    </w:p>
    <w:p w14:paraId="653B518F">
      <w:pPr>
        <w:pStyle w:val="28"/>
        <w:rPr>
          <w:rFonts w:hint="eastAsia"/>
          <w:lang w:val="en-US" w:eastAsia="zh-CN"/>
        </w:rPr>
      </w:pPr>
    </w:p>
    <w:p w14:paraId="6823A151">
      <w:pPr>
        <w:pStyle w:val="30"/>
        <w:numPr>
          <w:ilvl w:val="0"/>
          <w:numId w:val="15"/>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信息化水平评价</w:t>
      </w:r>
      <w:r>
        <w:rPr>
          <w:rFonts w:hint="eastAsia" w:ascii="仿宋" w:hAnsi="仿宋" w:eastAsia="仿宋" w:cs="仿宋"/>
          <w:b/>
          <w:bCs w:val="0"/>
          <w:sz w:val="22"/>
          <w:szCs w:val="22"/>
          <w:highlight w:val="none"/>
          <w:lang w:val="en-US" w:eastAsia="zh-CN"/>
        </w:rPr>
        <w:t>（如有）</w:t>
      </w:r>
    </w:p>
    <w:tbl>
      <w:tblPr>
        <w:tblStyle w:val="23"/>
        <w:tblW w:w="90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27"/>
        <w:gridCol w:w="2409"/>
        <w:gridCol w:w="1818"/>
        <w:gridCol w:w="2484"/>
      </w:tblGrid>
      <w:tr w14:paraId="6C6BD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2327" w:type="dxa"/>
          </w:tcPr>
          <w:p w14:paraId="2D20B015">
            <w:pPr>
              <w:keepNext w:val="0"/>
              <w:keepLines w:val="0"/>
              <w:widowControl w:val="0"/>
              <w:suppressLineNumbers w:val="0"/>
              <w:spacing w:before="81" w:beforeAutospacing="0" w:after="0" w:afterAutospacing="0"/>
              <w:ind w:left="474" w:right="467"/>
              <w:jc w:val="center"/>
              <w:rPr>
                <w:rFonts w:hint="eastAsia" w:ascii="仿宋" w:hAnsi="仿宋" w:eastAsia="仿宋" w:cs="仿宋"/>
                <w:kern w:val="2"/>
                <w:sz w:val="24"/>
                <w:szCs w:val="24"/>
                <w:highlight w:val="none"/>
                <w:lang w:val="zh-CN" w:eastAsia="zh-CN" w:bidi="zh-CN"/>
              </w:rPr>
            </w:pPr>
            <w:r>
              <w:rPr>
                <w:rFonts w:hint="eastAsia" w:ascii="仿宋" w:hAnsi="仿宋" w:eastAsia="仿宋" w:cs="仿宋"/>
                <w:kern w:val="2"/>
                <w:sz w:val="24"/>
                <w:szCs w:val="24"/>
                <w:highlight w:val="none"/>
                <w:lang w:val="zh-CN" w:eastAsia="zh-CN" w:bidi="zh-CN"/>
              </w:rPr>
              <w:t>颁发日期</w:t>
            </w:r>
          </w:p>
        </w:tc>
        <w:tc>
          <w:tcPr>
            <w:tcW w:w="2409" w:type="dxa"/>
          </w:tcPr>
          <w:p w14:paraId="0E5293F9">
            <w:pPr>
              <w:keepNext w:val="0"/>
              <w:keepLines w:val="0"/>
              <w:widowControl w:val="0"/>
              <w:suppressLineNumbers w:val="0"/>
              <w:spacing w:before="81" w:beforeAutospacing="0" w:after="0" w:afterAutospacing="0"/>
              <w:ind w:left="724" w:right="0"/>
              <w:jc w:val="both"/>
              <w:rPr>
                <w:rFonts w:hint="default" w:ascii="仿宋" w:hAnsi="仿宋" w:eastAsia="仿宋" w:cs="仿宋"/>
                <w:kern w:val="2"/>
                <w:sz w:val="24"/>
                <w:szCs w:val="24"/>
                <w:highlight w:val="none"/>
                <w:lang w:val="en-US" w:eastAsia="zh-CN" w:bidi="zh-CN"/>
              </w:rPr>
            </w:pPr>
            <w:r>
              <w:rPr>
                <w:rFonts w:hint="eastAsia" w:ascii="仿宋" w:hAnsi="仿宋" w:eastAsia="仿宋" w:cs="仿宋"/>
                <w:kern w:val="2"/>
                <w:sz w:val="24"/>
                <w:szCs w:val="24"/>
                <w:highlight w:val="none"/>
                <w:lang w:val="en-US" w:eastAsia="zh-CN" w:bidi="zh-CN"/>
              </w:rPr>
              <w:t>软件名称</w:t>
            </w:r>
          </w:p>
        </w:tc>
        <w:tc>
          <w:tcPr>
            <w:tcW w:w="1818" w:type="dxa"/>
          </w:tcPr>
          <w:p w14:paraId="49B09B32">
            <w:pPr>
              <w:keepNext w:val="0"/>
              <w:keepLines w:val="0"/>
              <w:widowControl w:val="0"/>
              <w:suppressLineNumbers w:val="0"/>
              <w:spacing w:before="81" w:beforeAutospacing="0" w:after="0" w:afterAutospacing="0"/>
              <w:ind w:left="0" w:right="0"/>
              <w:jc w:val="center"/>
              <w:rPr>
                <w:rFonts w:hint="eastAsia" w:ascii="仿宋" w:hAnsi="仿宋" w:eastAsia="仿宋" w:cs="仿宋"/>
                <w:kern w:val="2"/>
                <w:sz w:val="24"/>
                <w:szCs w:val="24"/>
                <w:highlight w:val="none"/>
                <w:lang w:val="zh-CN" w:eastAsia="zh-CN" w:bidi="zh-CN"/>
              </w:rPr>
            </w:pPr>
            <w:r>
              <w:rPr>
                <w:rFonts w:hint="eastAsia" w:ascii="仿宋" w:hAnsi="仿宋" w:eastAsia="仿宋" w:cs="仿宋"/>
                <w:kern w:val="2"/>
                <w:sz w:val="24"/>
                <w:szCs w:val="24"/>
                <w:highlight w:val="none"/>
                <w:lang w:val="en-US" w:eastAsia="zh-CN" w:bidi="zh-CN"/>
              </w:rPr>
              <w:t>登记号</w:t>
            </w:r>
          </w:p>
        </w:tc>
        <w:tc>
          <w:tcPr>
            <w:tcW w:w="2484" w:type="dxa"/>
          </w:tcPr>
          <w:p w14:paraId="74DA7584">
            <w:pPr>
              <w:keepNext w:val="0"/>
              <w:keepLines w:val="0"/>
              <w:widowControl w:val="0"/>
              <w:suppressLineNumbers w:val="0"/>
              <w:spacing w:before="81" w:beforeAutospacing="0" w:after="0" w:afterAutospacing="0"/>
              <w:ind w:left="206" w:leftChars="0" w:right="0" w:hanging="206" w:hangingChars="86"/>
              <w:jc w:val="center"/>
              <w:rPr>
                <w:rFonts w:hint="eastAsia" w:ascii="仿宋" w:hAnsi="仿宋" w:eastAsia="仿宋" w:cs="仿宋"/>
                <w:kern w:val="2"/>
                <w:sz w:val="24"/>
                <w:szCs w:val="24"/>
                <w:highlight w:val="none"/>
                <w:lang w:val="zh-CN" w:eastAsia="zh-CN" w:bidi="zh-CN"/>
              </w:rPr>
            </w:pPr>
            <w:r>
              <w:rPr>
                <w:rFonts w:hint="eastAsia" w:ascii="仿宋" w:hAnsi="仿宋" w:eastAsia="仿宋" w:cs="仿宋"/>
                <w:kern w:val="2"/>
                <w:sz w:val="24"/>
                <w:szCs w:val="24"/>
                <w:highlight w:val="none"/>
                <w:lang w:val="en-US" w:eastAsia="zh-CN" w:bidi="zh-CN"/>
              </w:rPr>
              <w:t>著作权人</w:t>
            </w:r>
          </w:p>
        </w:tc>
      </w:tr>
      <w:tr w14:paraId="7C060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327" w:type="dxa"/>
          </w:tcPr>
          <w:p w14:paraId="5FBC4537">
            <w:pPr>
              <w:keepNext w:val="0"/>
              <w:keepLines w:val="0"/>
              <w:widowControl w:val="0"/>
              <w:suppressLineNumbers w:val="0"/>
              <w:spacing w:before="80" w:beforeAutospacing="0" w:after="0" w:afterAutospacing="0"/>
              <w:ind w:left="474" w:right="467"/>
              <w:jc w:val="center"/>
              <w:rPr>
                <w:rFonts w:hint="eastAsia" w:ascii="仿宋" w:hAnsi="仿宋" w:eastAsia="仿宋" w:cs="仿宋"/>
                <w:kern w:val="2"/>
                <w:sz w:val="24"/>
                <w:szCs w:val="24"/>
                <w:highlight w:val="none"/>
                <w:lang w:val="zh-CN" w:eastAsia="zh-CN" w:bidi="zh-CN"/>
              </w:rPr>
            </w:pPr>
            <w:r>
              <w:rPr>
                <w:rFonts w:hint="eastAsia" w:ascii="仿宋" w:hAnsi="仿宋" w:eastAsia="仿宋" w:cs="仿宋"/>
                <w:kern w:val="2"/>
                <w:sz w:val="24"/>
                <w:szCs w:val="24"/>
                <w:highlight w:val="none"/>
                <w:lang w:val="zh-CN" w:eastAsia="zh-CN" w:bidi="zh-CN"/>
              </w:rPr>
              <w:t>年</w:t>
            </w:r>
            <w:r>
              <w:rPr>
                <w:rFonts w:hint="eastAsia" w:ascii="仿宋" w:hAnsi="仿宋" w:eastAsia="仿宋" w:cs="仿宋"/>
                <w:kern w:val="2"/>
                <w:sz w:val="24"/>
                <w:szCs w:val="24"/>
                <w:highlight w:val="none"/>
                <w:lang w:val="en-US" w:eastAsia="zh-CN" w:bidi="zh-CN"/>
              </w:rPr>
              <w:t xml:space="preserve">  </w:t>
            </w:r>
            <w:r>
              <w:rPr>
                <w:rFonts w:hint="eastAsia" w:ascii="仿宋" w:hAnsi="仿宋" w:eastAsia="仿宋" w:cs="仿宋"/>
                <w:kern w:val="2"/>
                <w:sz w:val="24"/>
                <w:szCs w:val="24"/>
                <w:highlight w:val="none"/>
                <w:lang w:val="zh-CN" w:eastAsia="zh-CN" w:bidi="zh-CN"/>
              </w:rPr>
              <w:t>月</w:t>
            </w:r>
            <w:r>
              <w:rPr>
                <w:rFonts w:hint="eastAsia" w:ascii="仿宋" w:hAnsi="仿宋" w:eastAsia="仿宋" w:cs="仿宋"/>
                <w:kern w:val="2"/>
                <w:sz w:val="24"/>
                <w:szCs w:val="24"/>
                <w:highlight w:val="none"/>
                <w:lang w:val="en-US" w:eastAsia="zh-CN" w:bidi="zh-CN"/>
              </w:rPr>
              <w:t xml:space="preserve">  </w:t>
            </w:r>
            <w:r>
              <w:rPr>
                <w:rFonts w:hint="eastAsia" w:ascii="仿宋" w:hAnsi="仿宋" w:eastAsia="仿宋" w:cs="仿宋"/>
                <w:kern w:val="2"/>
                <w:sz w:val="24"/>
                <w:szCs w:val="24"/>
                <w:highlight w:val="none"/>
                <w:lang w:val="zh-CN" w:eastAsia="zh-CN" w:bidi="zh-CN"/>
              </w:rPr>
              <w:t>日</w:t>
            </w:r>
          </w:p>
        </w:tc>
        <w:tc>
          <w:tcPr>
            <w:tcW w:w="2409" w:type="dxa"/>
          </w:tcPr>
          <w:p w14:paraId="6079A9E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2"/>
                <w:szCs w:val="24"/>
                <w:highlight w:val="none"/>
                <w:lang w:val="zh-CN" w:eastAsia="zh-CN" w:bidi="zh-CN"/>
              </w:rPr>
            </w:pPr>
          </w:p>
        </w:tc>
        <w:tc>
          <w:tcPr>
            <w:tcW w:w="1818" w:type="dxa"/>
          </w:tcPr>
          <w:p w14:paraId="28A42BD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2"/>
                <w:szCs w:val="24"/>
                <w:highlight w:val="none"/>
                <w:lang w:val="zh-CN" w:eastAsia="zh-CN" w:bidi="zh-CN"/>
              </w:rPr>
            </w:pPr>
          </w:p>
        </w:tc>
        <w:tc>
          <w:tcPr>
            <w:tcW w:w="2484" w:type="dxa"/>
          </w:tcPr>
          <w:p w14:paraId="326EE051">
            <w:pPr>
              <w:keepNext w:val="0"/>
              <w:keepLines w:val="0"/>
              <w:widowControl w:val="0"/>
              <w:suppressLineNumbers w:val="0"/>
              <w:spacing w:before="0" w:beforeAutospacing="0" w:after="0" w:afterAutospacing="0"/>
              <w:ind w:left="189" w:leftChars="0" w:right="0" w:hanging="189" w:hangingChars="86"/>
              <w:jc w:val="center"/>
              <w:rPr>
                <w:rFonts w:hint="eastAsia" w:ascii="仿宋" w:hAnsi="仿宋" w:eastAsia="仿宋" w:cs="仿宋"/>
                <w:kern w:val="2"/>
                <w:sz w:val="22"/>
                <w:szCs w:val="24"/>
                <w:highlight w:val="none"/>
                <w:lang w:val="zh-CN" w:eastAsia="zh-CN" w:bidi="zh-CN"/>
              </w:rPr>
            </w:pPr>
          </w:p>
        </w:tc>
      </w:tr>
      <w:tr w14:paraId="06C9A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327" w:type="dxa"/>
          </w:tcPr>
          <w:p w14:paraId="238B093E">
            <w:pPr>
              <w:keepNext w:val="0"/>
              <w:keepLines w:val="0"/>
              <w:widowControl w:val="0"/>
              <w:suppressLineNumbers w:val="0"/>
              <w:spacing w:before="80" w:beforeAutospacing="0" w:after="0" w:afterAutospacing="0"/>
              <w:ind w:left="474" w:right="467"/>
              <w:jc w:val="center"/>
              <w:rPr>
                <w:rFonts w:hint="eastAsia" w:ascii="仿宋" w:hAnsi="仿宋" w:eastAsia="仿宋" w:cs="仿宋"/>
                <w:kern w:val="2"/>
                <w:sz w:val="24"/>
                <w:szCs w:val="24"/>
                <w:highlight w:val="none"/>
                <w:lang w:val="zh-CN" w:eastAsia="zh-CN" w:bidi="zh-CN"/>
              </w:rPr>
            </w:pPr>
          </w:p>
        </w:tc>
        <w:tc>
          <w:tcPr>
            <w:tcW w:w="2409" w:type="dxa"/>
          </w:tcPr>
          <w:p w14:paraId="4F6D328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2"/>
                <w:szCs w:val="24"/>
                <w:highlight w:val="none"/>
                <w:lang w:val="zh-CN" w:eastAsia="zh-CN" w:bidi="zh-CN"/>
              </w:rPr>
            </w:pPr>
          </w:p>
        </w:tc>
        <w:tc>
          <w:tcPr>
            <w:tcW w:w="1818" w:type="dxa"/>
          </w:tcPr>
          <w:p w14:paraId="5868363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2"/>
                <w:szCs w:val="24"/>
                <w:highlight w:val="none"/>
                <w:lang w:val="zh-CN" w:eastAsia="zh-CN" w:bidi="zh-CN"/>
              </w:rPr>
            </w:pPr>
          </w:p>
        </w:tc>
        <w:tc>
          <w:tcPr>
            <w:tcW w:w="2484" w:type="dxa"/>
          </w:tcPr>
          <w:p w14:paraId="19621163">
            <w:pPr>
              <w:keepNext w:val="0"/>
              <w:keepLines w:val="0"/>
              <w:widowControl w:val="0"/>
              <w:suppressLineNumbers w:val="0"/>
              <w:spacing w:before="0" w:beforeAutospacing="0" w:after="0" w:afterAutospacing="0"/>
              <w:ind w:left="189" w:leftChars="0" w:right="0" w:hanging="189" w:hangingChars="86"/>
              <w:jc w:val="center"/>
              <w:rPr>
                <w:rFonts w:hint="eastAsia" w:ascii="仿宋" w:hAnsi="仿宋" w:eastAsia="仿宋" w:cs="仿宋"/>
                <w:kern w:val="2"/>
                <w:sz w:val="22"/>
                <w:szCs w:val="24"/>
                <w:highlight w:val="none"/>
                <w:lang w:val="zh-CN" w:eastAsia="zh-CN" w:bidi="zh-CN"/>
              </w:rPr>
            </w:pPr>
          </w:p>
        </w:tc>
      </w:tr>
    </w:tbl>
    <w:p w14:paraId="09D0DC45">
      <w:pPr>
        <w:jc w:val="both"/>
        <w:rPr>
          <w:rFonts w:hint="eastAsia" w:ascii="仿宋" w:hAnsi="仿宋" w:eastAsia="仿宋" w:cs="仿宋"/>
          <w:sz w:val="20"/>
          <w:szCs w:val="20"/>
        </w:rPr>
      </w:pPr>
      <w:r>
        <w:rPr>
          <w:rFonts w:hint="eastAsia" w:ascii="仿宋" w:hAnsi="仿宋" w:eastAsia="仿宋" w:cs="仿宋"/>
          <w:sz w:val="20"/>
          <w:szCs w:val="20"/>
        </w:rPr>
        <w:t>注：</w:t>
      </w:r>
    </w:p>
    <w:p w14:paraId="3798586C">
      <w:pPr>
        <w:numPr>
          <w:ilvl w:val="0"/>
          <w:numId w:val="16"/>
        </w:numPr>
        <w:jc w:val="both"/>
        <w:rPr>
          <w:rFonts w:hint="eastAsia" w:ascii="仿宋" w:hAnsi="仿宋" w:eastAsia="仿宋" w:cs="仿宋"/>
          <w:sz w:val="20"/>
          <w:szCs w:val="20"/>
        </w:rPr>
      </w:pPr>
      <w:r>
        <w:rPr>
          <w:rFonts w:hint="eastAsia" w:ascii="仿宋" w:hAnsi="仿宋" w:eastAsia="仿宋" w:cs="仿宋"/>
          <w:sz w:val="20"/>
          <w:szCs w:val="20"/>
        </w:rPr>
        <w:t>供应商须如实填写。在填写表格时，</w:t>
      </w:r>
      <w:r>
        <w:rPr>
          <w:rFonts w:hint="eastAsia" w:ascii="仿宋" w:hAnsi="仿宋" w:eastAsia="仿宋" w:cs="仿宋"/>
          <w:b/>
          <w:bCs/>
          <w:color w:val="0000FF"/>
          <w:sz w:val="20"/>
          <w:szCs w:val="20"/>
        </w:rPr>
        <w:t>如有不适合供应商的实际情况，可根据自行划表填写</w:t>
      </w:r>
      <w:r>
        <w:rPr>
          <w:rFonts w:hint="eastAsia" w:ascii="仿宋" w:hAnsi="仿宋" w:eastAsia="仿宋" w:cs="仿宋"/>
          <w:sz w:val="20"/>
          <w:szCs w:val="20"/>
        </w:rPr>
        <w:t>。</w:t>
      </w:r>
    </w:p>
    <w:p w14:paraId="229A2C60">
      <w:pPr>
        <w:numPr>
          <w:ilvl w:val="0"/>
          <w:numId w:val="16"/>
        </w:numPr>
        <w:jc w:val="both"/>
        <w:rPr>
          <w:rFonts w:hint="eastAsia" w:ascii="仿宋" w:hAnsi="仿宋" w:eastAsia="仿宋" w:cs="仿宋"/>
          <w:sz w:val="20"/>
          <w:szCs w:val="20"/>
        </w:rPr>
      </w:pPr>
      <w:r>
        <w:rPr>
          <w:rFonts w:hint="eastAsia" w:ascii="仿宋" w:hAnsi="仿宋" w:eastAsia="仿宋" w:cs="仿宋"/>
          <w:sz w:val="20"/>
          <w:szCs w:val="20"/>
        </w:rPr>
        <w:t>提供有效期内的证书复印件，并加盖公章，未提供不得分。</w:t>
      </w:r>
    </w:p>
    <w:p w14:paraId="6EB5ED2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250C8C65">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38447DD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48E50F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5A5F33E1">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AADAC49">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p>
    <w:p w14:paraId="69D2A826">
      <w:pPr>
        <w:pStyle w:val="28"/>
        <w:rPr>
          <w:rFonts w:hint="eastAsia" w:ascii="仿宋" w:hAnsi="仿宋" w:eastAsia="仿宋" w:cs="仿宋"/>
          <w:color w:val="auto"/>
          <w:sz w:val="24"/>
          <w:szCs w:val="24"/>
          <w:highlight w:val="none"/>
        </w:rPr>
      </w:pPr>
    </w:p>
    <w:p w14:paraId="691A4D9A">
      <w:pPr>
        <w:pStyle w:val="28"/>
        <w:rPr>
          <w:rFonts w:hint="eastAsia" w:ascii="仿宋" w:hAnsi="仿宋" w:eastAsia="仿宋" w:cs="仿宋"/>
          <w:color w:val="auto"/>
          <w:sz w:val="24"/>
          <w:szCs w:val="24"/>
          <w:highlight w:val="none"/>
        </w:rPr>
      </w:pPr>
    </w:p>
    <w:p w14:paraId="3D7B5D8B">
      <w:pPr>
        <w:pStyle w:val="28"/>
        <w:rPr>
          <w:rFonts w:hint="eastAsia" w:ascii="仿宋" w:hAnsi="仿宋" w:eastAsia="仿宋" w:cs="仿宋"/>
          <w:color w:val="auto"/>
          <w:sz w:val="24"/>
          <w:szCs w:val="24"/>
          <w:highlight w:val="none"/>
        </w:rPr>
      </w:pPr>
    </w:p>
    <w:p w14:paraId="01B6FB82">
      <w:pPr>
        <w:pStyle w:val="28"/>
        <w:rPr>
          <w:rFonts w:hint="eastAsia" w:ascii="仿宋" w:hAnsi="仿宋" w:eastAsia="仿宋" w:cs="仿宋"/>
          <w:color w:val="auto"/>
          <w:sz w:val="24"/>
          <w:szCs w:val="24"/>
          <w:highlight w:val="none"/>
        </w:rPr>
      </w:pPr>
    </w:p>
    <w:p w14:paraId="07EA47E4">
      <w:pPr>
        <w:pStyle w:val="30"/>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7、拟投入本项目的危险废物运输车辆</w:t>
      </w:r>
      <w:r>
        <w:rPr>
          <w:rFonts w:hint="eastAsia" w:ascii="仿宋" w:hAnsi="仿宋" w:eastAsia="仿宋" w:cs="仿宋"/>
          <w:b/>
          <w:bCs w:val="0"/>
          <w:sz w:val="22"/>
          <w:szCs w:val="22"/>
          <w:highlight w:val="none"/>
          <w:lang w:val="en-US" w:eastAsia="zh-CN"/>
        </w:rPr>
        <w:t>（如有）</w:t>
      </w:r>
    </w:p>
    <w:p w14:paraId="0E71DE50">
      <w:pPr>
        <w:pStyle w:val="7"/>
        <w:spacing w:line="364" w:lineRule="auto"/>
        <w:ind w:right="706" w:rightChars="0"/>
        <w:rPr>
          <w:rFonts w:hint="eastAsia" w:ascii="仿宋" w:hAnsi="仿宋" w:eastAsia="仿宋" w:cs="仿宋"/>
          <w:sz w:val="24"/>
          <w:szCs w:val="36"/>
          <w:lang w:val="en-US" w:eastAsia="zh-CN"/>
        </w:rPr>
      </w:pPr>
      <w:r>
        <w:rPr>
          <w:rFonts w:hint="eastAsia" w:ascii="仿宋" w:hAnsi="仿宋" w:eastAsia="仿宋" w:cs="仿宋"/>
        </w:rPr>
        <w:t>项目名称：中山大学附属仁济医院危险废物处置服务采购项目</w:t>
      </w:r>
    </w:p>
    <w:tbl>
      <w:tblPr>
        <w:tblStyle w:val="23"/>
        <w:tblW w:w="67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59"/>
        <w:gridCol w:w="3157"/>
      </w:tblGrid>
      <w:tr w14:paraId="03D5A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3559" w:type="dxa"/>
          </w:tcPr>
          <w:p w14:paraId="538015DB">
            <w:pPr>
              <w:pStyle w:val="35"/>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3157" w:type="dxa"/>
          </w:tcPr>
          <w:p w14:paraId="0A00DD1A">
            <w:pPr>
              <w:pStyle w:val="35"/>
              <w:keepNext w:val="0"/>
              <w:keepLines w:val="0"/>
              <w:suppressLineNumbers w:val="0"/>
              <w:spacing w:before="81" w:beforeAutospacing="0" w:after="0" w:afterAutospacing="0"/>
              <w:ind w:left="0" w:right="0"/>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是否具备</w:t>
            </w:r>
          </w:p>
        </w:tc>
      </w:tr>
      <w:tr w14:paraId="2AD64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559" w:type="dxa"/>
          </w:tcPr>
          <w:p w14:paraId="69805E62">
            <w:pPr>
              <w:pStyle w:val="35"/>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sz w:val="24"/>
                <w:szCs w:val="28"/>
                <w:highlight w:val="none"/>
              </w:rPr>
            </w:pPr>
            <w:r>
              <w:rPr>
                <w:rFonts w:hint="eastAsia" w:ascii="仿宋" w:hAnsi="仿宋" w:eastAsia="仿宋" w:cs="仿宋"/>
                <w:sz w:val="24"/>
                <w:szCs w:val="28"/>
                <w:highlight w:val="none"/>
                <w:lang w:val="en-US" w:eastAsia="zh-CN"/>
              </w:rPr>
              <w:t>自有的危险废物运输专用车辆</w:t>
            </w:r>
          </w:p>
        </w:tc>
        <w:tc>
          <w:tcPr>
            <w:tcW w:w="3157" w:type="dxa"/>
            <w:vAlign w:val="top"/>
          </w:tcPr>
          <w:p w14:paraId="1BA36936">
            <w:pPr>
              <w:keepNext w:val="0"/>
              <w:keepLines w:val="0"/>
              <w:suppressLineNumbers w:val="0"/>
              <w:spacing w:before="0" w:beforeAutospacing="0" w:after="0" w:afterAutospacing="0"/>
              <w:ind w:left="36" w:leftChars="17" w:right="0"/>
              <w:jc w:val="center"/>
              <w:rPr>
                <w:rFonts w:hint="default" w:ascii="仿宋" w:hAnsi="仿宋" w:eastAsia="仿宋" w:cs="仿宋"/>
                <w:szCs w:val="21"/>
                <w:highlight w:val="none"/>
                <w:u w:val="single"/>
                <w:lang w:val="en-US" w:eastAsia="zh-CN"/>
              </w:rPr>
            </w:pPr>
            <w:r>
              <w:rPr>
                <w:rFonts w:hint="eastAsia" w:ascii="仿宋" w:hAnsi="仿宋" w:eastAsia="仿宋" w:cs="仿宋"/>
                <w:szCs w:val="21"/>
                <w:highlight w:val="none"/>
              </w:rPr>
              <w:t>□是</w:t>
            </w:r>
            <w:r>
              <w:rPr>
                <w:rFonts w:hint="eastAsia" w:ascii="仿宋" w:hAnsi="仿宋" w:eastAsia="仿宋" w:cs="仿宋"/>
                <w:szCs w:val="21"/>
                <w:highlight w:val="none"/>
                <w:lang w:eastAsia="zh-CN"/>
              </w:rPr>
              <w:t>，</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none"/>
                <w:lang w:val="en-US" w:eastAsia="zh-CN"/>
              </w:rPr>
              <w:t>台</w:t>
            </w:r>
          </w:p>
          <w:p w14:paraId="5DC91C1A">
            <w:pPr>
              <w:pStyle w:val="35"/>
              <w:keepNext w:val="0"/>
              <w:keepLines w:val="0"/>
              <w:suppressLineNumbers w:val="0"/>
              <w:spacing w:before="0" w:beforeAutospacing="0" w:after="0" w:afterAutospacing="0"/>
              <w:ind w:left="0" w:leftChars="0" w:right="0" w:rightChars="0"/>
              <w:jc w:val="center"/>
              <w:rPr>
                <w:rFonts w:hint="eastAsia" w:ascii="仿宋" w:hAnsi="仿宋" w:eastAsia="仿宋" w:cs="仿宋"/>
                <w:sz w:val="22"/>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rPr>
              <w:t>否</w:t>
            </w:r>
          </w:p>
        </w:tc>
      </w:tr>
      <w:tr w14:paraId="09EB8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559" w:type="dxa"/>
          </w:tcPr>
          <w:p w14:paraId="52E3AA7B">
            <w:pPr>
              <w:pStyle w:val="35"/>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sz w:val="24"/>
                <w:szCs w:val="28"/>
                <w:highlight w:val="none"/>
                <w:lang w:val="en-US" w:eastAsia="zh-CN"/>
              </w:rPr>
            </w:pPr>
            <w:r>
              <w:rPr>
                <w:rFonts w:hint="eastAsia" w:ascii="仿宋" w:hAnsi="仿宋" w:eastAsia="仿宋" w:cs="仿宋"/>
                <w:sz w:val="24"/>
                <w:szCs w:val="28"/>
                <w:highlight w:val="none"/>
                <w:lang w:val="en-US" w:eastAsia="zh-CN"/>
              </w:rPr>
              <w:t>租赁的危险废物运输专用车辆</w:t>
            </w:r>
          </w:p>
        </w:tc>
        <w:tc>
          <w:tcPr>
            <w:tcW w:w="3157" w:type="dxa"/>
            <w:vAlign w:val="top"/>
          </w:tcPr>
          <w:p w14:paraId="77AEAAAE">
            <w:pPr>
              <w:keepNext w:val="0"/>
              <w:keepLines w:val="0"/>
              <w:suppressLineNumbers w:val="0"/>
              <w:spacing w:before="0" w:beforeAutospacing="0" w:after="0" w:afterAutospacing="0"/>
              <w:ind w:left="36" w:leftChars="17" w:right="0"/>
              <w:jc w:val="center"/>
              <w:rPr>
                <w:rFonts w:hint="default" w:ascii="仿宋" w:hAnsi="仿宋" w:eastAsia="仿宋" w:cs="仿宋"/>
                <w:szCs w:val="21"/>
                <w:highlight w:val="none"/>
                <w:u w:val="single"/>
                <w:lang w:val="en-US" w:eastAsia="zh-CN"/>
              </w:rPr>
            </w:pPr>
            <w:r>
              <w:rPr>
                <w:rFonts w:hint="eastAsia" w:ascii="仿宋" w:hAnsi="仿宋" w:eastAsia="仿宋" w:cs="仿宋"/>
                <w:szCs w:val="21"/>
                <w:highlight w:val="none"/>
              </w:rPr>
              <w:t>□是</w:t>
            </w:r>
            <w:r>
              <w:rPr>
                <w:rFonts w:hint="eastAsia" w:ascii="仿宋" w:hAnsi="仿宋" w:eastAsia="仿宋" w:cs="仿宋"/>
                <w:szCs w:val="21"/>
                <w:highlight w:val="none"/>
                <w:lang w:eastAsia="zh-CN"/>
              </w:rPr>
              <w:t>，</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none"/>
                <w:lang w:val="en-US" w:eastAsia="zh-CN"/>
              </w:rPr>
              <w:t>台</w:t>
            </w:r>
          </w:p>
          <w:p w14:paraId="0682BC84">
            <w:pPr>
              <w:pStyle w:val="35"/>
              <w:keepNext w:val="0"/>
              <w:keepLines w:val="0"/>
              <w:suppressLineNumbers w:val="0"/>
              <w:spacing w:before="0" w:beforeAutospacing="0" w:after="0" w:afterAutospacing="0"/>
              <w:ind w:left="0" w:leftChars="0" w:right="0" w:rightChars="0"/>
              <w:jc w:val="center"/>
              <w:rPr>
                <w:rFonts w:hint="eastAsia" w:ascii="仿宋" w:hAnsi="仿宋" w:eastAsia="仿宋" w:cs="仿宋"/>
                <w:sz w:val="22"/>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rPr>
              <w:t>否</w:t>
            </w:r>
          </w:p>
        </w:tc>
      </w:tr>
    </w:tbl>
    <w:p w14:paraId="507F56E9">
      <w:pPr>
        <w:jc w:val="both"/>
        <w:rPr>
          <w:rFonts w:hint="eastAsia" w:ascii="仿宋" w:hAnsi="仿宋" w:eastAsia="仿宋" w:cs="仿宋"/>
          <w:sz w:val="20"/>
          <w:szCs w:val="20"/>
        </w:rPr>
      </w:pPr>
    </w:p>
    <w:p w14:paraId="619FB660">
      <w:pPr>
        <w:jc w:val="both"/>
        <w:rPr>
          <w:rFonts w:hint="eastAsia" w:ascii="仿宋" w:hAnsi="仿宋" w:eastAsia="仿宋" w:cs="仿宋"/>
          <w:sz w:val="20"/>
          <w:szCs w:val="20"/>
        </w:rPr>
      </w:pPr>
      <w:r>
        <w:rPr>
          <w:rFonts w:hint="eastAsia" w:ascii="仿宋" w:hAnsi="仿宋" w:eastAsia="仿宋" w:cs="仿宋"/>
          <w:sz w:val="20"/>
          <w:szCs w:val="20"/>
        </w:rPr>
        <w:t>注：</w:t>
      </w:r>
    </w:p>
    <w:p w14:paraId="6B8AD725">
      <w:pPr>
        <w:numPr>
          <w:ilvl w:val="0"/>
          <w:numId w:val="17"/>
        </w:numPr>
        <w:jc w:val="both"/>
        <w:rPr>
          <w:rFonts w:hint="eastAsia" w:ascii="仿宋" w:hAnsi="仿宋" w:eastAsia="仿宋" w:cs="仿宋"/>
          <w:sz w:val="20"/>
          <w:szCs w:val="20"/>
        </w:rPr>
      </w:pPr>
      <w:r>
        <w:rPr>
          <w:rFonts w:hint="eastAsia" w:ascii="仿宋" w:hAnsi="仿宋" w:eastAsia="仿宋" w:cs="仿宋"/>
          <w:sz w:val="20"/>
          <w:szCs w:val="20"/>
        </w:rPr>
        <w:t>供应商须如实填写。在填写表格时，如有不适合供应商的实际情况，可根据本表格格式自行划表填写。</w:t>
      </w:r>
    </w:p>
    <w:p w14:paraId="62210514">
      <w:pPr>
        <w:numPr>
          <w:ilvl w:val="0"/>
          <w:numId w:val="17"/>
        </w:numPr>
        <w:jc w:val="both"/>
        <w:rPr>
          <w:rFonts w:hint="eastAsia" w:ascii="仿宋" w:hAnsi="仿宋" w:eastAsia="仿宋" w:cs="仿宋"/>
          <w:sz w:val="20"/>
          <w:szCs w:val="20"/>
        </w:rPr>
      </w:pPr>
      <w:r>
        <w:rPr>
          <w:rFonts w:hint="eastAsia" w:ascii="仿宋" w:hAnsi="仿宋" w:eastAsia="仿宋" w:cs="仿宋"/>
          <w:sz w:val="20"/>
          <w:szCs w:val="20"/>
        </w:rPr>
        <w:t>提供有效期内的证书复印件，并加盖公章，未提供不得分。</w:t>
      </w:r>
    </w:p>
    <w:p w14:paraId="5396978B">
      <w:pPr>
        <w:pStyle w:val="30"/>
        <w:jc w:val="center"/>
        <w:rPr>
          <w:rFonts w:hint="eastAsia" w:ascii="宋体" w:hAnsi="宋体" w:cs="宋体"/>
          <w:b/>
          <w:bCs w:val="0"/>
          <w:sz w:val="32"/>
          <w:szCs w:val="32"/>
          <w:highlight w:val="none"/>
          <w:lang w:val="en-US" w:eastAsia="zh-CN"/>
        </w:rPr>
      </w:pPr>
    </w:p>
    <w:p w14:paraId="3EE038F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0C3F2FF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14568B4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56227AC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00E3C2C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6001318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572EBF0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206E5BD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3482BD6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2FC05AF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6B18E66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56E2B32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75CE57D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四、技术评审</w:t>
      </w:r>
    </w:p>
    <w:p w14:paraId="188CDF8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一）技术评审</w:t>
      </w:r>
      <w:r>
        <w:rPr>
          <w:rFonts w:hint="eastAsia" w:ascii="仿宋" w:hAnsi="仿宋" w:eastAsia="仿宋" w:cs="仿宋"/>
          <w:b/>
          <w:bCs/>
          <w:sz w:val="36"/>
          <w:szCs w:val="36"/>
          <w:highlight w:val="none"/>
        </w:rPr>
        <w:t>自查表</w:t>
      </w:r>
    </w:p>
    <w:tbl>
      <w:tblPr>
        <w:tblStyle w:val="23"/>
        <w:tblW w:w="962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5221"/>
        <w:gridCol w:w="1373"/>
        <w:gridCol w:w="1083"/>
      </w:tblGrid>
      <w:tr w14:paraId="68D04B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687F1A24">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304" w:type="dxa"/>
            <w:vAlign w:val="center"/>
          </w:tcPr>
          <w:p w14:paraId="48D833E0">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5221" w:type="dxa"/>
            <w:vAlign w:val="center"/>
          </w:tcPr>
          <w:p w14:paraId="31672C5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373" w:type="dxa"/>
            <w:vAlign w:val="center"/>
          </w:tcPr>
          <w:p w14:paraId="430EB83E">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highlight w:val="none"/>
                <w:lang w:val="en-US" w:eastAsia="zh-CN"/>
              </w:rPr>
              <w:t>提供情况</w:t>
            </w:r>
          </w:p>
        </w:tc>
        <w:tc>
          <w:tcPr>
            <w:tcW w:w="1083" w:type="dxa"/>
            <w:vAlign w:val="center"/>
          </w:tcPr>
          <w:p w14:paraId="797BC4A2">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14:paraId="38512B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164B846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304" w:type="dxa"/>
            <w:vAlign w:val="center"/>
          </w:tcPr>
          <w:p w14:paraId="1329BD12">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themeColor="text1"/>
                <w:kern w:val="2"/>
                <w:sz w:val="21"/>
                <w:szCs w:val="21"/>
                <w:highlight w:val="none"/>
                <w14:textFill>
                  <w14:solidFill>
                    <w14:schemeClr w14:val="tx1"/>
                  </w14:solidFill>
                </w14:textFill>
              </w:rPr>
              <w:t>危险废物处置方案</w:t>
            </w:r>
          </w:p>
        </w:tc>
        <w:tc>
          <w:tcPr>
            <w:tcW w:w="5221" w:type="dxa"/>
            <w:vAlign w:val="top"/>
          </w:tcPr>
          <w:p w14:paraId="226D27A8">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根据响应人针对本项目特点提供的危险废物处置方案进行评审，包括以下方面：</w:t>
            </w:r>
          </w:p>
          <w:p w14:paraId="68C2003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①危险废物清运处置主要管理制度；</w:t>
            </w:r>
          </w:p>
          <w:p w14:paraId="6CA42BF4">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②危险废物处置工艺；</w:t>
            </w:r>
          </w:p>
          <w:p w14:paraId="0C5F26C1">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③项目处置质量管理措施；</w:t>
            </w:r>
          </w:p>
          <w:p w14:paraId="08C089ED">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④项目处置安全文明措施。</w:t>
            </w:r>
          </w:p>
          <w:p w14:paraId="03725E73">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000000" w:themeColor="text1"/>
                <w:kern w:val="2"/>
                <w:sz w:val="21"/>
                <w:szCs w:val="21"/>
                <w:highlight w:val="none"/>
                <w14:textFill>
                  <w14:solidFill>
                    <w14:schemeClr w14:val="tx1"/>
                  </w14:solidFill>
                </w14:textFill>
              </w:rPr>
              <w:t>每提供1项内容且详细、具体，能满足本项目提出的所有要求，有具体可行的、规范的措施，操作性强，能有效保证项目质量，完全满足采购需求的，每项得3.5分；若提供的内容较为详细具体，有较为具体规范的措施来保证项目质量，部分满足采购需求的，每项得2分；若提供的内容片面或明显有瑕疵，难以满足采购需求的，每项得0.5分。不提供方案的不得分。本项最高得14分。</w:t>
            </w:r>
          </w:p>
        </w:tc>
        <w:tc>
          <w:tcPr>
            <w:tcW w:w="1373" w:type="dxa"/>
            <w:vAlign w:val="center"/>
          </w:tcPr>
          <w:p w14:paraId="6CD2549E">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highlight w:val="none"/>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14:paraId="28167BD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见响应文件（）页</w:t>
            </w:r>
          </w:p>
        </w:tc>
      </w:tr>
      <w:tr w14:paraId="3BA579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7B5B340D">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304" w:type="dxa"/>
            <w:vAlign w:val="center"/>
          </w:tcPr>
          <w:p w14:paraId="1E6EB919">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szCs w:val="21"/>
              </w:rPr>
              <w:t>服务方案</w:t>
            </w:r>
          </w:p>
        </w:tc>
        <w:tc>
          <w:tcPr>
            <w:tcW w:w="5221" w:type="dxa"/>
            <w:vAlign w:val="center"/>
          </w:tcPr>
          <w:p w14:paraId="0B592E23">
            <w:pPr>
              <w:pStyle w:val="6"/>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rPr>
            </w:pPr>
            <w:r>
              <w:rPr>
                <w:rFonts w:hint="eastAsia" w:ascii="仿宋" w:hAnsi="仿宋" w:eastAsia="仿宋" w:cs="仿宋"/>
                <w:color w:val="000000"/>
                <w:szCs w:val="21"/>
              </w:rPr>
              <w:t>根据</w:t>
            </w:r>
            <w:r>
              <w:rPr>
                <w:rFonts w:hint="eastAsia" w:ascii="仿宋" w:hAnsi="仿宋" w:eastAsia="仿宋" w:cs="仿宋"/>
                <w:color w:val="000000"/>
                <w:szCs w:val="21"/>
                <w:lang w:val="en-US" w:eastAsia="zh-CN"/>
              </w:rPr>
              <w:t>响应</w:t>
            </w:r>
            <w:r>
              <w:rPr>
                <w:rFonts w:hint="eastAsia" w:ascii="仿宋" w:hAnsi="仿宋" w:eastAsia="仿宋" w:cs="仿宋"/>
                <w:color w:val="000000"/>
                <w:szCs w:val="21"/>
              </w:rPr>
              <w:t>人针对本项目特点提供的服务方案进行评审，包括以下方面：</w:t>
            </w:r>
          </w:p>
          <w:p w14:paraId="2637FCCE">
            <w:pPr>
              <w:pStyle w:val="6"/>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lang w:eastAsia="zh-CN"/>
              </w:rPr>
            </w:pPr>
            <w:r>
              <w:rPr>
                <w:rFonts w:hint="eastAsia" w:ascii="仿宋" w:hAnsi="仿宋" w:eastAsia="仿宋" w:cs="仿宋"/>
                <w:color w:val="000000"/>
                <w:szCs w:val="21"/>
              </w:rPr>
              <w:t>①作业设备</w:t>
            </w:r>
            <w:r>
              <w:rPr>
                <w:rFonts w:hint="eastAsia" w:ascii="仿宋" w:hAnsi="仿宋" w:eastAsia="仿宋" w:cs="仿宋"/>
                <w:color w:val="000000"/>
                <w:szCs w:val="21"/>
                <w:lang w:val="en-US" w:eastAsia="zh-CN"/>
              </w:rPr>
              <w:t>和运输</w:t>
            </w:r>
            <w:r>
              <w:rPr>
                <w:rFonts w:hint="eastAsia" w:ascii="仿宋" w:hAnsi="仿宋" w:eastAsia="仿宋" w:cs="仿宋"/>
                <w:color w:val="000000"/>
                <w:szCs w:val="21"/>
              </w:rPr>
              <w:t>管理</w:t>
            </w:r>
            <w:r>
              <w:rPr>
                <w:rFonts w:hint="eastAsia" w:ascii="仿宋" w:hAnsi="仿宋" w:eastAsia="仿宋" w:cs="仿宋"/>
                <w:color w:val="000000"/>
                <w:szCs w:val="21"/>
                <w:lang w:eastAsia="zh-CN"/>
              </w:rPr>
              <w:t>；</w:t>
            </w:r>
          </w:p>
          <w:p w14:paraId="315AE41D">
            <w:pPr>
              <w:pStyle w:val="6"/>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lang w:eastAsia="zh-CN"/>
              </w:rPr>
            </w:pPr>
            <w:r>
              <w:rPr>
                <w:rFonts w:hint="eastAsia" w:ascii="仿宋" w:hAnsi="仿宋" w:eastAsia="仿宋" w:cs="仿宋"/>
                <w:color w:val="000000"/>
                <w:szCs w:val="21"/>
              </w:rPr>
              <w:t>②现场清运的技术保障方案</w:t>
            </w:r>
            <w:r>
              <w:rPr>
                <w:rFonts w:hint="eastAsia" w:ascii="仿宋" w:hAnsi="仿宋" w:eastAsia="仿宋" w:cs="仿宋"/>
                <w:color w:val="000000"/>
                <w:szCs w:val="21"/>
                <w:lang w:val="en-US" w:eastAsia="zh-CN"/>
              </w:rPr>
              <w:t>；</w:t>
            </w:r>
          </w:p>
          <w:p w14:paraId="6BBDD487">
            <w:pPr>
              <w:pStyle w:val="6"/>
              <w:keepNext w:val="0"/>
              <w:keepLines w:val="0"/>
              <w:suppressLineNumbers w:val="0"/>
              <w:spacing w:before="0" w:beforeAutospacing="0" w:after="0" w:afterAutospacing="0"/>
              <w:ind w:left="0" w:right="0" w:firstLine="0" w:firstLineChars="0"/>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③紧急情况下危废清运处置的响应方案；</w:t>
            </w:r>
          </w:p>
          <w:p w14:paraId="227C3707">
            <w:pPr>
              <w:pStyle w:val="6"/>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rPr>
            </w:pPr>
            <w:r>
              <w:rPr>
                <w:rFonts w:hint="eastAsia" w:ascii="仿宋" w:hAnsi="仿宋" w:eastAsia="仿宋" w:cs="仿宋"/>
                <w:color w:val="000000"/>
                <w:szCs w:val="21"/>
                <w:lang w:val="en-US" w:eastAsia="zh-CN"/>
              </w:rPr>
              <w:t>④</w:t>
            </w:r>
            <w:r>
              <w:rPr>
                <w:rFonts w:hint="eastAsia" w:ascii="仿宋" w:hAnsi="仿宋" w:eastAsia="仿宋" w:cs="仿宋"/>
                <w:color w:val="000000"/>
                <w:szCs w:val="21"/>
              </w:rPr>
              <w:t>污染事故、泄漏事故</w:t>
            </w:r>
            <w:r>
              <w:rPr>
                <w:rFonts w:hint="eastAsia" w:ascii="仿宋" w:hAnsi="仿宋" w:eastAsia="仿宋" w:cs="仿宋"/>
                <w:color w:val="000000"/>
                <w:szCs w:val="21"/>
                <w:lang w:val="en-US" w:eastAsia="zh-CN"/>
              </w:rPr>
              <w:t>的处理方案</w:t>
            </w:r>
            <w:r>
              <w:rPr>
                <w:rFonts w:hint="eastAsia" w:ascii="仿宋" w:hAnsi="仿宋" w:eastAsia="仿宋" w:cs="仿宋"/>
                <w:color w:val="000000"/>
                <w:szCs w:val="21"/>
              </w:rPr>
              <w:t>（包括过程中发生危废泄露、环境污染或人员伤害等）</w:t>
            </w:r>
            <w:r>
              <w:rPr>
                <w:rFonts w:hint="eastAsia" w:ascii="仿宋" w:hAnsi="仿宋" w:eastAsia="仿宋" w:cs="仿宋"/>
                <w:color w:val="000000"/>
                <w:szCs w:val="21"/>
                <w:lang w:eastAsia="zh-CN"/>
              </w:rPr>
              <w:t>。</w:t>
            </w:r>
          </w:p>
          <w:p w14:paraId="3BCBE310">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sz w:val="21"/>
                <w:szCs w:val="21"/>
                <w:highlight w:val="none"/>
              </w:rPr>
            </w:pPr>
            <w:r>
              <w:rPr>
                <w:rFonts w:hint="eastAsia" w:ascii="仿宋" w:hAnsi="仿宋" w:eastAsia="仿宋" w:cs="仿宋"/>
                <w:color w:val="000000"/>
                <w:szCs w:val="21"/>
              </w:rPr>
              <w:t>每提供1项内容且详细、具体，能满足本项目提出的所有要求，有具体可行的、规范的措施，操作性强，能有效保证项目质量，完全满足采购需求的，每项得</w:t>
            </w:r>
            <w:r>
              <w:rPr>
                <w:rFonts w:hint="eastAsia" w:ascii="仿宋" w:hAnsi="仿宋" w:eastAsia="仿宋" w:cs="仿宋"/>
                <w:color w:val="000000"/>
                <w:szCs w:val="21"/>
                <w:lang w:val="en-US" w:eastAsia="zh-CN"/>
              </w:rPr>
              <w:t>3.5</w:t>
            </w:r>
            <w:r>
              <w:rPr>
                <w:rFonts w:hint="eastAsia" w:ascii="仿宋" w:hAnsi="仿宋" w:eastAsia="仿宋" w:cs="仿宋"/>
                <w:color w:val="000000"/>
                <w:szCs w:val="21"/>
              </w:rPr>
              <w:t>分；若提供的内容较为详细具体，有较为具体规范的措施来保证项目质量，部分满足采购需求的，每项得</w:t>
            </w:r>
            <w:r>
              <w:rPr>
                <w:rFonts w:hint="eastAsia" w:ascii="仿宋" w:hAnsi="仿宋" w:eastAsia="仿宋" w:cs="仿宋"/>
                <w:color w:val="000000"/>
                <w:szCs w:val="21"/>
                <w:lang w:val="en-US" w:eastAsia="zh-CN"/>
              </w:rPr>
              <w:t>2</w:t>
            </w:r>
            <w:r>
              <w:rPr>
                <w:rFonts w:hint="eastAsia" w:ascii="仿宋" w:hAnsi="仿宋" w:eastAsia="仿宋" w:cs="仿宋"/>
                <w:color w:val="000000"/>
                <w:szCs w:val="21"/>
              </w:rPr>
              <w:t>分；若提供的内容片面或明显有瑕疵，难以满足采购需求的，每项得0.5分。不提供方案的不得分。本项最高得</w:t>
            </w:r>
            <w:r>
              <w:rPr>
                <w:rFonts w:hint="eastAsia" w:ascii="仿宋" w:hAnsi="仿宋" w:eastAsia="仿宋" w:cs="仿宋"/>
                <w:color w:val="000000"/>
                <w:szCs w:val="21"/>
                <w:lang w:val="en-US" w:eastAsia="zh-CN"/>
              </w:rPr>
              <w:t>14</w:t>
            </w:r>
            <w:r>
              <w:rPr>
                <w:rFonts w:hint="eastAsia" w:ascii="仿宋" w:hAnsi="仿宋" w:eastAsia="仿宋" w:cs="仿宋"/>
                <w:color w:val="000000"/>
                <w:szCs w:val="21"/>
              </w:rPr>
              <w:t>分。</w:t>
            </w:r>
          </w:p>
        </w:tc>
        <w:tc>
          <w:tcPr>
            <w:tcW w:w="1373" w:type="dxa"/>
            <w:vAlign w:val="center"/>
          </w:tcPr>
          <w:p w14:paraId="2AFAABC4">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14:paraId="044471E7">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bl>
    <w:p w14:paraId="7BFFD05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技术评审</w:t>
      </w:r>
      <w:r>
        <w:rPr>
          <w:rFonts w:hint="eastAsia" w:ascii="仿宋" w:hAnsi="仿宋" w:eastAsia="仿宋" w:cs="仿宋"/>
          <w:b/>
          <w:bCs/>
          <w:color w:val="auto"/>
          <w:sz w:val="21"/>
          <w:szCs w:val="21"/>
          <w:highlight w:val="none"/>
          <w:lang w:val="en-GB"/>
        </w:rPr>
        <w:t>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14:paraId="4A3C6E3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2B5C637E">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14:paraId="4A246FE7">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14:paraId="655ECB56">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3、承诺以上响应情况属实，如有虚假响应，同意本项目一票否决，并列入采购人失信供应商名单。</w:t>
      </w:r>
    </w:p>
    <w:p w14:paraId="4F325BDB">
      <w:pPr>
        <w:pStyle w:val="30"/>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14:paraId="3143DA51">
      <w:pPr>
        <w:pStyle w:val="30"/>
        <w:ind w:left="0" w:leftChars="0" w:firstLine="0" w:firstLineChars="0"/>
        <w:rPr>
          <w:rFonts w:hint="eastAsia" w:ascii="仿宋" w:hAnsi="仿宋" w:eastAsia="仿宋" w:cs="仿宋"/>
          <w:highlight w:val="none"/>
        </w:rPr>
      </w:pPr>
    </w:p>
    <w:p w14:paraId="51AD40FC">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9A4824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AE4A460">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F98C35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sz w:val="32"/>
          <w:szCs w:val="28"/>
          <w:lang w:val="en-US" w:eastAsia="zh-CN"/>
        </w:rPr>
      </w:pPr>
      <w:r>
        <w:rPr>
          <w:rFonts w:hint="eastAsia" w:ascii="仿宋" w:hAnsi="仿宋" w:eastAsia="仿宋" w:cs="仿宋"/>
          <w:b/>
          <w:bCs/>
          <w:sz w:val="36"/>
          <w:szCs w:val="36"/>
          <w:lang w:eastAsia="zh-CN"/>
        </w:rPr>
        <w:t>（</w:t>
      </w:r>
      <w:r>
        <w:rPr>
          <w:rFonts w:hint="eastAsia" w:ascii="仿宋" w:hAnsi="仿宋" w:eastAsia="仿宋" w:cs="仿宋"/>
          <w:b/>
          <w:bCs/>
          <w:sz w:val="36"/>
          <w:szCs w:val="36"/>
          <w:lang w:val="en-US" w:eastAsia="zh-CN"/>
        </w:rPr>
        <w:t>二）技术评审证明资料</w:t>
      </w:r>
      <w:r>
        <w:rPr>
          <w:rFonts w:hint="eastAsia" w:ascii="仿宋" w:hAnsi="仿宋" w:eastAsia="仿宋" w:cs="仿宋"/>
          <w:b/>
          <w:bCs w:val="0"/>
          <w:sz w:val="22"/>
          <w:szCs w:val="22"/>
          <w:lang w:val="en-US" w:eastAsia="zh-CN"/>
        </w:rPr>
        <w:t>（如有）</w:t>
      </w:r>
    </w:p>
    <w:p w14:paraId="6610D615">
      <w:pPr>
        <w:pStyle w:val="3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1、危险废物处置方案</w:t>
      </w:r>
      <w:r>
        <w:rPr>
          <w:rFonts w:hint="eastAsia" w:ascii="仿宋" w:hAnsi="仿宋" w:eastAsia="仿宋" w:cs="仿宋"/>
          <w:b/>
          <w:bCs w:val="0"/>
          <w:sz w:val="22"/>
          <w:szCs w:val="22"/>
          <w:highlight w:val="none"/>
          <w:lang w:val="en-US" w:eastAsia="zh-CN"/>
        </w:rPr>
        <w:t>（如有）</w:t>
      </w:r>
    </w:p>
    <w:p w14:paraId="366576DF">
      <w:pPr>
        <w:pStyle w:val="28"/>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（按照实际情况自行拟写）</w:t>
      </w:r>
    </w:p>
    <w:p w14:paraId="2FCF2B7B">
      <w:pPr>
        <w:pStyle w:val="28"/>
        <w:rPr>
          <w:rFonts w:hint="eastAsia" w:ascii="仿宋" w:hAnsi="仿宋" w:eastAsia="仿宋" w:cs="仿宋"/>
          <w:sz w:val="21"/>
          <w:szCs w:val="21"/>
          <w:highlight w:val="none"/>
        </w:rPr>
      </w:pPr>
    </w:p>
    <w:p w14:paraId="7160EE59">
      <w:pPr>
        <w:pStyle w:val="28"/>
        <w:rPr>
          <w:rFonts w:hint="eastAsia" w:ascii="仿宋" w:hAnsi="仿宋" w:eastAsia="仿宋" w:cs="仿宋"/>
          <w:sz w:val="21"/>
          <w:szCs w:val="21"/>
          <w:highlight w:val="none"/>
        </w:rPr>
      </w:pPr>
      <w:r>
        <w:rPr>
          <w:rFonts w:hint="eastAsia" w:ascii="仿宋" w:hAnsi="仿宋" w:eastAsia="仿宋" w:cs="仿宋"/>
          <w:sz w:val="21"/>
          <w:szCs w:val="21"/>
          <w:highlight w:val="none"/>
        </w:rPr>
        <w:t>内容应包括但不限于：</w:t>
      </w:r>
    </w:p>
    <w:p w14:paraId="75ABAB12">
      <w:pPr>
        <w:pStyle w:val="28"/>
        <w:rPr>
          <w:rFonts w:hint="eastAsia" w:ascii="仿宋" w:hAnsi="仿宋" w:eastAsia="仿宋" w:cs="仿宋"/>
          <w:sz w:val="21"/>
          <w:szCs w:val="21"/>
          <w:highlight w:val="none"/>
        </w:rPr>
      </w:pPr>
      <w:r>
        <w:rPr>
          <w:rFonts w:hint="eastAsia" w:ascii="仿宋" w:hAnsi="仿宋" w:eastAsia="仿宋" w:cs="仿宋"/>
          <w:sz w:val="21"/>
          <w:szCs w:val="21"/>
          <w:highlight w:val="none"/>
        </w:rPr>
        <w:t>①危险废物清运处置主要管理制度；</w:t>
      </w:r>
    </w:p>
    <w:p w14:paraId="5C0DAB3C">
      <w:pPr>
        <w:pStyle w:val="28"/>
        <w:rPr>
          <w:rFonts w:hint="eastAsia" w:ascii="仿宋" w:hAnsi="仿宋" w:eastAsia="仿宋" w:cs="仿宋"/>
          <w:sz w:val="21"/>
          <w:szCs w:val="21"/>
          <w:highlight w:val="none"/>
        </w:rPr>
      </w:pPr>
      <w:r>
        <w:rPr>
          <w:rFonts w:hint="eastAsia" w:ascii="仿宋" w:hAnsi="仿宋" w:eastAsia="仿宋" w:cs="仿宋"/>
          <w:sz w:val="21"/>
          <w:szCs w:val="21"/>
          <w:highlight w:val="none"/>
        </w:rPr>
        <w:t>②危险废物处置工艺；</w:t>
      </w:r>
    </w:p>
    <w:p w14:paraId="3E5DDA15">
      <w:pPr>
        <w:pStyle w:val="28"/>
        <w:rPr>
          <w:rFonts w:hint="eastAsia" w:ascii="仿宋" w:hAnsi="仿宋" w:eastAsia="仿宋" w:cs="仿宋"/>
          <w:sz w:val="21"/>
          <w:szCs w:val="21"/>
          <w:highlight w:val="none"/>
        </w:rPr>
      </w:pPr>
      <w:r>
        <w:rPr>
          <w:rFonts w:hint="eastAsia" w:ascii="仿宋" w:hAnsi="仿宋" w:eastAsia="仿宋" w:cs="仿宋"/>
          <w:sz w:val="21"/>
          <w:szCs w:val="21"/>
          <w:highlight w:val="none"/>
        </w:rPr>
        <w:t>③项目处置质量管理措施；</w:t>
      </w:r>
    </w:p>
    <w:p w14:paraId="22B05624">
      <w:pPr>
        <w:pStyle w:val="28"/>
        <w:rPr>
          <w:rFonts w:hint="default" w:ascii="宋体" w:hAnsi="宋体" w:cs="宋体"/>
          <w:color w:val="auto"/>
          <w:sz w:val="24"/>
          <w:highlight w:val="none"/>
          <w:lang w:val="en-US" w:eastAsia="zh-CN"/>
        </w:rPr>
      </w:pPr>
      <w:r>
        <w:rPr>
          <w:rFonts w:hint="eastAsia" w:ascii="仿宋" w:hAnsi="仿宋" w:eastAsia="仿宋" w:cs="仿宋"/>
          <w:sz w:val="21"/>
          <w:szCs w:val="21"/>
          <w:highlight w:val="none"/>
        </w:rPr>
        <w:t>④项目处置安全文明措施。</w:t>
      </w:r>
    </w:p>
    <w:p w14:paraId="4DC2254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0330C63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719F318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70F7E3B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5129DDE1">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5136DEF4">
      <w:pPr>
        <w:pStyle w:val="28"/>
        <w:rPr>
          <w:rFonts w:hint="default" w:ascii="宋体" w:hAnsi="宋体" w:cs="宋体"/>
          <w:color w:val="auto"/>
          <w:sz w:val="24"/>
          <w:highlight w:val="none"/>
          <w:lang w:val="en-US" w:eastAsia="zh-CN"/>
        </w:rPr>
      </w:pPr>
    </w:p>
    <w:p w14:paraId="521C3257">
      <w:pPr>
        <w:pStyle w:val="28"/>
        <w:rPr>
          <w:rFonts w:hint="default" w:ascii="宋体" w:hAnsi="宋体" w:cs="宋体"/>
          <w:color w:val="auto"/>
          <w:sz w:val="24"/>
          <w:highlight w:val="none"/>
          <w:lang w:val="en-US" w:eastAsia="zh-CN"/>
        </w:rPr>
      </w:pPr>
    </w:p>
    <w:p w14:paraId="37A654AB">
      <w:pPr>
        <w:pStyle w:val="28"/>
        <w:rPr>
          <w:rFonts w:hint="default" w:ascii="宋体" w:hAnsi="宋体" w:cs="宋体"/>
          <w:color w:val="auto"/>
          <w:sz w:val="24"/>
          <w:highlight w:val="none"/>
          <w:lang w:val="en-US" w:eastAsia="zh-CN"/>
        </w:rPr>
      </w:pPr>
    </w:p>
    <w:p w14:paraId="5F30D1DD">
      <w:pPr>
        <w:pStyle w:val="28"/>
        <w:rPr>
          <w:rFonts w:hint="default" w:ascii="宋体" w:hAnsi="宋体" w:cs="宋体"/>
          <w:color w:val="auto"/>
          <w:sz w:val="24"/>
          <w:highlight w:val="none"/>
          <w:lang w:val="en-US" w:eastAsia="zh-CN"/>
        </w:rPr>
      </w:pPr>
    </w:p>
    <w:p w14:paraId="6B42043F">
      <w:pPr>
        <w:pStyle w:val="28"/>
        <w:rPr>
          <w:rFonts w:hint="default" w:ascii="宋体" w:hAnsi="宋体" w:cs="宋体"/>
          <w:color w:val="auto"/>
          <w:sz w:val="24"/>
          <w:highlight w:val="none"/>
          <w:lang w:val="en-US" w:eastAsia="zh-CN"/>
        </w:rPr>
      </w:pPr>
    </w:p>
    <w:p w14:paraId="725BC15C">
      <w:pPr>
        <w:pStyle w:val="28"/>
        <w:rPr>
          <w:rFonts w:hint="default" w:ascii="宋体" w:hAnsi="宋体" w:cs="宋体"/>
          <w:color w:val="auto"/>
          <w:sz w:val="24"/>
          <w:highlight w:val="none"/>
          <w:lang w:val="en-US" w:eastAsia="zh-CN"/>
        </w:rPr>
      </w:pPr>
    </w:p>
    <w:p w14:paraId="3D7A32DF">
      <w:pPr>
        <w:pStyle w:val="30"/>
        <w:jc w:val="center"/>
        <w:rPr>
          <w:rFonts w:hint="eastAsia" w:ascii="仿宋" w:hAnsi="仿宋" w:eastAsia="仿宋" w:cs="仿宋"/>
          <w:b/>
          <w:bCs w:val="0"/>
          <w:sz w:val="32"/>
          <w:szCs w:val="32"/>
          <w:highlight w:val="none"/>
          <w:lang w:val="en-US" w:eastAsia="zh-CN"/>
        </w:rPr>
      </w:pPr>
    </w:p>
    <w:p w14:paraId="17917392">
      <w:pPr>
        <w:pStyle w:val="3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2、服务方案</w:t>
      </w:r>
      <w:r>
        <w:rPr>
          <w:rFonts w:hint="eastAsia" w:ascii="仿宋" w:hAnsi="仿宋" w:eastAsia="仿宋" w:cs="仿宋"/>
          <w:b/>
          <w:bCs w:val="0"/>
          <w:sz w:val="22"/>
          <w:szCs w:val="22"/>
          <w:highlight w:val="none"/>
          <w:lang w:val="en-US" w:eastAsia="zh-CN"/>
        </w:rPr>
        <w:t>（如有）</w:t>
      </w:r>
    </w:p>
    <w:p w14:paraId="0D659380">
      <w:pPr>
        <w:pStyle w:val="28"/>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（按照实际情况自行拟写）</w:t>
      </w:r>
    </w:p>
    <w:p w14:paraId="78160D4D">
      <w:pPr>
        <w:pStyle w:val="28"/>
        <w:rPr>
          <w:rFonts w:hint="eastAsia" w:ascii="仿宋" w:hAnsi="仿宋" w:eastAsia="仿宋" w:cs="仿宋"/>
          <w:sz w:val="21"/>
          <w:szCs w:val="21"/>
          <w:highlight w:val="none"/>
        </w:rPr>
      </w:pPr>
    </w:p>
    <w:p w14:paraId="107B572D">
      <w:pPr>
        <w:pStyle w:val="28"/>
        <w:rPr>
          <w:rFonts w:hint="eastAsia" w:ascii="仿宋" w:hAnsi="仿宋" w:eastAsia="仿宋" w:cs="仿宋"/>
          <w:sz w:val="21"/>
          <w:szCs w:val="21"/>
          <w:highlight w:val="none"/>
        </w:rPr>
      </w:pPr>
      <w:r>
        <w:rPr>
          <w:rFonts w:hint="eastAsia" w:ascii="仿宋" w:hAnsi="仿宋" w:eastAsia="仿宋" w:cs="仿宋"/>
          <w:sz w:val="21"/>
          <w:szCs w:val="21"/>
          <w:highlight w:val="none"/>
        </w:rPr>
        <w:t>内容应包括但不限于：</w:t>
      </w:r>
    </w:p>
    <w:p w14:paraId="07EF252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①作业设备和运输管理；</w:t>
      </w:r>
    </w:p>
    <w:p w14:paraId="2F9E73C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②现场清运的技术保障方案；</w:t>
      </w:r>
    </w:p>
    <w:p w14:paraId="0896473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③紧急情况下危废清运处置的响应方案；</w:t>
      </w:r>
    </w:p>
    <w:p w14:paraId="6C26F7F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仿宋" w:hAnsi="仿宋" w:eastAsia="仿宋" w:cs="仿宋"/>
          <w:color w:val="auto"/>
          <w:sz w:val="22"/>
          <w:szCs w:val="22"/>
        </w:rPr>
      </w:pPr>
      <w:r>
        <w:rPr>
          <w:rFonts w:hint="eastAsia" w:ascii="仿宋" w:hAnsi="仿宋" w:eastAsia="仿宋" w:cs="仿宋"/>
          <w:sz w:val="21"/>
          <w:szCs w:val="21"/>
          <w:highlight w:val="none"/>
        </w:rPr>
        <w:t>④污染事故、泄漏事故的处理方案（包括过程中发生危废泄露、环境污染或人员伤害等）。</w:t>
      </w:r>
    </w:p>
    <w:p w14:paraId="38A90465">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rPr>
      </w:pPr>
    </w:p>
    <w:p w14:paraId="68827662">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rPr>
      </w:pPr>
    </w:p>
    <w:p w14:paraId="234CDE9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rPr>
        <w:t xml:space="preserve"> </w:t>
      </w: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5C3FCE4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520" w:firstLineChars="16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043FCF5D">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sectPr>
      <w:headerReference r:id="rId5" w:type="default"/>
      <w:footerReference r:id="rId6" w:type="default"/>
      <w:pgSz w:w="11906" w:h="16838"/>
      <w:pgMar w:top="1240" w:right="946" w:bottom="1118" w:left="112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DC28F4-08A7-4C82-A37E-0165C0A34A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27B0F135-C7F2-4DB2-8DC6-93EC81439447}"/>
  </w:font>
  <w:font w:name="仿宋">
    <w:panose1 w:val="02010609060101010101"/>
    <w:charset w:val="86"/>
    <w:family w:val="auto"/>
    <w:pitch w:val="default"/>
    <w:sig w:usb0="800002BF" w:usb1="38CF7CFA" w:usb2="00000016" w:usb3="00000000" w:csb0="00040001" w:csb1="00000000"/>
    <w:embedRegular r:id="rId3" w:fontKey="{681336BB-ECA5-43BB-84B5-175202140A1F}"/>
  </w:font>
  <w:font w:name="微软雅黑">
    <w:panose1 w:val="020B0503020204020204"/>
    <w:charset w:val="86"/>
    <w:family w:val="auto"/>
    <w:pitch w:val="default"/>
    <w:sig w:usb0="80000287" w:usb1="2ACF3C50" w:usb2="00000016" w:usb3="00000000" w:csb0="0004001F" w:csb1="00000000"/>
    <w:embedRegular r:id="rId4" w:fontKey="{4DB3551B-866D-4C41-88A5-14107A527EC3}"/>
  </w:font>
  <w:font w:name="方正仿宋简体">
    <w:panose1 w:val="02000000000000000000"/>
    <w:charset w:val="86"/>
    <w:family w:val="auto"/>
    <w:pitch w:val="default"/>
    <w:sig w:usb0="A00002BF" w:usb1="184F6CFA" w:usb2="00000012" w:usb3="00000000" w:csb0="00040001" w:csb1="00000000"/>
    <w:embedRegular r:id="rId5" w:fontKey="{45B3B029-75FF-49DA-B924-9D04B343AC19}"/>
  </w:font>
  <w:font w:name="华文中宋">
    <w:panose1 w:val="02010600040101010101"/>
    <w:charset w:val="86"/>
    <w:family w:val="auto"/>
    <w:pitch w:val="default"/>
    <w:sig w:usb0="00000287" w:usb1="080F0000" w:usb2="00000000" w:usb3="00000000" w:csb0="0004009F" w:csb1="DFD70000"/>
    <w:embedRegular r:id="rId6" w:fontKey="{7B535E3D-5D2C-4683-9440-448B41D93F48}"/>
  </w:font>
  <w:font w:name="华文仿宋">
    <w:panose1 w:val="02010600040101010101"/>
    <w:charset w:val="86"/>
    <w:family w:val="auto"/>
    <w:pitch w:val="default"/>
    <w:sig w:usb0="00000287" w:usb1="080F0000" w:usb2="00000000" w:usb3="00000000" w:csb0="0004009F" w:csb1="DFD70000"/>
    <w:embedRegular r:id="rId7" w:fontKey="{56124AF2-5A93-4CE6-AD61-35D44145E176}"/>
  </w:font>
  <w:font w:name="Tahoma">
    <w:panose1 w:val="020B0604030504040204"/>
    <w:charset w:val="00"/>
    <w:family w:val="auto"/>
    <w:pitch w:val="default"/>
    <w:sig w:usb0="E1002EFF" w:usb1="C000605B" w:usb2="00000029" w:usb3="00000000" w:csb0="200101FF" w:csb1="20280000"/>
    <w:embedRegular r:id="rId8" w:fontKey="{DF7114B1-D167-4832-9550-D594F202142B}"/>
  </w:font>
  <w:font w:name="Calibri Light">
    <w:panose1 w:val="020F0302020204030204"/>
    <w:charset w:val="00"/>
    <w:family w:val="swiss"/>
    <w:pitch w:val="default"/>
    <w:sig w:usb0="E0002AFF" w:usb1="C000247B" w:usb2="00000009" w:usb3="00000000" w:csb0="200001FF" w:csb1="00000000"/>
    <w:embedRegular r:id="rId9" w:fontKey="{8A442B35-7C7B-4CC8-B12C-BCEB30F27A7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F6816">
    <w:pPr>
      <w:spacing w:line="212" w:lineRule="auto"/>
      <w:rPr>
        <w:rFonts w:ascii="Tahoma" w:hAnsi="Tahoma" w:eastAsia="Tahoma" w:cs="Tahom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55E14">
    <w:pPr>
      <w:pStyle w:val="15"/>
      <w:rPr>
        <w:rFonts w:hint="eastAsia"/>
        <w:sz w:val="18"/>
        <w:szCs w:val="24"/>
      </w:rPr>
    </w:pPr>
  </w:p>
  <w:p w14:paraId="4B963839">
    <w:pPr>
      <w:pStyle w:val="15"/>
      <w:rPr>
        <w:rFonts w:hint="eastAsia"/>
        <w:sz w:val="18"/>
        <w:szCs w:val="24"/>
      </w:rPr>
    </w:pPr>
    <w:r>
      <w:rPr>
        <w:rFonts w:hint="default" w:eastAsia="宋体"/>
        <w:sz w:val="18"/>
        <w:szCs w:val="24"/>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0438884">
                          <w:pPr>
                            <w:pStyle w:val="15"/>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52</w:t>
                          </w:r>
                          <w:r>
                            <w:rPr>
                              <w:rFonts w:hint="eastAsia"/>
                              <w:sz w:val="18"/>
                              <w:szCs w:val="24"/>
                            </w:rPr>
                            <w:t xml:space="preserve"> 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dblS0AAAAAUBAAAPAAAAAAAAAAEAIAAAACIAAABkcnMvZG93&#10;bnJldi54bWxQSwECFAAUAAAACACHTuJAm2K4788BAACbAwAADgAAAAAAAAABACAAAAAfAQAAZHJz&#10;L2Uyb0RvYy54bWxQSwUGAAAAAAYABgBZAQAAYAUAAAAA&#10;">
              <v:fill on="f" focussize="0,0"/>
              <v:stroke on="f"/>
              <v:imagedata o:title=""/>
              <o:lock v:ext="edit" aspectratio="f"/>
              <v:textbox inset="0mm,0mm,0mm,0mm" style="mso-fit-shape-to-text:t;">
                <w:txbxContent>
                  <w:p w14:paraId="50438884">
                    <w:pPr>
                      <w:pStyle w:val="15"/>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52</w:t>
                    </w:r>
                    <w:r>
                      <w:rPr>
                        <w:rFonts w:hint="eastAsia"/>
                        <w:sz w:val="18"/>
                        <w:szCs w:val="24"/>
                      </w:rP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32E30">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E94C1">
    <w:pPr>
      <w:pStyle w:val="16"/>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B8249"/>
    <w:multiLevelType w:val="singleLevel"/>
    <w:tmpl w:val="941B8249"/>
    <w:lvl w:ilvl="0" w:tentative="0">
      <w:start w:val="6"/>
      <w:numFmt w:val="decimal"/>
      <w:suff w:val="nothing"/>
      <w:lvlText w:val="%1、"/>
      <w:lvlJc w:val="left"/>
    </w:lvl>
  </w:abstractNum>
  <w:abstractNum w:abstractNumId="1">
    <w:nsid w:val="C4FB5A93"/>
    <w:multiLevelType w:val="singleLevel"/>
    <w:tmpl w:val="C4FB5A93"/>
    <w:lvl w:ilvl="0" w:tentative="0">
      <w:start w:val="1"/>
      <w:numFmt w:val="decimal"/>
      <w:suff w:val="nothing"/>
      <w:lvlText w:val="%1．"/>
      <w:lvlJc w:val="left"/>
      <w:pPr>
        <w:ind w:left="0" w:firstLine="400"/>
      </w:pPr>
      <w:rPr>
        <w:rFonts w:hint="default"/>
      </w:rPr>
    </w:lvl>
  </w:abstractNum>
  <w:abstractNum w:abstractNumId="2">
    <w:nsid w:val="E46C62B0"/>
    <w:multiLevelType w:val="singleLevel"/>
    <w:tmpl w:val="E46C62B0"/>
    <w:lvl w:ilvl="0" w:tentative="0">
      <w:start w:val="1"/>
      <w:numFmt w:val="decimal"/>
      <w:suff w:val="nothing"/>
      <w:lvlText w:val="%1．"/>
      <w:lvlJc w:val="left"/>
      <w:pPr>
        <w:ind w:left="0" w:firstLine="400"/>
      </w:pPr>
      <w:rPr>
        <w:rFonts w:hint="default"/>
      </w:rPr>
    </w:lvl>
  </w:abstractNum>
  <w:abstractNum w:abstractNumId="3">
    <w:nsid w:val="FD7557E0"/>
    <w:multiLevelType w:val="singleLevel"/>
    <w:tmpl w:val="FD7557E0"/>
    <w:lvl w:ilvl="0" w:tentative="0">
      <w:start w:val="1"/>
      <w:numFmt w:val="decimal"/>
      <w:lvlText w:val="%1."/>
      <w:lvlJc w:val="left"/>
      <w:pPr>
        <w:tabs>
          <w:tab w:val="left" w:pos="312"/>
        </w:tabs>
      </w:pPr>
    </w:lvl>
  </w:abstractNum>
  <w:abstractNum w:abstractNumId="4">
    <w:nsid w:val="00000000"/>
    <w:multiLevelType w:val="singleLevel"/>
    <w:tmpl w:val="00000000"/>
    <w:lvl w:ilvl="0" w:tentative="0">
      <w:start w:val="1"/>
      <w:numFmt w:val="chineseCounting"/>
      <w:suff w:val="nothing"/>
      <w:lvlText w:val="%1、"/>
      <w:lvlJc w:val="left"/>
      <w:rPr>
        <w:rFonts w:hint="eastAsia"/>
      </w:rPr>
    </w:lvl>
  </w:abstractNum>
  <w:abstractNum w:abstractNumId="5">
    <w:nsid w:val="00000001"/>
    <w:multiLevelType w:val="singleLevel"/>
    <w:tmpl w:val="00000001"/>
    <w:lvl w:ilvl="0" w:tentative="0">
      <w:start w:val="2"/>
      <w:numFmt w:val="decimal"/>
      <w:lvlText w:val="%1."/>
      <w:lvlJc w:val="left"/>
      <w:pPr>
        <w:tabs>
          <w:tab w:val="left" w:pos="312"/>
        </w:tabs>
      </w:pPr>
    </w:lvl>
  </w:abstractNum>
  <w:abstractNum w:abstractNumId="6">
    <w:nsid w:val="00000003"/>
    <w:multiLevelType w:val="singleLevel"/>
    <w:tmpl w:val="00000003"/>
    <w:lvl w:ilvl="0" w:tentative="0">
      <w:start w:val="4"/>
      <w:numFmt w:val="decimal"/>
      <w:suff w:val="nothing"/>
      <w:lvlText w:val="（%1）"/>
      <w:lvlJc w:val="left"/>
    </w:lvl>
  </w:abstractNum>
  <w:abstractNum w:abstractNumId="7">
    <w:nsid w:val="00000004"/>
    <w:multiLevelType w:val="singleLevel"/>
    <w:tmpl w:val="00000004"/>
    <w:lvl w:ilvl="0" w:tentative="0">
      <w:start w:val="1"/>
      <w:numFmt w:val="decimal"/>
      <w:suff w:val="nothing"/>
      <w:lvlText w:val="%1、"/>
      <w:lvlJc w:val="left"/>
    </w:lvl>
  </w:abstractNum>
  <w:abstractNum w:abstractNumId="8">
    <w:nsid w:val="00000005"/>
    <w:multiLevelType w:val="multilevel"/>
    <w:tmpl w:val="00000005"/>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9">
    <w:nsid w:val="00000006"/>
    <w:multiLevelType w:val="singleLevel"/>
    <w:tmpl w:val="00000006"/>
    <w:lvl w:ilvl="0" w:tentative="0">
      <w:start w:val="5"/>
      <w:numFmt w:val="chineseCounting"/>
      <w:suff w:val="nothing"/>
      <w:lvlText w:val="（%1）"/>
      <w:lvlJc w:val="left"/>
      <w:rPr>
        <w:rFonts w:hint="eastAsia"/>
      </w:rPr>
    </w:lvl>
  </w:abstractNum>
  <w:abstractNum w:abstractNumId="10">
    <w:nsid w:val="00000007"/>
    <w:multiLevelType w:val="singleLevel"/>
    <w:tmpl w:val="00000007"/>
    <w:lvl w:ilvl="0" w:tentative="0">
      <w:start w:val="1"/>
      <w:numFmt w:val="decimal"/>
      <w:lvlText w:val="(%1)"/>
      <w:lvlJc w:val="left"/>
      <w:pPr>
        <w:ind w:left="425" w:hanging="425"/>
      </w:pPr>
      <w:rPr>
        <w:rFonts w:hint="default"/>
      </w:rPr>
    </w:lvl>
  </w:abstractNum>
  <w:abstractNum w:abstractNumId="11">
    <w:nsid w:val="00000008"/>
    <w:multiLevelType w:val="multilevel"/>
    <w:tmpl w:val="00000008"/>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2">
    <w:nsid w:val="00000009"/>
    <w:multiLevelType w:val="singleLevel"/>
    <w:tmpl w:val="00000009"/>
    <w:lvl w:ilvl="0" w:tentative="0">
      <w:start w:val="1"/>
      <w:numFmt w:val="chineseCounting"/>
      <w:suff w:val="nothing"/>
      <w:lvlText w:val="%1、"/>
      <w:lvlJc w:val="left"/>
      <w:rPr>
        <w:rFonts w:hint="eastAsia"/>
      </w:rPr>
    </w:lvl>
  </w:abstractNum>
  <w:abstractNum w:abstractNumId="13">
    <w:nsid w:val="0000000A"/>
    <w:multiLevelType w:val="singleLevel"/>
    <w:tmpl w:val="0000000A"/>
    <w:lvl w:ilvl="0" w:tentative="0">
      <w:start w:val="1"/>
      <w:numFmt w:val="decimal"/>
      <w:suff w:val="nothing"/>
      <w:lvlText w:val="%1．"/>
      <w:lvlJc w:val="left"/>
      <w:pPr>
        <w:ind w:left="0" w:firstLine="400"/>
      </w:pPr>
      <w:rPr>
        <w:rFonts w:hint="default"/>
      </w:rPr>
    </w:lvl>
  </w:abstractNum>
  <w:abstractNum w:abstractNumId="14">
    <w:nsid w:val="0A081DE6"/>
    <w:multiLevelType w:val="singleLevel"/>
    <w:tmpl w:val="0A081DE6"/>
    <w:lvl w:ilvl="0" w:tentative="0">
      <w:start w:val="5"/>
      <w:numFmt w:val="decimal"/>
      <w:suff w:val="nothing"/>
      <w:lvlText w:val="%1、"/>
      <w:lvlJc w:val="left"/>
    </w:lvl>
  </w:abstractNum>
  <w:abstractNum w:abstractNumId="15">
    <w:nsid w:val="69B4CBAE"/>
    <w:multiLevelType w:val="singleLevel"/>
    <w:tmpl w:val="69B4CBAE"/>
    <w:lvl w:ilvl="0" w:tentative="0">
      <w:start w:val="1"/>
      <w:numFmt w:val="decimal"/>
      <w:suff w:val="nothing"/>
      <w:lvlText w:val="%1．"/>
      <w:lvlJc w:val="left"/>
      <w:pPr>
        <w:ind w:left="0" w:firstLine="400"/>
      </w:pPr>
      <w:rPr>
        <w:rFonts w:hint="default"/>
      </w:rPr>
    </w:lvl>
  </w:abstractNum>
  <w:abstractNum w:abstractNumId="16">
    <w:nsid w:val="7EA94121"/>
    <w:multiLevelType w:val="singleLevel"/>
    <w:tmpl w:val="7EA94121"/>
    <w:lvl w:ilvl="0" w:tentative="0">
      <w:start w:val="1"/>
      <w:numFmt w:val="decimal"/>
      <w:suff w:val="nothing"/>
      <w:lvlText w:val="%1．"/>
      <w:lvlJc w:val="left"/>
      <w:pPr>
        <w:ind w:left="0" w:firstLine="400"/>
      </w:pPr>
      <w:rPr>
        <w:rFonts w:hint="default"/>
      </w:rPr>
    </w:lvl>
  </w:abstractNum>
  <w:num w:numId="1">
    <w:abstractNumId w:val="12"/>
  </w:num>
  <w:num w:numId="2">
    <w:abstractNumId w:val="13"/>
  </w:num>
  <w:num w:numId="3">
    <w:abstractNumId w:val="4"/>
  </w:num>
  <w:num w:numId="4">
    <w:abstractNumId w:val="15"/>
  </w:num>
  <w:num w:numId="5">
    <w:abstractNumId w:val="1"/>
  </w:num>
  <w:num w:numId="6">
    <w:abstractNumId w:val="5"/>
  </w:num>
  <w:num w:numId="7">
    <w:abstractNumId w:val="8"/>
  </w:num>
  <w:num w:numId="8">
    <w:abstractNumId w:val="11"/>
  </w:num>
  <w:num w:numId="9">
    <w:abstractNumId w:val="9"/>
  </w:num>
  <w:num w:numId="10">
    <w:abstractNumId w:val="6"/>
  </w:num>
  <w:num w:numId="11">
    <w:abstractNumId w:val="10"/>
  </w:num>
  <w:num w:numId="12">
    <w:abstractNumId w:val="16"/>
  </w:num>
  <w:num w:numId="13">
    <w:abstractNumId w:val="7"/>
  </w:num>
  <w:num w:numId="14">
    <w:abstractNumId w:val="14"/>
  </w:num>
  <w:num w:numId="15">
    <w:abstractNumId w:val="0"/>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172A27"/>
    <w:rsid w:val="001A77EC"/>
    <w:rsid w:val="00F27441"/>
    <w:rsid w:val="02863742"/>
    <w:rsid w:val="03554899"/>
    <w:rsid w:val="03EA43FF"/>
    <w:rsid w:val="044B421A"/>
    <w:rsid w:val="045F2747"/>
    <w:rsid w:val="049A4077"/>
    <w:rsid w:val="0538688C"/>
    <w:rsid w:val="05C15176"/>
    <w:rsid w:val="068678D2"/>
    <w:rsid w:val="075E00D0"/>
    <w:rsid w:val="07C07152"/>
    <w:rsid w:val="08031F33"/>
    <w:rsid w:val="094E2585"/>
    <w:rsid w:val="09C6146A"/>
    <w:rsid w:val="09D50AC2"/>
    <w:rsid w:val="0AB063A2"/>
    <w:rsid w:val="0AEC01AE"/>
    <w:rsid w:val="0B065FC2"/>
    <w:rsid w:val="0B444D3D"/>
    <w:rsid w:val="0BBA6DAD"/>
    <w:rsid w:val="0C10659B"/>
    <w:rsid w:val="0C20617F"/>
    <w:rsid w:val="0CEE4F60"/>
    <w:rsid w:val="0D674D12"/>
    <w:rsid w:val="0D967628"/>
    <w:rsid w:val="0DAE5C3E"/>
    <w:rsid w:val="0DBB06FF"/>
    <w:rsid w:val="0F68198A"/>
    <w:rsid w:val="0FDF3286"/>
    <w:rsid w:val="0FFE370C"/>
    <w:rsid w:val="118A0054"/>
    <w:rsid w:val="126F6B43"/>
    <w:rsid w:val="12972723"/>
    <w:rsid w:val="12F8785F"/>
    <w:rsid w:val="135E4402"/>
    <w:rsid w:val="142462D1"/>
    <w:rsid w:val="14803D02"/>
    <w:rsid w:val="149411FE"/>
    <w:rsid w:val="14977C8B"/>
    <w:rsid w:val="14F72197"/>
    <w:rsid w:val="19143034"/>
    <w:rsid w:val="19A16899"/>
    <w:rsid w:val="1ADE17DA"/>
    <w:rsid w:val="1B6E1F8B"/>
    <w:rsid w:val="1D517F9B"/>
    <w:rsid w:val="1DD26459"/>
    <w:rsid w:val="1F053ABF"/>
    <w:rsid w:val="20A35C0A"/>
    <w:rsid w:val="21814378"/>
    <w:rsid w:val="223A031A"/>
    <w:rsid w:val="22D86E65"/>
    <w:rsid w:val="23740CC6"/>
    <w:rsid w:val="23B4003D"/>
    <w:rsid w:val="25066228"/>
    <w:rsid w:val="2551032A"/>
    <w:rsid w:val="25CB3C39"/>
    <w:rsid w:val="25FC618A"/>
    <w:rsid w:val="263B7010"/>
    <w:rsid w:val="26E606A8"/>
    <w:rsid w:val="28497097"/>
    <w:rsid w:val="28AD3ACA"/>
    <w:rsid w:val="295126A7"/>
    <w:rsid w:val="29AB7E6A"/>
    <w:rsid w:val="2A385615"/>
    <w:rsid w:val="2B214250"/>
    <w:rsid w:val="2C0734F1"/>
    <w:rsid w:val="2D6C114A"/>
    <w:rsid w:val="2D806496"/>
    <w:rsid w:val="2E1A1DF7"/>
    <w:rsid w:val="2E4E18AB"/>
    <w:rsid w:val="30BB4A5C"/>
    <w:rsid w:val="3150593A"/>
    <w:rsid w:val="333A4076"/>
    <w:rsid w:val="33CE2DE1"/>
    <w:rsid w:val="341E6BA4"/>
    <w:rsid w:val="34E90DD3"/>
    <w:rsid w:val="3551526D"/>
    <w:rsid w:val="35BE4460"/>
    <w:rsid w:val="3664498E"/>
    <w:rsid w:val="37135440"/>
    <w:rsid w:val="373F4E47"/>
    <w:rsid w:val="38964FE5"/>
    <w:rsid w:val="39024CA6"/>
    <w:rsid w:val="39750149"/>
    <w:rsid w:val="39FC4F8E"/>
    <w:rsid w:val="3AD57AD7"/>
    <w:rsid w:val="3AF37B81"/>
    <w:rsid w:val="3B2F65C0"/>
    <w:rsid w:val="3BBB5DFA"/>
    <w:rsid w:val="3C530F3B"/>
    <w:rsid w:val="3C9C3E85"/>
    <w:rsid w:val="3CBC1403"/>
    <w:rsid w:val="3D092683"/>
    <w:rsid w:val="3E2972F7"/>
    <w:rsid w:val="3E964ABE"/>
    <w:rsid w:val="40ED6414"/>
    <w:rsid w:val="416F3BBA"/>
    <w:rsid w:val="44D04970"/>
    <w:rsid w:val="46B650D0"/>
    <w:rsid w:val="488F0DE5"/>
    <w:rsid w:val="4953791E"/>
    <w:rsid w:val="4B6E2867"/>
    <w:rsid w:val="4C5E4611"/>
    <w:rsid w:val="4C8107A0"/>
    <w:rsid w:val="4CB93F3C"/>
    <w:rsid w:val="4D3B2BA3"/>
    <w:rsid w:val="4D73449A"/>
    <w:rsid w:val="4DAD3AA0"/>
    <w:rsid w:val="4E52289A"/>
    <w:rsid w:val="4EF83441"/>
    <w:rsid w:val="4F3E7FC5"/>
    <w:rsid w:val="4F8E395E"/>
    <w:rsid w:val="4F9754E8"/>
    <w:rsid w:val="4FC155E1"/>
    <w:rsid w:val="512C52DC"/>
    <w:rsid w:val="519F6438"/>
    <w:rsid w:val="52A95DA2"/>
    <w:rsid w:val="52C03296"/>
    <w:rsid w:val="53815479"/>
    <w:rsid w:val="54063F0A"/>
    <w:rsid w:val="54A13C33"/>
    <w:rsid w:val="573E6EC5"/>
    <w:rsid w:val="57550741"/>
    <w:rsid w:val="5764137E"/>
    <w:rsid w:val="58160494"/>
    <w:rsid w:val="59875ACC"/>
    <w:rsid w:val="59D72CEF"/>
    <w:rsid w:val="5A6F20DD"/>
    <w:rsid w:val="5CCB7A9F"/>
    <w:rsid w:val="5CE045E7"/>
    <w:rsid w:val="5D3430F6"/>
    <w:rsid w:val="5D501232"/>
    <w:rsid w:val="5DC21AEF"/>
    <w:rsid w:val="5DC32E6C"/>
    <w:rsid w:val="5E447075"/>
    <w:rsid w:val="5EE17A4E"/>
    <w:rsid w:val="60924A0D"/>
    <w:rsid w:val="60B371C8"/>
    <w:rsid w:val="61771996"/>
    <w:rsid w:val="61B27C11"/>
    <w:rsid w:val="62EB2DF9"/>
    <w:rsid w:val="63654488"/>
    <w:rsid w:val="646F1F9F"/>
    <w:rsid w:val="64D03DBB"/>
    <w:rsid w:val="663E5786"/>
    <w:rsid w:val="670047E9"/>
    <w:rsid w:val="675B7FBE"/>
    <w:rsid w:val="680B501F"/>
    <w:rsid w:val="68E32614"/>
    <w:rsid w:val="6BAA1317"/>
    <w:rsid w:val="6D082649"/>
    <w:rsid w:val="6D3D2C47"/>
    <w:rsid w:val="6E0C7B11"/>
    <w:rsid w:val="7146339C"/>
    <w:rsid w:val="717165A8"/>
    <w:rsid w:val="72C7218E"/>
    <w:rsid w:val="73612AB3"/>
    <w:rsid w:val="73F16D7B"/>
    <w:rsid w:val="74D06CEB"/>
    <w:rsid w:val="74F61755"/>
    <w:rsid w:val="75243D99"/>
    <w:rsid w:val="75D52493"/>
    <w:rsid w:val="76632274"/>
    <w:rsid w:val="767F2092"/>
    <w:rsid w:val="771D33A0"/>
    <w:rsid w:val="77446E29"/>
    <w:rsid w:val="776F449C"/>
    <w:rsid w:val="779A31F2"/>
    <w:rsid w:val="780B56E4"/>
    <w:rsid w:val="78F817C4"/>
    <w:rsid w:val="79E72BDC"/>
    <w:rsid w:val="79FA156C"/>
    <w:rsid w:val="7A1268B5"/>
    <w:rsid w:val="7A17211E"/>
    <w:rsid w:val="7B4609B1"/>
    <w:rsid w:val="7BB120FE"/>
    <w:rsid w:val="7BF2699E"/>
    <w:rsid w:val="7D6438CC"/>
    <w:rsid w:val="7D9E45FE"/>
    <w:rsid w:val="7FB021A3"/>
    <w:rsid w:val="7FFB6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autoRedefine/>
    <w:qFormat/>
    <w:uiPriority w:val="9"/>
    <w:pPr>
      <w:tabs>
        <w:tab w:val="left" w:pos="851"/>
      </w:tabs>
      <w:autoSpaceDE w:val="0"/>
      <w:autoSpaceDN w:val="0"/>
      <w:adjustRightInd w:val="0"/>
      <w:snapToGrid w:val="0"/>
      <w:spacing w:line="360" w:lineRule="auto"/>
      <w:outlineLvl w:val="2"/>
    </w:pPr>
    <w:rPr>
      <w:rFonts w:ascii="宋体" w:cs="宋体"/>
    </w:rPr>
  </w:style>
  <w:style w:type="character" w:default="1" w:styleId="25">
    <w:name w:val="Default Paragraph Font"/>
    <w:autoRedefine/>
    <w:qFormat/>
    <w:uiPriority w:val="0"/>
  </w:style>
  <w:style w:type="table" w:default="1" w:styleId="23">
    <w:name w:val="Normal Table"/>
    <w:autoRedefin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index 8"/>
    <w:next w:val="1"/>
    <w:autoRedefine/>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6">
    <w:name w:val="Normal Indent"/>
    <w:basedOn w:val="1"/>
    <w:next w:val="7"/>
    <w:autoRedefine/>
    <w:qFormat/>
    <w:uiPriority w:val="99"/>
    <w:pPr>
      <w:ind w:firstLine="420"/>
    </w:pPr>
    <w:rPr>
      <w:rFonts w:ascii="Calibri" w:hAnsi="Calibri"/>
      <w:sz w:val="20"/>
      <w:szCs w:val="20"/>
    </w:rPr>
  </w:style>
  <w:style w:type="paragraph" w:styleId="7">
    <w:name w:val="Body Text"/>
    <w:basedOn w:val="1"/>
    <w:next w:val="8"/>
    <w:autoRedefine/>
    <w:qFormat/>
    <w:uiPriority w:val="0"/>
    <w:rPr>
      <w:sz w:val="24"/>
    </w:rPr>
  </w:style>
  <w:style w:type="paragraph" w:customStyle="1" w:styleId="8">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9">
    <w:name w:val="caption"/>
    <w:basedOn w:val="1"/>
    <w:next w:val="1"/>
    <w:autoRedefine/>
    <w:qFormat/>
    <w:uiPriority w:val="99"/>
    <w:rPr>
      <w:rFonts w:ascii="Arial" w:hAnsi="Arial" w:eastAsia="黑体" w:cs="Arial"/>
      <w:sz w:val="20"/>
      <w:szCs w:val="20"/>
    </w:rPr>
  </w:style>
  <w:style w:type="paragraph" w:styleId="10">
    <w:name w:val="annotation text"/>
    <w:basedOn w:val="1"/>
    <w:autoRedefine/>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rPr>
  </w:style>
  <w:style w:type="paragraph" w:styleId="11">
    <w:name w:val="Body Text 3"/>
    <w:basedOn w:val="1"/>
    <w:autoRedefine/>
    <w:qFormat/>
    <w:uiPriority w:val="99"/>
    <w:pPr>
      <w:spacing w:after="120"/>
    </w:pPr>
    <w:rPr>
      <w:sz w:val="16"/>
      <w:szCs w:val="16"/>
    </w:rPr>
  </w:style>
  <w:style w:type="paragraph" w:styleId="12">
    <w:name w:val="Body Text Indent"/>
    <w:basedOn w:val="1"/>
    <w:autoRedefine/>
    <w:qFormat/>
    <w:uiPriority w:val="0"/>
    <w:pPr>
      <w:ind w:firstLine="570"/>
    </w:pPr>
    <w:rPr>
      <w:rFonts w:ascii="宋体" w:hAnsi="宋体"/>
      <w:sz w:val="28"/>
      <w:szCs w:val="20"/>
    </w:rPr>
  </w:style>
  <w:style w:type="paragraph" w:styleId="13">
    <w:name w:val="Plain Text"/>
    <w:basedOn w:val="1"/>
    <w:autoRedefine/>
    <w:qFormat/>
    <w:uiPriority w:val="0"/>
    <w:rPr>
      <w:rFonts w:ascii="宋体" w:hAnsi="Courier New"/>
      <w:szCs w:val="20"/>
    </w:rPr>
  </w:style>
  <w:style w:type="paragraph" w:styleId="14">
    <w:name w:val="Date"/>
    <w:basedOn w:val="1"/>
    <w:next w:val="1"/>
    <w:autoRedefine/>
    <w:qFormat/>
    <w:uiPriority w:val="0"/>
    <w:pPr>
      <w:autoSpaceDE w:val="0"/>
      <w:autoSpaceDN w:val="0"/>
      <w:adjustRightInd w:val="0"/>
      <w:textAlignment w:val="baseline"/>
    </w:pPr>
    <w:rPr>
      <w:rFonts w:ascii="宋体"/>
      <w:kern w:val="0"/>
      <w:sz w:val="28"/>
      <w:szCs w:val="20"/>
    </w:rPr>
  </w:style>
  <w:style w:type="paragraph" w:styleId="15">
    <w:name w:val="footer"/>
    <w:basedOn w:val="1"/>
    <w:next w:val="1"/>
    <w:autoRedefine/>
    <w:qFormat/>
    <w:uiPriority w:val="0"/>
    <w:pPr>
      <w:tabs>
        <w:tab w:val="center" w:pos="4153"/>
        <w:tab w:val="right" w:pos="8306"/>
      </w:tabs>
      <w:snapToGrid w:val="0"/>
      <w:jc w:val="left"/>
    </w:pPr>
    <w:rPr>
      <w:sz w:val="18"/>
    </w:rPr>
  </w:style>
  <w:style w:type="paragraph" w:styleId="1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autoRedefine/>
    <w:qFormat/>
    <w:uiPriority w:val="39"/>
    <w:pPr>
      <w:tabs>
        <w:tab w:val="left" w:pos="1050"/>
        <w:tab w:val="right" w:leader="middleDot" w:pos="9232"/>
      </w:tabs>
      <w:spacing w:before="120" w:after="120" w:line="360" w:lineRule="auto"/>
      <w:jc w:val="left"/>
    </w:pPr>
    <w:rPr>
      <w:rFonts w:ascii="黑体" w:eastAsia="黑体"/>
    </w:rPr>
  </w:style>
  <w:style w:type="paragraph" w:styleId="18">
    <w:name w:val="toc 2"/>
    <w:basedOn w:val="1"/>
    <w:next w:val="1"/>
    <w:autoRedefine/>
    <w:qFormat/>
    <w:uiPriority w:val="39"/>
    <w:pPr>
      <w:tabs>
        <w:tab w:val="right" w:leader="dot" w:pos="8296"/>
      </w:tabs>
      <w:ind w:left="420" w:leftChars="200"/>
    </w:pPr>
  </w:style>
  <w:style w:type="paragraph" w:styleId="19">
    <w:name w:val="Body Text 2"/>
    <w:basedOn w:val="1"/>
    <w:autoRedefine/>
    <w:qFormat/>
    <w:uiPriority w:val="0"/>
    <w:pPr>
      <w:spacing w:line="360" w:lineRule="auto"/>
    </w:pPr>
    <w:rPr>
      <w:rFonts w:ascii="宋体" w:hAnsi="宋体"/>
      <w:color w:val="000000"/>
      <w:sz w:val="24"/>
      <w:szCs w:val="20"/>
    </w:rPr>
  </w:style>
  <w:style w:type="paragraph" w:styleId="20">
    <w:name w:val="Normal (Web)"/>
    <w:basedOn w:val="1"/>
    <w:autoRedefine/>
    <w:qFormat/>
    <w:uiPriority w:val="0"/>
    <w:pPr>
      <w:spacing w:before="0" w:beforeAutospacing="1" w:after="0" w:afterAutospacing="1"/>
      <w:ind w:left="0" w:right="0"/>
      <w:jc w:val="left"/>
    </w:pPr>
    <w:rPr>
      <w:kern w:val="0"/>
      <w:sz w:val="24"/>
      <w:lang w:val="en-US" w:eastAsia="zh-CN"/>
    </w:rPr>
  </w:style>
  <w:style w:type="paragraph" w:styleId="21">
    <w:name w:val="Title"/>
    <w:basedOn w:val="1"/>
    <w:next w:val="1"/>
    <w:autoRedefine/>
    <w:qFormat/>
    <w:uiPriority w:val="0"/>
    <w:pPr>
      <w:spacing w:before="240" w:after="60" w:line="276" w:lineRule="auto"/>
      <w:jc w:val="center"/>
      <w:outlineLvl w:val="0"/>
    </w:pPr>
    <w:rPr>
      <w:rFonts w:ascii="Cambria" w:hAnsi="Cambria"/>
      <w:b/>
      <w:bCs/>
      <w:sz w:val="32"/>
      <w:szCs w:val="32"/>
    </w:rPr>
  </w:style>
  <w:style w:type="paragraph" w:styleId="22">
    <w:name w:val="Body Text First Indent"/>
    <w:basedOn w:val="7"/>
    <w:autoRedefine/>
    <w:qFormat/>
    <w:uiPriority w:val="99"/>
    <w:pPr>
      <w:spacing w:after="120"/>
      <w:ind w:firstLine="420" w:firstLineChars="100"/>
    </w:pPr>
    <w:rPr>
      <w:sz w:val="21"/>
    </w:rPr>
  </w:style>
  <w:style w:type="table" w:styleId="24">
    <w:name w:val="Table Grid"/>
    <w:basedOn w:val="2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autoRedefine/>
    <w:qFormat/>
    <w:uiPriority w:val="0"/>
    <w:rPr>
      <w:b/>
    </w:rPr>
  </w:style>
  <w:style w:type="character" w:styleId="27">
    <w:name w:val="Hyperlink"/>
    <w:autoRedefine/>
    <w:qFormat/>
    <w:uiPriority w:val="99"/>
    <w:rPr>
      <w:color w:val="0000FF"/>
      <w:u w:val="single"/>
    </w:rPr>
  </w:style>
  <w:style w:type="paragraph" w:customStyle="1" w:styleId="28">
    <w:name w:val="表格文字"/>
    <w:basedOn w:val="29"/>
    <w:autoRedefine/>
    <w:qFormat/>
    <w:uiPriority w:val="0"/>
    <w:pPr>
      <w:spacing w:before="25" w:after="25"/>
      <w:jc w:val="left"/>
    </w:pPr>
    <w:rPr>
      <w:bCs/>
      <w:spacing w:val="10"/>
      <w:kern w:val="0"/>
      <w:sz w:val="24"/>
      <w:szCs w:val="20"/>
    </w:rPr>
  </w:style>
  <w:style w:type="paragraph" w:customStyle="1" w:styleId="29">
    <w:name w:val="表格文字（两侧对齐）"/>
    <w:basedOn w:val="1"/>
    <w:autoRedefine/>
    <w:qFormat/>
    <w:uiPriority w:val="0"/>
    <w:pPr>
      <w:snapToGrid w:val="0"/>
    </w:pPr>
    <w:rPr>
      <w:kern w:val="0"/>
      <w:sz w:val="20"/>
    </w:rPr>
  </w:style>
  <w:style w:type="paragraph" w:customStyle="1" w:styleId="30">
    <w:name w:val="_Style 3"/>
    <w:basedOn w:val="1"/>
    <w:autoRedefine/>
    <w:qFormat/>
    <w:uiPriority w:val="0"/>
    <w:pPr>
      <w:ind w:firstLine="420" w:firstLineChars="200"/>
    </w:pPr>
    <w:rPr>
      <w:sz w:val="20"/>
    </w:rPr>
  </w:style>
  <w:style w:type="paragraph" w:customStyle="1" w:styleId="31">
    <w:name w:val="正文缩进1"/>
    <w:basedOn w:val="32"/>
    <w:next w:val="8"/>
    <w:autoRedefine/>
    <w:qFormat/>
    <w:uiPriority w:val="0"/>
    <w:pPr>
      <w:widowControl/>
      <w:ind w:firstLine="420"/>
      <w:jc w:val="left"/>
    </w:pPr>
    <w:rPr>
      <w:rFonts w:ascii="Calibri" w:hAnsi="Calibri"/>
      <w:kern w:val="0"/>
    </w:rPr>
  </w:style>
  <w:style w:type="paragraph" w:customStyle="1" w:styleId="32">
    <w:name w:val="正文_2"/>
    <w:next w:val="31"/>
    <w:autoRedefine/>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3">
    <w:name w:val="font01"/>
    <w:autoRedefine/>
    <w:qFormat/>
    <w:uiPriority w:val="0"/>
    <w:rPr>
      <w:rFonts w:hint="eastAsia" w:ascii="宋体" w:hAnsi="宋体" w:eastAsia="宋体" w:cs="宋体"/>
      <w:color w:val="0000FF"/>
      <w:sz w:val="22"/>
      <w:szCs w:val="22"/>
      <w:u w:val="none"/>
    </w:rPr>
  </w:style>
  <w:style w:type="paragraph" w:customStyle="1" w:styleId="34">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35">
    <w:name w:val="Table Paragraph"/>
    <w:basedOn w:val="1"/>
    <w:autoRedefine/>
    <w:qFormat/>
    <w:uiPriority w:val="1"/>
    <w:rPr>
      <w:rFonts w:ascii="宋体" w:hAnsi="宋体" w:eastAsia="宋体" w:cs="宋体"/>
      <w:lang w:val="zh-CN" w:eastAsia="zh-CN" w:bidi="zh-CN"/>
    </w:rPr>
  </w:style>
  <w:style w:type="paragraph" w:styleId="36">
    <w:name w:val="List Paragraph"/>
    <w:basedOn w:val="1"/>
    <w:autoRedefine/>
    <w:qFormat/>
    <w:uiPriority w:val="34"/>
    <w:pPr>
      <w:widowControl/>
      <w:ind w:firstLine="420" w:firstLineChars="200"/>
      <w:jc w:val="left"/>
    </w:pPr>
    <w:rPr>
      <w:kern w:val="0"/>
      <w:sz w:val="20"/>
      <w:szCs w:val="20"/>
    </w:rPr>
  </w:style>
  <w:style w:type="paragraph" w:customStyle="1" w:styleId="37">
    <w:name w:val="font5"/>
    <w:basedOn w:val="1"/>
    <w:autoRedefine/>
    <w:qFormat/>
    <w:uiPriority w:val="0"/>
    <w:pPr>
      <w:widowControl/>
      <w:spacing w:before="100" w:beforeAutospacing="1" w:after="100" w:afterAutospacing="1"/>
      <w:jc w:val="left"/>
    </w:pPr>
    <w:rPr>
      <w:rFonts w:ascii="宋体" w:hAnsi="宋体"/>
      <w:kern w:val="0"/>
      <w:sz w:val="18"/>
      <w:szCs w:val="18"/>
    </w:rPr>
  </w:style>
  <w:style w:type="character" w:customStyle="1" w:styleId="38">
    <w:name w:val="font11"/>
    <w:basedOn w:val="25"/>
    <w:autoRedefine/>
    <w:qFormat/>
    <w:uiPriority w:val="0"/>
    <w:rPr>
      <w:rFonts w:hint="eastAsia" w:ascii="宋体" w:hAnsi="宋体" w:eastAsia="宋体" w:cs="宋体"/>
      <w:color w:val="000000"/>
      <w:sz w:val="21"/>
      <w:szCs w:val="21"/>
      <w:u w:val="none"/>
    </w:rPr>
  </w:style>
  <w:style w:type="character" w:customStyle="1" w:styleId="39">
    <w:name w:val="font21"/>
    <w:basedOn w:val="25"/>
    <w:autoRedefine/>
    <w:qFormat/>
    <w:uiPriority w:val="0"/>
    <w:rPr>
      <w:rFonts w:hint="eastAsia" w:ascii="宋体" w:hAnsi="宋体" w:eastAsia="宋体" w:cs="宋体"/>
      <w:b/>
      <w:bCs/>
      <w:color w:val="000000"/>
      <w:sz w:val="18"/>
      <w:szCs w:val="18"/>
      <w:u w:val="none"/>
    </w:rPr>
  </w:style>
  <w:style w:type="character" w:customStyle="1" w:styleId="40">
    <w:name w:val="font31"/>
    <w:basedOn w:val="25"/>
    <w:autoRedefine/>
    <w:qFormat/>
    <w:uiPriority w:val="0"/>
    <w:rPr>
      <w:rFonts w:hint="eastAsia" w:ascii="宋体" w:hAnsi="宋体" w:eastAsia="宋体" w:cs="宋体"/>
      <w:color w:val="000000"/>
      <w:sz w:val="21"/>
      <w:szCs w:val="21"/>
      <w:u w:val="none"/>
    </w:rPr>
  </w:style>
  <w:style w:type="paragraph" w:customStyle="1" w:styleId="41">
    <w:name w:val="图"/>
    <w:basedOn w:val="1"/>
    <w:autoRedefine/>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42">
    <w:name w:val="Body text|1"/>
    <w:basedOn w:val="1"/>
    <w:autoRedefine/>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43">
    <w:name w:val="题注5"/>
    <w:basedOn w:val="1"/>
    <w:next w:val="9"/>
    <w:autoRedefine/>
    <w:qFormat/>
    <w:uiPriority w:val="0"/>
    <w:pPr>
      <w:jc w:val="center"/>
    </w:pPr>
    <w:rPr>
      <w:b/>
      <w:color w:val="000000"/>
      <w:sz w:val="24"/>
      <w:szCs w:val="21"/>
    </w:rPr>
  </w:style>
  <w:style w:type="paragraph" w:customStyle="1" w:styleId="44">
    <w:name w:val="列出段落1"/>
    <w:basedOn w:val="1"/>
    <w:autoRedefine/>
    <w:qFormat/>
    <w:uiPriority w:val="34"/>
    <w:pPr>
      <w:ind w:firstLine="420" w:firstLineChars="200"/>
    </w:pPr>
  </w:style>
  <w:style w:type="table" w:customStyle="1" w:styleId="45">
    <w:name w:val="Table Normal"/>
    <w:autoRedefine/>
    <w:qFormat/>
    <w:uiPriority w:val="0"/>
    <w:tblPr>
      <w:tblCellMar>
        <w:top w:w="0" w:type="dxa"/>
        <w:left w:w="0" w:type="dxa"/>
        <w:bottom w:w="0" w:type="dxa"/>
        <w:right w:w="0" w:type="dxa"/>
      </w:tblCellMar>
    </w:tblPr>
  </w:style>
  <w:style w:type="character" w:customStyle="1" w:styleId="46">
    <w:name w:val="font41"/>
    <w:basedOn w:val="25"/>
    <w:autoRedefine/>
    <w:qFormat/>
    <w:uiPriority w:val="0"/>
    <w:rPr>
      <w:rFonts w:hint="eastAsia" w:ascii="宋体" w:hAnsi="宋体" w:eastAsia="宋体" w:cs="宋体"/>
      <w:color w:val="000000"/>
      <w:sz w:val="21"/>
      <w:szCs w:val="21"/>
      <w:u w:val="none"/>
    </w:rPr>
  </w:style>
  <w:style w:type="character" w:customStyle="1" w:styleId="47">
    <w:name w:val="font131"/>
    <w:basedOn w:val="25"/>
    <w:autoRedefine/>
    <w:qFormat/>
    <w:uiPriority w:val="0"/>
    <w:rPr>
      <w:rFonts w:hint="eastAsia" w:ascii="宋体" w:hAnsi="宋体" w:eastAsia="宋体" w:cs="宋体"/>
      <w:b/>
      <w:bCs/>
      <w:i/>
      <w:iCs/>
      <w:color w:val="000000"/>
      <w:sz w:val="21"/>
      <w:szCs w:val="21"/>
      <w:u w:val="none"/>
    </w:rPr>
  </w:style>
  <w:style w:type="character" w:customStyle="1" w:styleId="48">
    <w:name w:val="font101"/>
    <w:basedOn w:val="25"/>
    <w:autoRedefine/>
    <w:qFormat/>
    <w:uiPriority w:val="0"/>
    <w:rPr>
      <w:rFonts w:hint="default" w:ascii="Times New Roman" w:hAnsi="Times New Roman" w:cs="Times New Roman"/>
      <w:b/>
      <w:bCs/>
      <w:i/>
      <w:iCs/>
      <w:color w:val="000000"/>
      <w:sz w:val="21"/>
      <w:szCs w:val="21"/>
      <w:u w:val="none"/>
    </w:rPr>
  </w:style>
  <w:style w:type="character" w:customStyle="1" w:styleId="49">
    <w:name w:val="font71"/>
    <w:basedOn w:val="25"/>
    <w:autoRedefine/>
    <w:qFormat/>
    <w:uiPriority w:val="0"/>
    <w:rPr>
      <w:rFonts w:hint="eastAsia" w:ascii="宋体" w:hAnsi="宋体" w:eastAsia="宋体" w:cs="宋体"/>
      <w:b/>
      <w:bCs/>
      <w:color w:val="000000"/>
      <w:sz w:val="21"/>
      <w:szCs w:val="21"/>
      <w:u w:val="none"/>
    </w:rPr>
  </w:style>
  <w:style w:type="paragraph" w:customStyle="1" w:styleId="50">
    <w:name w:val="正文_0_0"/>
    <w:autoRedefine/>
    <w:qFormat/>
    <w:uiPriority w:val="0"/>
    <w:pPr>
      <w:widowControl w:val="0"/>
      <w:jc w:val="both"/>
    </w:pPr>
    <w:rPr>
      <w:rFonts w:ascii="Calibri" w:hAnsi="Calibri" w:eastAsia="宋体" w:cs="Times New Roman"/>
      <w:kern w:val="0"/>
      <w:sz w:val="20"/>
      <w:szCs w:val="24"/>
      <w:lang w:val="en-US" w:eastAsia="zh-CN" w:bidi="ar-SA"/>
    </w:rPr>
  </w:style>
  <w:style w:type="paragraph" w:customStyle="1" w:styleId="51">
    <w:name w:val="正文_1"/>
    <w:autoRedefine/>
    <w:qFormat/>
    <w:uiPriority w:val="0"/>
    <w:pPr>
      <w:widowControl w:val="0"/>
      <w:jc w:val="both"/>
    </w:pPr>
    <w:rPr>
      <w:rFonts w:ascii="Calibri" w:hAnsi="Calibri" w:eastAsia="宋体" w:cs="宋体"/>
      <w:kern w:val="2"/>
      <w:sz w:val="21"/>
      <w:szCs w:val="22"/>
      <w:lang w:val="en-US" w:eastAsia="zh-CN" w:bidi="ar-SA"/>
    </w:rPr>
  </w:style>
  <w:style w:type="paragraph" w:customStyle="1" w:styleId="52">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p0"/>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54">
    <w:name w:val="NormalCharacter"/>
    <w:autoRedefine/>
    <w:qFormat/>
    <w:uiPriority w:val="0"/>
  </w:style>
  <w:style w:type="paragraph" w:customStyle="1" w:styleId="55">
    <w:name w:val="Table caption|1"/>
    <w:basedOn w:val="1"/>
    <w:autoRedefine/>
    <w:qFormat/>
    <w:uiPriority w:val="0"/>
    <w:pPr>
      <w:spacing w:line="293" w:lineRule="exact"/>
    </w:pPr>
    <w:rPr>
      <w:rFonts w:ascii="宋体" w:hAnsi="宋体" w:cs="宋体"/>
      <w:sz w:val="19"/>
      <w:szCs w:val="19"/>
      <w:lang w:val="zh-TW" w:eastAsia="zh-TW" w:bidi="zh-TW"/>
    </w:rPr>
  </w:style>
  <w:style w:type="paragraph" w:customStyle="1" w:styleId="56">
    <w:name w:val="USE 1"/>
    <w:basedOn w:val="1"/>
    <w:autoRedefine/>
    <w:qFormat/>
    <w:uiPriority w:val="0"/>
    <w:pPr>
      <w:spacing w:line="200" w:lineRule="atLeast"/>
      <w:jc w:val="left"/>
    </w:pPr>
    <w:rPr>
      <w:rFonts w:ascii="宋体" w:hAnsi="宋体" w:cs="Times New Roman"/>
      <w:b/>
      <w:sz w:val="24"/>
      <w:szCs w:val="28"/>
    </w:rPr>
  </w:style>
  <w:style w:type="paragraph" w:customStyle="1" w:styleId="57">
    <w:name w:val="正文正"/>
    <w:basedOn w:val="1"/>
    <w:autoRedefine/>
    <w:qFormat/>
    <w:uiPriority w:val="0"/>
    <w:pPr>
      <w:spacing w:line="560" w:lineRule="exact"/>
      <w:ind w:firstLine="561"/>
    </w:pPr>
    <w:rPr>
      <w:rFonts w:ascii="Calibri" w:hAnsi="Calibri"/>
      <w:sz w:val="28"/>
      <w:szCs w:val="28"/>
    </w:rPr>
  </w:style>
  <w:style w:type="character" w:customStyle="1" w:styleId="58">
    <w:name w:val="font61"/>
    <w:basedOn w:val="25"/>
    <w:autoRedefine/>
    <w:qFormat/>
    <w:uiPriority w:val="0"/>
    <w:rPr>
      <w:rFonts w:hint="eastAsia" w:ascii="仿宋" w:hAnsi="仿宋" w:eastAsia="仿宋" w:cs="仿宋"/>
      <w:color w:val="000000"/>
      <w:sz w:val="28"/>
      <w:szCs w:val="28"/>
      <w:u w:val="single"/>
    </w:rPr>
  </w:style>
  <w:style w:type="character" w:customStyle="1" w:styleId="59">
    <w:name w:val="font81"/>
    <w:basedOn w:val="25"/>
    <w:autoRedefine/>
    <w:qFormat/>
    <w:uiPriority w:val="0"/>
    <w:rPr>
      <w:rFonts w:hint="eastAsia" w:ascii="宋体" w:hAnsi="宋体" w:eastAsia="宋体" w:cs="宋体"/>
      <w:color w:val="000000"/>
      <w:sz w:val="21"/>
      <w:szCs w:val="21"/>
      <w:u w:val="none"/>
    </w:rPr>
  </w:style>
  <w:style w:type="character" w:customStyle="1" w:styleId="60">
    <w:name w:val="font51"/>
    <w:basedOn w:val="25"/>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29497</Words>
  <Characters>30348</Characters>
  <Paragraphs>2008</Paragraphs>
  <TotalTime>3</TotalTime>
  <ScaleCrop>false</ScaleCrop>
  <LinksUpToDate>false</LinksUpToDate>
  <CharactersWithSpaces>32387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梁凤娟</cp:lastModifiedBy>
  <dcterms:modified xsi:type="dcterms:W3CDTF">2024-09-09T02:24:28Z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F66ED95C5258459FB3E64A6EF0E7E661</vt:lpwstr>
  </property>
  <property fmtid="{D5CDD505-2E9C-101B-9397-08002B2CF9AE}" pid="4" name="commondata">
    <vt:lpwstr>eyJoZGlkIjoiZGNiZjhiYWJkMzQ2ODliZDg0M2NkY2U3ZDYyYTQ3YzEifQ==</vt:lpwstr>
  </property>
</Properties>
</file>