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7040"/>
      <w:bookmarkStart w:id="2" w:name="_Toc15553"/>
      <w:bookmarkStart w:id="3" w:name="_Toc15365"/>
      <w:bookmarkStart w:id="4" w:name="_Toc3493"/>
      <w:bookmarkStart w:id="5" w:name="_Toc15189"/>
      <w:bookmarkStart w:id="6" w:name="_Toc16091"/>
      <w:bookmarkStart w:id="7" w:name="_Toc14315"/>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1592D62F">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中山大学附属仁济医院</w:t>
      </w:r>
    </w:p>
    <w:p w14:paraId="254DB285">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非120急救医疗转运服务项目</w:t>
      </w:r>
    </w:p>
    <w:p w14:paraId="09DD5B22">
      <w:pPr>
        <w:pStyle w:val="2"/>
        <w:rPr>
          <w:rFonts w:hint="eastAsia"/>
        </w:rPr>
      </w:pPr>
    </w:p>
    <w:p w14:paraId="33452067">
      <w:pPr>
        <w:pStyle w:val="2"/>
        <w:rPr>
          <w:rFonts w:hint="eastAsia"/>
        </w:rPr>
      </w:pPr>
    </w:p>
    <w:p w14:paraId="0097EC14">
      <w:pPr>
        <w:pStyle w:val="2"/>
        <w:rPr>
          <w:rFonts w:hint="eastAsia"/>
        </w:rPr>
      </w:pPr>
    </w:p>
    <w:p w14:paraId="2E43BC7D">
      <w:pPr>
        <w:pStyle w:val="2"/>
        <w:rPr>
          <w:rFonts w:hint="eastAsia"/>
        </w:rPr>
      </w:pPr>
    </w:p>
    <w:p w14:paraId="04589F7F">
      <w:pPr>
        <w:pStyle w:val="2"/>
        <w:rPr>
          <w:rFonts w:hint="eastAsia"/>
        </w:rPr>
      </w:pPr>
    </w:p>
    <w:p w14:paraId="2E0B3B27">
      <w:pPr>
        <w:pStyle w:val="2"/>
        <w:rPr>
          <w:rFonts w:hint="eastAsia"/>
        </w:rPr>
      </w:pPr>
    </w:p>
    <w:p w14:paraId="6BDB2DE2">
      <w:pPr>
        <w:pStyle w:val="2"/>
        <w:rPr>
          <w:rFonts w:hint="eastAsia"/>
        </w:rPr>
      </w:pPr>
    </w:p>
    <w:p w14:paraId="2E8E5641">
      <w:pPr>
        <w:pStyle w:val="2"/>
        <w:rPr>
          <w:rFonts w:hint="eastAsia"/>
        </w:rPr>
      </w:pPr>
    </w:p>
    <w:p w14:paraId="6923FB70">
      <w:pPr>
        <w:pStyle w:val="2"/>
        <w:rPr>
          <w:rFonts w:hint="eastAsia"/>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ZCB-2024105</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2F133FCC">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1B324095">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8"/>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3.邮件主题：仁济医院非120急救医疗转运-某某公司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5.报名截止时间：2024年9月11日下午17:00，以邮件接收时间为准，超时视为无效报名。</w:t>
      </w:r>
      <w:bookmarkStart w:id="134" w:name="_GoBack"/>
      <w:bookmarkEnd w:id="134"/>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483E91E5">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必须是合法正规的非120急救医疗转运服务机构，需提供相关证明材料，如《医疗机构执业许可证》和卫生行政部门批准开展非120急救医疗转运服务的文件或证明。上述材料需为响应人实际持有，不支持通过挂靠、转让、合作等形式获得或共享相应材料与资质。（提供有效期内的证明资料，加盖公章）</w:t>
      </w:r>
    </w:p>
    <w:p w14:paraId="245730AD">
      <w:pPr>
        <w:pStyle w:val="10"/>
        <w:adjustRightInd w:val="0"/>
        <w:snapToGrid w:val="0"/>
        <w:rPr>
          <w:rFonts w:ascii="Times New Roman" w:hAnsi="Times New Roman" w:cs="Times New Roman"/>
          <w:sz w:val="24"/>
          <w:szCs w:val="24"/>
        </w:rPr>
      </w:pPr>
    </w:p>
    <w:p w14:paraId="481877FA">
      <w:pPr>
        <w:pStyle w:val="10"/>
        <w:adjustRightInd w:val="0"/>
        <w:snapToGrid w:val="0"/>
        <w:rPr>
          <w:rFonts w:ascii="Times New Roman" w:hAnsi="Times New Roman" w:cs="Times New Roman"/>
          <w:sz w:val="24"/>
          <w:szCs w:val="24"/>
        </w:rPr>
      </w:pPr>
    </w:p>
    <w:p w14:paraId="4A8EF20D">
      <w:pPr>
        <w:pStyle w:val="10"/>
        <w:adjustRightInd w:val="0"/>
        <w:snapToGrid w:val="0"/>
        <w:rPr>
          <w:rFonts w:ascii="Times New Roman" w:hAnsi="Times New Roman" w:cs="Times New Roman"/>
          <w:sz w:val="24"/>
          <w:szCs w:val="24"/>
        </w:rPr>
      </w:pPr>
    </w:p>
    <w:p w14:paraId="11A29D63">
      <w:pPr>
        <w:pStyle w:val="10"/>
        <w:adjustRightInd w:val="0"/>
        <w:snapToGrid w:val="0"/>
        <w:rPr>
          <w:rFonts w:ascii="Times New Roman" w:hAnsi="Times New Roman" w:cs="Times New Roman"/>
          <w:sz w:val="24"/>
          <w:szCs w:val="24"/>
        </w:rPr>
      </w:pPr>
    </w:p>
    <w:p w14:paraId="4175EAE2">
      <w:pPr>
        <w:pStyle w:val="10"/>
        <w:adjustRightInd w:val="0"/>
        <w:snapToGrid w:val="0"/>
        <w:rPr>
          <w:rFonts w:ascii="Times New Roman" w:hAnsi="Times New Roman" w:cs="Times New Roman"/>
          <w:sz w:val="24"/>
          <w:szCs w:val="24"/>
        </w:rPr>
      </w:pPr>
    </w:p>
    <w:p w14:paraId="00A1B2C7">
      <w:pPr>
        <w:pStyle w:val="10"/>
        <w:adjustRightInd w:val="0"/>
        <w:snapToGrid w:val="0"/>
        <w:rPr>
          <w:rFonts w:ascii="Times New Roman" w:hAnsi="Times New Roman" w:cs="Times New Roman"/>
          <w:sz w:val="24"/>
          <w:szCs w:val="24"/>
        </w:rPr>
      </w:pPr>
    </w:p>
    <w:p w14:paraId="623379E2">
      <w:pPr>
        <w:pStyle w:val="10"/>
        <w:adjustRightInd w:val="0"/>
        <w:snapToGrid w:val="0"/>
        <w:rPr>
          <w:rFonts w:ascii="Times New Roman" w:hAnsi="Times New Roman" w:cs="Times New Roman"/>
          <w:sz w:val="24"/>
          <w:szCs w:val="24"/>
        </w:rPr>
      </w:pPr>
    </w:p>
    <w:p w14:paraId="44785F4D">
      <w:pPr>
        <w:pStyle w:val="10"/>
        <w:adjustRightInd w:val="0"/>
        <w:snapToGrid w:val="0"/>
        <w:rPr>
          <w:rFonts w:ascii="Times New Roman" w:hAnsi="Times New Roman" w:cs="Times New Roman"/>
          <w:sz w:val="24"/>
          <w:szCs w:val="24"/>
        </w:rPr>
      </w:pPr>
    </w:p>
    <w:p w14:paraId="6A75CA07">
      <w:pPr>
        <w:pStyle w:val="10"/>
        <w:adjustRightInd w:val="0"/>
        <w:snapToGrid w:val="0"/>
        <w:rPr>
          <w:rFonts w:ascii="Times New Roman" w:hAnsi="Times New Roman" w:cs="Times New Roman"/>
          <w:sz w:val="24"/>
          <w:szCs w:val="24"/>
        </w:rPr>
      </w:pPr>
    </w:p>
    <w:p w14:paraId="052B7CD4">
      <w:pPr>
        <w:pStyle w:val="10"/>
        <w:adjustRightInd w:val="0"/>
        <w:snapToGrid w:val="0"/>
        <w:rPr>
          <w:rFonts w:ascii="Times New Roman" w:hAnsi="Times New Roman" w:cs="Times New Roman"/>
          <w:sz w:val="24"/>
          <w:szCs w:val="24"/>
        </w:rPr>
      </w:pPr>
    </w:p>
    <w:p w14:paraId="60142977">
      <w:pPr>
        <w:pStyle w:val="10"/>
        <w:adjustRightInd w:val="0"/>
        <w:snapToGrid w:val="0"/>
        <w:rPr>
          <w:rFonts w:ascii="Times New Roman" w:hAnsi="Times New Roman" w:cs="Times New Roman"/>
          <w:sz w:val="24"/>
          <w:szCs w:val="24"/>
        </w:rPr>
      </w:pPr>
    </w:p>
    <w:p w14:paraId="6F2A8FD1">
      <w:pPr>
        <w:pStyle w:val="10"/>
        <w:adjustRightInd w:val="0"/>
        <w:snapToGrid w:val="0"/>
        <w:rPr>
          <w:rFonts w:ascii="Times New Roman" w:hAnsi="Times New Roman" w:cs="Times New Roman"/>
          <w:sz w:val="24"/>
          <w:szCs w:val="24"/>
        </w:rPr>
      </w:pPr>
    </w:p>
    <w:p w14:paraId="5D06857B">
      <w:pPr>
        <w:pStyle w:val="10"/>
        <w:adjustRightInd w:val="0"/>
        <w:snapToGrid w:val="0"/>
        <w:rPr>
          <w:rFonts w:ascii="Times New Roman" w:hAnsi="Times New Roman" w:cs="Times New Roman"/>
          <w:sz w:val="24"/>
          <w:szCs w:val="24"/>
        </w:rPr>
      </w:pPr>
    </w:p>
    <w:p w14:paraId="3FBED56E">
      <w:pPr>
        <w:pStyle w:val="10"/>
        <w:adjustRightInd w:val="0"/>
        <w:snapToGrid w:val="0"/>
        <w:rPr>
          <w:rFonts w:ascii="Times New Roman" w:hAnsi="Times New Roman" w:cs="Times New Roman"/>
          <w:sz w:val="24"/>
          <w:szCs w:val="24"/>
        </w:rPr>
      </w:pPr>
    </w:p>
    <w:p w14:paraId="4237AC75">
      <w:pPr>
        <w:pStyle w:val="10"/>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38208AAE">
      <w:pPr>
        <w:pStyle w:val="5"/>
        <w:jc w:val="both"/>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25869"/>
      <w:bookmarkStart w:id="13" w:name="_Toc31740"/>
      <w:bookmarkStart w:id="14" w:name="_Toc31053"/>
      <w:bookmarkStart w:id="15" w:name="_Toc14488"/>
      <w:bookmarkStart w:id="16" w:name="_Toc17375"/>
      <w:bookmarkStart w:id="17" w:name="_Toc6151"/>
      <w:bookmarkStart w:id="18" w:name="_Toc6408"/>
      <w:bookmarkStart w:id="19" w:name="_Toc28528"/>
      <w:bookmarkStart w:id="20" w:name="_Toc24"/>
    </w:p>
    <w:p w14:paraId="5A5FF411">
      <w:pPr>
        <w:widowControl/>
        <w:spacing w:line="360" w:lineRule="auto"/>
        <w:jc w:val="center"/>
        <w:outlineLvl w:val="0"/>
        <w:rPr>
          <w:rFonts w:ascii="宋体" w:hAnsi="宋体" w:cs="宋体"/>
          <w:b/>
          <w:kern w:val="0"/>
          <w:sz w:val="40"/>
          <w:szCs w:val="27"/>
        </w:rPr>
      </w:pPr>
    </w:p>
    <w:p w14:paraId="4DBA2F1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47E08F4B">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中山大学附属仁济医院</w:t>
      </w:r>
    </w:p>
    <w:p w14:paraId="267D6835">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10C7224F">
      <w:pPr>
        <w:pStyle w:val="4"/>
      </w:pP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435"/>
      <w:bookmarkStart w:id="22" w:name="_Toc15870"/>
      <w:bookmarkStart w:id="23" w:name="_Toc40346375"/>
      <w:bookmarkStart w:id="24" w:name="_Toc7291"/>
      <w:bookmarkStart w:id="25" w:name="_Toc28703"/>
      <w:bookmarkStart w:id="26" w:name="_Toc21249"/>
      <w:bookmarkStart w:id="27" w:name="_Toc6547"/>
      <w:bookmarkStart w:id="28" w:name="_Toc3471"/>
      <w:bookmarkStart w:id="29" w:name="_Toc40776111"/>
      <w:bookmarkStart w:id="30" w:name="_Toc12520"/>
      <w:bookmarkStart w:id="31" w:name="_Toc29113"/>
      <w:bookmarkStart w:id="32" w:name="_Toc40346216"/>
      <w:bookmarkStart w:id="33" w:name="_Toc11305"/>
      <w:bookmarkStart w:id="34" w:name="_Toc8364"/>
      <w:bookmarkStart w:id="35" w:name="_Toc11075"/>
      <w:bookmarkStart w:id="36" w:name="_Toc1994"/>
      <w:bookmarkStart w:id="37" w:name="_Toc26267"/>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27997"/>
      <w:bookmarkStart w:id="40" w:name="_Toc2916"/>
      <w:bookmarkStart w:id="41" w:name="_Toc40346376"/>
      <w:bookmarkStart w:id="42" w:name="_Toc40346217"/>
      <w:bookmarkStart w:id="43" w:name="_Toc20884"/>
      <w:bookmarkStart w:id="44" w:name="_Toc1743"/>
      <w:bookmarkStart w:id="45" w:name="_Toc40776112"/>
    </w:p>
    <w:p w14:paraId="4F9DAA28">
      <w:pPr>
        <w:widowControl/>
        <w:spacing w:line="360" w:lineRule="auto"/>
        <w:ind w:firstLine="600"/>
        <w:outlineLvl w:val="0"/>
        <w:rPr>
          <w:rFonts w:hint="eastAsia" w:ascii="仿宋" w:hAnsi="仿宋" w:eastAsia="仿宋" w:cs="仿宋"/>
          <w:kern w:val="0"/>
          <w:sz w:val="30"/>
          <w:szCs w:val="30"/>
        </w:rPr>
      </w:pPr>
      <w:bookmarkStart w:id="46" w:name="_Toc29102"/>
      <w:bookmarkStart w:id="47" w:name="_Toc2012"/>
      <w:bookmarkStart w:id="48" w:name="_Toc30979"/>
      <w:bookmarkStart w:id="49" w:name="_Toc2029"/>
      <w:bookmarkStart w:id="50" w:name="_Toc19699"/>
      <w:bookmarkStart w:id="51" w:name="_Toc11485"/>
      <w:bookmarkStart w:id="52" w:name="_Toc31538"/>
      <w:bookmarkStart w:id="53" w:name="_Toc23097"/>
      <w:bookmarkStart w:id="54" w:name="_Toc52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21483"/>
      <w:bookmarkStart w:id="56" w:name="_Toc4013"/>
      <w:bookmarkStart w:id="57" w:name="_Toc24763"/>
      <w:bookmarkStart w:id="58" w:name="_Toc17930"/>
      <w:bookmarkStart w:id="59" w:name="_Toc28064"/>
      <w:bookmarkStart w:id="60" w:name="_Toc40346218"/>
      <w:bookmarkStart w:id="61" w:name="_Toc27867"/>
      <w:bookmarkStart w:id="62" w:name="_Toc31993"/>
      <w:bookmarkStart w:id="63" w:name="_Toc29767"/>
      <w:bookmarkStart w:id="64" w:name="_Toc16794"/>
      <w:bookmarkStart w:id="65" w:name="_Toc40776113"/>
      <w:bookmarkStart w:id="66" w:name="_Toc14824"/>
      <w:bookmarkStart w:id="67" w:name="_Toc11141"/>
      <w:bookmarkStart w:id="68" w:name="_Toc7052"/>
      <w:bookmarkStart w:id="69" w:name="_Toc12645"/>
      <w:bookmarkStart w:id="70" w:name="_Toc11558"/>
      <w:bookmarkStart w:id="71" w:name="_Toc4034637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19831"/>
      <w:bookmarkStart w:id="73" w:name="_Toc31197"/>
      <w:bookmarkStart w:id="74" w:name="_Toc40346378"/>
      <w:bookmarkStart w:id="75" w:name="_Toc40776114"/>
      <w:bookmarkStart w:id="76" w:name="_Toc16813"/>
      <w:bookmarkStart w:id="77" w:name="_Toc24651"/>
      <w:bookmarkStart w:id="78" w:name="_Toc40346219"/>
      <w:bookmarkStart w:id="79" w:name="_Toc14287"/>
      <w:bookmarkStart w:id="80" w:name="_Toc6438"/>
      <w:bookmarkStart w:id="81" w:name="_Toc17537"/>
      <w:bookmarkStart w:id="82" w:name="_Toc27771"/>
      <w:bookmarkStart w:id="83" w:name="_Toc11334"/>
      <w:bookmarkStart w:id="84" w:name="_Toc26029"/>
      <w:bookmarkStart w:id="85" w:name="_Toc32709"/>
      <w:bookmarkStart w:id="86" w:name="_Toc4563"/>
      <w:bookmarkStart w:id="87" w:name="_Toc1324"/>
      <w:bookmarkStart w:id="88" w:name="_Toc988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17483"/>
      <w:bookmarkStart w:id="90" w:name="_Toc21686"/>
      <w:bookmarkStart w:id="91" w:name="_Toc13222"/>
      <w:bookmarkStart w:id="92" w:name="_Toc18353"/>
      <w:bookmarkStart w:id="93" w:name="_Toc5634"/>
      <w:bookmarkStart w:id="94" w:name="_Toc40346379"/>
      <w:bookmarkStart w:id="95" w:name="_Toc27868"/>
      <w:bookmarkStart w:id="96" w:name="_Toc30336"/>
      <w:bookmarkStart w:id="97" w:name="_Toc40346220"/>
      <w:bookmarkStart w:id="98" w:name="_Toc40776115"/>
      <w:bookmarkStart w:id="99" w:name="_Toc21940"/>
      <w:bookmarkStart w:id="100" w:name="_Toc20994"/>
      <w:bookmarkStart w:id="101" w:name="_Toc14586"/>
      <w:bookmarkStart w:id="102" w:name="_Toc5189"/>
      <w:bookmarkStart w:id="103" w:name="_Toc3895"/>
      <w:bookmarkStart w:id="104" w:name="_Toc12650"/>
      <w:bookmarkStart w:id="105" w:name="_Toc2720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12127"/>
      <w:bookmarkStart w:id="107" w:name="_Toc40346380"/>
      <w:bookmarkStart w:id="108" w:name="_Toc8526"/>
      <w:bookmarkStart w:id="109" w:name="_Toc5220"/>
      <w:bookmarkStart w:id="110" w:name="_Toc30904"/>
      <w:bookmarkStart w:id="111" w:name="_Toc27646"/>
      <w:bookmarkStart w:id="112" w:name="_Toc3498"/>
      <w:bookmarkStart w:id="113" w:name="_Toc27009"/>
      <w:bookmarkStart w:id="114" w:name="_Toc32371"/>
      <w:bookmarkStart w:id="115" w:name="_Toc9282"/>
      <w:bookmarkStart w:id="116" w:name="_Toc30856"/>
      <w:bookmarkStart w:id="117" w:name="_Toc11547"/>
      <w:bookmarkStart w:id="118" w:name="_Toc21449"/>
      <w:bookmarkStart w:id="119" w:name="_Toc40346221"/>
      <w:bookmarkStart w:id="120" w:name="_Toc40776116"/>
      <w:bookmarkStart w:id="121" w:name="_Toc10454"/>
      <w:bookmarkStart w:id="122" w:name="_Toc14462"/>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16608"/>
      <w:bookmarkStart w:id="124" w:name="_Toc16728"/>
      <w:bookmarkStart w:id="125" w:name="_Toc13184"/>
      <w:bookmarkStart w:id="126" w:name="_Toc10399"/>
      <w:bookmarkStart w:id="127" w:name="_Toc28747"/>
      <w:bookmarkStart w:id="128" w:name="_Toc6691"/>
      <w:bookmarkStart w:id="129" w:name="_Toc15539"/>
      <w:bookmarkStart w:id="130" w:name="_Toc21213"/>
      <w:bookmarkStart w:id="131" w:name="_Toc8637"/>
      <w:bookmarkStart w:id="132" w:name="_Toc9697"/>
      <w:bookmarkStart w:id="133" w:name="_Toc31077"/>
    </w:p>
    <w:p w14:paraId="4164B799">
      <w:pPr>
        <w:pStyle w:val="26"/>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03B8A82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、中山大学附属仁济医院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中山大学附属仁济医院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31"/>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E6975E1">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7"/>
        <w:rPr>
          <w:rFonts w:ascii="宋体" w:hAnsi="宋体"/>
          <w:sz w:val="24"/>
        </w:rPr>
      </w:pPr>
    </w:p>
    <w:p w14:paraId="59B444FE">
      <w:pPr>
        <w:pStyle w:val="8"/>
        <w:rPr>
          <w:rFonts w:ascii="宋体" w:hAnsi="宋体"/>
          <w:sz w:val="24"/>
        </w:rPr>
      </w:pPr>
    </w:p>
    <w:p w14:paraId="09B31CF0">
      <w:pPr>
        <w:pStyle w:val="8"/>
        <w:rPr>
          <w:rFonts w:ascii="宋体" w:hAnsi="宋体"/>
          <w:sz w:val="24"/>
        </w:rPr>
      </w:pPr>
    </w:p>
    <w:p w14:paraId="2A7CEA9C">
      <w:pPr>
        <w:pStyle w:val="8"/>
        <w:rPr>
          <w:rFonts w:ascii="宋体" w:hAnsi="宋体"/>
          <w:sz w:val="24"/>
        </w:rPr>
      </w:pPr>
    </w:p>
    <w:p w14:paraId="41ADA8FC">
      <w:pPr>
        <w:pStyle w:val="8"/>
        <w:rPr>
          <w:rFonts w:ascii="宋体" w:hAnsi="宋体"/>
          <w:sz w:val="24"/>
        </w:rPr>
      </w:pPr>
    </w:p>
    <w:p w14:paraId="769BE566">
      <w:pPr>
        <w:pStyle w:val="8"/>
        <w:rPr>
          <w:rFonts w:ascii="宋体" w:hAnsi="宋体"/>
          <w:sz w:val="24"/>
        </w:rPr>
      </w:pPr>
    </w:p>
    <w:p w14:paraId="38E81AD5">
      <w:pPr>
        <w:pStyle w:val="8"/>
        <w:rPr>
          <w:rFonts w:ascii="宋体" w:hAnsi="宋体"/>
          <w:sz w:val="24"/>
        </w:rPr>
      </w:pPr>
    </w:p>
    <w:p w14:paraId="72BE08E6">
      <w:pPr>
        <w:pStyle w:val="8"/>
        <w:rPr>
          <w:rFonts w:ascii="宋体" w:hAnsi="宋体"/>
          <w:sz w:val="24"/>
        </w:rPr>
      </w:pPr>
    </w:p>
    <w:p w14:paraId="5F759F3F">
      <w:pPr>
        <w:pStyle w:val="27"/>
        <w:keepNext w:val="0"/>
        <w:keepLines w:val="0"/>
        <w:pageBreakBefore w:val="0"/>
        <w:widowControl/>
        <w:tabs>
          <w:tab w:val="left" w:pos="1050"/>
          <w:tab w:val="center" w:pos="4535"/>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三、《医疗机构执业许可证》、</w:t>
      </w:r>
    </w:p>
    <w:p w14:paraId="32F3FA2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卫生行政部门批准开展非120急救医疗转运服务的文件或证明</w:t>
      </w:r>
    </w:p>
    <w:p w14:paraId="28A1357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0070C0"/>
          <w:sz w:val="36"/>
          <w:szCs w:val="36"/>
          <w:highlight w:val="none"/>
          <w:lang w:val="en-US" w:eastAsia="zh-CN"/>
        </w:rPr>
      </w:pPr>
      <w:r>
        <w:rPr>
          <w:rFonts w:hint="eastAsia" w:ascii="仿宋" w:hAnsi="仿宋" w:eastAsia="仿宋" w:cs="仿宋"/>
          <w:bCs/>
          <w:color w:val="0070C0"/>
          <w:sz w:val="24"/>
          <w:szCs w:val="24"/>
          <w:highlight w:val="none"/>
        </w:rPr>
        <w:t>（提供能够证明供应商是合法正规的非120急救医疗转运服务机构的材料，材料需为响应人实际持有，不支持通过挂靠、转让、合作等形式获得或共享相应材料与资质。提供有效期内的证明资料，加盖公章。）</w:t>
      </w:r>
    </w:p>
    <w:p w14:paraId="33124D6F">
      <w:pPr>
        <w:pStyle w:val="27"/>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p>
    <w:p w14:paraId="2E29C4CA">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FE2C0A0">
      <w:pPr>
        <w:pStyle w:val="8"/>
        <w:rPr>
          <w:rFonts w:ascii="宋体" w:hAnsi="宋体"/>
          <w:sz w:val="24"/>
        </w:rPr>
      </w:pPr>
    </w:p>
    <w:p w14:paraId="1C8C4489">
      <w:pPr>
        <w:pStyle w:val="8"/>
        <w:spacing w:line="360" w:lineRule="auto"/>
        <w:rPr>
          <w:rFonts w:hint="eastAsia" w:ascii="仿宋" w:hAnsi="仿宋" w:eastAsia="仿宋" w:cs="仿宋"/>
          <w:sz w:val="24"/>
          <w:lang w:val="en-US" w:eastAsia="zh-CN"/>
        </w:rPr>
      </w:pPr>
    </w:p>
    <w:p w14:paraId="2D3013D1">
      <w:pPr>
        <w:pStyle w:val="8"/>
        <w:spacing w:line="360" w:lineRule="auto"/>
        <w:rPr>
          <w:rFonts w:hint="eastAsia" w:ascii="仿宋" w:hAnsi="仿宋" w:eastAsia="仿宋" w:cs="仿宋"/>
          <w:sz w:val="24"/>
          <w:lang w:val="en-US" w:eastAsia="zh-CN"/>
        </w:rPr>
      </w:pPr>
    </w:p>
    <w:p w14:paraId="6116146C">
      <w:pPr>
        <w:pStyle w:val="8"/>
        <w:spacing w:line="360" w:lineRule="auto"/>
        <w:rPr>
          <w:rFonts w:hint="eastAsia" w:ascii="仿宋" w:hAnsi="仿宋" w:eastAsia="仿宋" w:cs="仿宋"/>
          <w:sz w:val="24"/>
          <w:lang w:val="en-US" w:eastAsia="zh-CN"/>
        </w:rPr>
      </w:pPr>
    </w:p>
    <w:p w14:paraId="12A98339">
      <w:pPr>
        <w:pStyle w:val="8"/>
        <w:spacing w:line="360" w:lineRule="auto"/>
        <w:rPr>
          <w:rFonts w:hint="eastAsia" w:ascii="仿宋" w:hAnsi="仿宋" w:eastAsia="仿宋" w:cs="仿宋"/>
          <w:sz w:val="24"/>
          <w:lang w:val="en-US" w:eastAsia="zh-CN"/>
        </w:rPr>
      </w:pPr>
    </w:p>
    <w:p w14:paraId="2B4FC04B">
      <w:pPr>
        <w:pStyle w:val="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71FBC8-838F-4E81-BA5A-3E8AC34D98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FF81436-3546-467C-91AB-96C2018347F1}"/>
  </w:font>
  <w:font w:name="微软雅黑">
    <w:panose1 w:val="020B0503020204020204"/>
    <w:charset w:val="86"/>
    <w:family w:val="auto"/>
    <w:pitch w:val="default"/>
    <w:sig w:usb0="80000287" w:usb1="2ACF3C50" w:usb2="00000016" w:usb3="00000000" w:csb0="0004001F" w:csb1="00000000"/>
    <w:embedRegular r:id="rId3" w:fontKey="{FEAD3C38-360C-4C64-84D3-CAEA5AE7BF98}"/>
  </w:font>
  <w:font w:name="方正小标宋简体">
    <w:panose1 w:val="02000000000000000000"/>
    <w:charset w:val="86"/>
    <w:family w:val="script"/>
    <w:pitch w:val="default"/>
    <w:sig w:usb0="00000001" w:usb1="08000000" w:usb2="00000000" w:usb3="00000000" w:csb0="00040000" w:csb1="00000000"/>
    <w:embedRegular r:id="rId4" w:fontKey="{12BE4497-5AC8-4B08-B558-8B02533E8363}"/>
  </w:font>
  <w:font w:name="仿宋">
    <w:panose1 w:val="02010609060101010101"/>
    <w:charset w:val="86"/>
    <w:family w:val="auto"/>
    <w:pitch w:val="default"/>
    <w:sig w:usb0="800002BF" w:usb1="38CF7CFA" w:usb2="00000016" w:usb3="00000000" w:csb0="00040001" w:csb1="00000000"/>
    <w:embedRegular r:id="rId5" w:fontKey="{1C047754-5293-435E-938D-3F41CDD243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2"/>
      <w:framePr w:wrap="around" w:vAnchor="text" w:hAnchor="margin" w:xAlign="center" w:y="1"/>
      <w:rPr>
        <w:rStyle w:val="17"/>
      </w:rPr>
    </w:pPr>
    <w:r>
      <w:fldChar w:fldCharType="begin"/>
    </w:r>
    <w:r>
      <w:rPr>
        <w:rStyle w:val="17"/>
      </w:rPr>
      <w:instrText xml:space="preserve">PAGE  </w:instrText>
    </w:r>
    <w:r>
      <w:fldChar w:fldCharType="end"/>
    </w:r>
  </w:p>
  <w:p w14:paraId="76A9B623">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2"/>
      <w:framePr w:wrap="around" w:vAnchor="text" w:hAnchor="margin" w:xAlign="center" w:y="1"/>
      <w:rPr>
        <w:rStyle w:val="17"/>
      </w:rPr>
    </w:pPr>
    <w:r>
      <w:fldChar w:fldCharType="begin"/>
    </w:r>
    <w:r>
      <w:rPr>
        <w:rStyle w:val="17"/>
      </w:rPr>
      <w:instrText xml:space="preserve">PAGE  </w:instrText>
    </w:r>
    <w:r>
      <w:fldChar w:fldCharType="end"/>
    </w:r>
  </w:p>
  <w:p w14:paraId="32A4A53C">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3A441BF"/>
    <w:rsid w:val="03F144CF"/>
    <w:rsid w:val="0BF238BE"/>
    <w:rsid w:val="0FB24AB4"/>
    <w:rsid w:val="20573B57"/>
    <w:rsid w:val="231E5CE9"/>
    <w:rsid w:val="2587134A"/>
    <w:rsid w:val="27CC1EEA"/>
    <w:rsid w:val="2CDF4BC3"/>
    <w:rsid w:val="2E707062"/>
    <w:rsid w:val="30A90D8E"/>
    <w:rsid w:val="333756F5"/>
    <w:rsid w:val="38B41B24"/>
    <w:rsid w:val="3BD10967"/>
    <w:rsid w:val="3EA6712C"/>
    <w:rsid w:val="3F973797"/>
    <w:rsid w:val="45B5724A"/>
    <w:rsid w:val="4A467007"/>
    <w:rsid w:val="5411136C"/>
    <w:rsid w:val="60914883"/>
    <w:rsid w:val="68844983"/>
    <w:rsid w:val="6AEF52A0"/>
    <w:rsid w:val="7AA45E94"/>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6">
    <w:name w:val="Normal Indent"/>
    <w:basedOn w:val="1"/>
    <w:link w:val="24"/>
    <w:qFormat/>
    <w:uiPriority w:val="0"/>
    <w:pPr>
      <w:ind w:firstLine="420"/>
    </w:p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List Bullet 2"/>
    <w:basedOn w:val="1"/>
    <w:qFormat/>
    <w:uiPriority w:val="99"/>
    <w:pPr>
      <w:numPr>
        <w:ilvl w:val="0"/>
        <w:numId w:val="1"/>
      </w:numPr>
    </w:pPr>
  </w:style>
  <w:style w:type="paragraph" w:styleId="10">
    <w:name w:val="Plain Text"/>
    <w:basedOn w:val="1"/>
    <w:link w:val="25"/>
    <w:qFormat/>
    <w:uiPriority w:val="0"/>
    <w:rPr>
      <w:rFonts w:ascii="宋体" w:hAnsi="Courier New" w:cs="Courier New"/>
      <w:szCs w:val="21"/>
    </w:rPr>
  </w:style>
  <w:style w:type="paragraph" w:styleId="11">
    <w:name w:val="Balloon Text"/>
    <w:basedOn w:val="1"/>
    <w:link w:val="29"/>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0"/>
    <w:rPr>
      <w:rFonts w:ascii="Arial" w:hAnsi="Arial" w:eastAsia="黑体" w:cs="Times New Roman"/>
      <w:b/>
      <w:bCs/>
      <w:sz w:val="32"/>
      <w:szCs w:val="32"/>
    </w:rPr>
  </w:style>
  <w:style w:type="character" w:customStyle="1" w:styleId="24">
    <w:name w:val="正文缩进 Char"/>
    <w:link w:val="6"/>
    <w:qFormat/>
    <w:uiPriority w:val="0"/>
    <w:rPr>
      <w:rFonts w:ascii="Times New Roman" w:hAnsi="Times New Roman" w:eastAsia="宋体" w:cs="Times New Roman"/>
      <w:szCs w:val="24"/>
    </w:rPr>
  </w:style>
  <w:style w:type="character" w:customStyle="1" w:styleId="25">
    <w:name w:val="纯文本 Char"/>
    <w:basedOn w:val="16"/>
    <w:link w:val="10"/>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6"/>
    <w:link w:val="11"/>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2203</Words>
  <Characters>2336</Characters>
  <Paragraphs>196</Paragraphs>
  <TotalTime>0</TotalTime>
  <ScaleCrop>false</ScaleCrop>
  <LinksUpToDate>false</LinksUpToDate>
  <CharactersWithSpaces>2462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2024-09-05T00:31:06Z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166C090F5F594C7E87577E737B94B29F</vt:lpwstr>
  </property>
</Properties>
</file>