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D6C2EB" w14:textId="77777777" w:rsidR="00302AC4" w:rsidRDefault="00302AC4">
      <w:pPr>
        <w:pStyle w:val="a3"/>
      </w:pPr>
    </w:p>
    <w:p w14:paraId="69008297" w14:textId="77777777" w:rsidR="00302AC4" w:rsidRDefault="00302AC4"/>
    <w:p w14:paraId="539ED729" w14:textId="77777777" w:rsidR="00302AC4" w:rsidRDefault="00302AC4"/>
    <w:p w14:paraId="0FB126D9" w14:textId="77777777" w:rsidR="00302AC4" w:rsidRDefault="00302AC4"/>
    <w:p w14:paraId="1A2C1C57" w14:textId="77777777" w:rsidR="00302AC4" w:rsidRDefault="00302AC4"/>
    <w:p w14:paraId="2947F05A" w14:textId="77777777" w:rsidR="00302AC4" w:rsidRDefault="00302AC4"/>
    <w:p w14:paraId="47DC6FC2" w14:textId="77777777" w:rsidR="00302AC4" w:rsidRDefault="00302AC4">
      <w:pPr>
        <w:spacing w:line="360" w:lineRule="auto"/>
        <w:ind w:firstLineChars="200" w:firstLine="422"/>
        <w:rPr>
          <w:rFonts w:ascii="宋体" w:hAnsi="宋体" w:cs="宋体" w:hint="eastAsia"/>
          <w:b/>
          <w:bCs/>
          <w:color w:val="000000" w:themeColor="text1"/>
        </w:rPr>
      </w:pPr>
    </w:p>
    <w:p w14:paraId="6EB82EC1" w14:textId="77777777" w:rsidR="00302AC4" w:rsidRDefault="00302AC4">
      <w:pPr>
        <w:adjustRightInd w:val="0"/>
        <w:snapToGrid w:val="0"/>
        <w:spacing w:line="408" w:lineRule="auto"/>
        <w:ind w:rightChars="-329" w:right="-691"/>
        <w:jc w:val="center"/>
        <w:rPr>
          <w:rFonts w:ascii="宋体" w:hAnsi="宋体" w:cs="宋体" w:hint="eastAsia"/>
          <w:b/>
          <w:color w:val="000000" w:themeColor="text1"/>
          <w:sz w:val="36"/>
          <w:szCs w:val="36"/>
        </w:rPr>
      </w:pPr>
    </w:p>
    <w:p w14:paraId="2AE694AE" w14:textId="77777777" w:rsidR="00302AC4" w:rsidRPr="00B01840" w:rsidRDefault="00302AC4" w:rsidP="00B01840">
      <w:pPr>
        <w:rPr>
          <w:rFonts w:hint="eastAsia"/>
        </w:rPr>
      </w:pPr>
    </w:p>
    <w:p w14:paraId="6AE2A6B5" w14:textId="77777777" w:rsidR="00302AC4" w:rsidRDefault="00302AC4">
      <w:pPr>
        <w:spacing w:line="360" w:lineRule="auto"/>
        <w:ind w:firstLineChars="200" w:firstLine="422"/>
        <w:jc w:val="center"/>
        <w:rPr>
          <w:rFonts w:ascii="宋体" w:hAnsi="宋体" w:cs="宋体" w:hint="eastAsia"/>
          <w:b/>
          <w:bCs/>
          <w:color w:val="000000" w:themeColor="text1"/>
        </w:rPr>
      </w:pPr>
    </w:p>
    <w:p w14:paraId="1422633F" w14:textId="77777777" w:rsidR="00302AC4" w:rsidRDefault="00302AC4">
      <w:pPr>
        <w:spacing w:line="360" w:lineRule="auto"/>
        <w:ind w:firstLineChars="200" w:firstLine="422"/>
        <w:jc w:val="center"/>
        <w:rPr>
          <w:rFonts w:ascii="宋体" w:hAnsi="宋体" w:cs="宋体" w:hint="eastAsia"/>
          <w:b/>
          <w:bCs/>
          <w:color w:val="000000" w:themeColor="text1"/>
        </w:rPr>
      </w:pPr>
    </w:p>
    <w:p w14:paraId="0646142C" w14:textId="77777777" w:rsidR="00302AC4" w:rsidRDefault="00000000">
      <w:pPr>
        <w:spacing w:line="360" w:lineRule="auto"/>
        <w:jc w:val="center"/>
        <w:rPr>
          <w:rFonts w:ascii="宋体" w:eastAsia="宋体" w:hAnsi="宋体" w:cs="宋体" w:hint="eastAsia"/>
          <w:sz w:val="52"/>
          <w:szCs w:val="52"/>
        </w:rPr>
      </w:pPr>
      <w:r>
        <w:rPr>
          <w:rFonts w:ascii="宋体" w:eastAsia="宋体" w:hAnsi="宋体" w:cs="宋体" w:hint="eastAsia"/>
          <w:sz w:val="52"/>
          <w:szCs w:val="52"/>
        </w:rPr>
        <w:t>中山大学孙逸仙纪念医院</w:t>
      </w:r>
    </w:p>
    <w:p w14:paraId="49809CDF" w14:textId="77777777" w:rsidR="00302AC4" w:rsidRDefault="00000000">
      <w:pPr>
        <w:spacing w:line="360" w:lineRule="auto"/>
        <w:jc w:val="center"/>
        <w:rPr>
          <w:rFonts w:ascii="宋体" w:eastAsia="宋体" w:hAnsi="宋体" w:cs="宋体" w:hint="eastAsia"/>
          <w:sz w:val="52"/>
          <w:szCs w:val="52"/>
        </w:rPr>
      </w:pPr>
      <w:r>
        <w:rPr>
          <w:rFonts w:ascii="宋体" w:eastAsia="宋体" w:hAnsi="宋体" w:cs="宋体" w:hint="eastAsia"/>
          <w:sz w:val="52"/>
          <w:szCs w:val="52"/>
        </w:rPr>
        <w:t>南北院区能耗监测</w:t>
      </w:r>
      <w:proofErr w:type="gramStart"/>
      <w:r>
        <w:rPr>
          <w:rFonts w:ascii="宋体" w:eastAsia="宋体" w:hAnsi="宋体" w:cs="宋体" w:hint="eastAsia"/>
          <w:sz w:val="52"/>
          <w:szCs w:val="52"/>
        </w:rPr>
        <w:t>系统维保及</w:t>
      </w:r>
      <w:proofErr w:type="gramEnd"/>
      <w:r>
        <w:rPr>
          <w:rFonts w:ascii="宋体" w:eastAsia="宋体" w:hAnsi="宋体" w:cs="宋体" w:hint="eastAsia"/>
          <w:sz w:val="52"/>
          <w:szCs w:val="52"/>
        </w:rPr>
        <w:t>升级服务</w:t>
      </w:r>
    </w:p>
    <w:p w14:paraId="660EFC63" w14:textId="77777777" w:rsidR="00302AC4" w:rsidRDefault="00000000">
      <w:pPr>
        <w:spacing w:line="360" w:lineRule="auto"/>
        <w:jc w:val="center"/>
        <w:rPr>
          <w:rFonts w:ascii="宋体" w:eastAsia="宋体" w:hAnsi="宋体" w:cs="宋体" w:hint="eastAsia"/>
          <w:color w:val="000000" w:themeColor="text1"/>
          <w:sz w:val="52"/>
          <w:szCs w:val="52"/>
        </w:rPr>
      </w:pPr>
      <w:r>
        <w:rPr>
          <w:rFonts w:ascii="宋体" w:eastAsia="宋体" w:hAnsi="宋体" w:cs="宋体" w:hint="eastAsia"/>
          <w:color w:val="000000" w:themeColor="text1"/>
          <w:sz w:val="52"/>
          <w:szCs w:val="52"/>
        </w:rPr>
        <w:t>调研需求书</w:t>
      </w:r>
    </w:p>
    <w:p w14:paraId="67F558F3" w14:textId="77777777" w:rsidR="00302AC4" w:rsidRDefault="00302AC4">
      <w:pPr>
        <w:rPr>
          <w:rFonts w:ascii="宋体" w:eastAsia="宋体" w:hAnsi="宋体" w:cs="宋体" w:hint="eastAsia"/>
          <w:sz w:val="52"/>
          <w:szCs w:val="52"/>
        </w:rPr>
      </w:pPr>
    </w:p>
    <w:p w14:paraId="4A624D33" w14:textId="77777777" w:rsidR="00302AC4" w:rsidRDefault="00302AC4">
      <w:pPr>
        <w:rPr>
          <w:rFonts w:ascii="宋体" w:eastAsia="宋体" w:hAnsi="宋体" w:cs="宋体" w:hint="eastAsia"/>
          <w:sz w:val="52"/>
          <w:szCs w:val="52"/>
        </w:rPr>
      </w:pPr>
    </w:p>
    <w:p w14:paraId="38387F16" w14:textId="77777777" w:rsidR="00302AC4" w:rsidRDefault="00302AC4">
      <w:pPr>
        <w:rPr>
          <w:rFonts w:ascii="宋体" w:eastAsia="宋体" w:hAnsi="宋体" w:cs="宋体" w:hint="eastAsia"/>
          <w:sz w:val="52"/>
          <w:szCs w:val="52"/>
        </w:rPr>
      </w:pPr>
    </w:p>
    <w:p w14:paraId="6A70357F" w14:textId="77777777" w:rsidR="00302AC4" w:rsidRDefault="00302AC4">
      <w:pPr>
        <w:spacing w:line="360" w:lineRule="auto"/>
        <w:ind w:firstLineChars="200" w:firstLine="1044"/>
        <w:jc w:val="center"/>
        <w:rPr>
          <w:rFonts w:ascii="宋体" w:eastAsia="宋体" w:hAnsi="宋体" w:cs="宋体" w:hint="eastAsia"/>
          <w:b/>
          <w:bCs/>
          <w:color w:val="000000" w:themeColor="text1"/>
          <w:sz w:val="52"/>
          <w:szCs w:val="52"/>
        </w:rPr>
      </w:pPr>
    </w:p>
    <w:p w14:paraId="6DC1466A" w14:textId="77777777" w:rsidR="00302AC4" w:rsidRDefault="00302AC4">
      <w:pPr>
        <w:pStyle w:val="1"/>
        <w:numPr>
          <w:ilvl w:val="0"/>
          <w:numId w:val="0"/>
        </w:numPr>
        <w:rPr>
          <w:rFonts w:ascii="宋体" w:hAnsi="宋体" w:cs="宋体" w:hint="eastAsia"/>
          <w:sz w:val="52"/>
          <w:szCs w:val="52"/>
        </w:rPr>
      </w:pPr>
    </w:p>
    <w:p w14:paraId="2AB74553" w14:textId="77777777" w:rsidR="00302AC4" w:rsidRDefault="00302AC4">
      <w:pPr>
        <w:jc w:val="center"/>
        <w:rPr>
          <w:rFonts w:ascii="宋体" w:eastAsia="宋体" w:hAnsi="宋体" w:cs="宋体" w:hint="eastAsia"/>
          <w:b/>
          <w:bCs/>
          <w:sz w:val="52"/>
          <w:szCs w:val="52"/>
        </w:rPr>
      </w:pPr>
    </w:p>
    <w:p w14:paraId="53EB3B85" w14:textId="77777777" w:rsidR="00302AC4" w:rsidRDefault="00000000">
      <w:pPr>
        <w:jc w:val="center"/>
        <w:rPr>
          <w:rFonts w:ascii="宋体" w:eastAsia="宋体" w:hAnsi="宋体" w:cs="宋体" w:hint="eastAsia"/>
          <w:sz w:val="36"/>
          <w:szCs w:val="36"/>
        </w:rPr>
        <w:sectPr w:rsidR="00302AC4">
          <w:pgSz w:w="11905" w:h="16838"/>
          <w:pgMar w:top="1134" w:right="1134" w:bottom="1134" w:left="1134" w:header="0" w:footer="856" w:gutter="0"/>
          <w:cols w:space="0"/>
          <w:docGrid w:linePitch="312"/>
        </w:sectPr>
      </w:pPr>
      <w:r>
        <w:rPr>
          <w:rFonts w:ascii="宋体" w:eastAsia="宋体" w:hAnsi="宋体" w:cs="宋体" w:hint="eastAsia"/>
          <w:sz w:val="36"/>
          <w:szCs w:val="36"/>
        </w:rPr>
        <w:t>2024年10月</w:t>
      </w:r>
    </w:p>
    <w:p w14:paraId="02574A44" w14:textId="77777777" w:rsidR="00302AC4" w:rsidRDefault="00000000">
      <w:pPr>
        <w:jc w:val="center"/>
        <w:rPr>
          <w:rFonts w:ascii="宋体" w:eastAsia="宋体" w:hAnsi="宋体" w:cs="宋体" w:hint="eastAsia"/>
          <w:b/>
          <w:bCs/>
          <w:sz w:val="28"/>
          <w:szCs w:val="28"/>
        </w:rPr>
      </w:pPr>
      <w:r>
        <w:rPr>
          <w:rFonts w:ascii="宋体" w:eastAsia="宋体" w:hAnsi="宋体" w:cs="宋体" w:hint="eastAsia"/>
          <w:b/>
          <w:bCs/>
          <w:sz w:val="28"/>
          <w:szCs w:val="28"/>
        </w:rPr>
        <w:lastRenderedPageBreak/>
        <w:t>目 录</w:t>
      </w:r>
    </w:p>
    <w:p w14:paraId="69C8CA39" w14:textId="77777777" w:rsidR="00302AC4" w:rsidRDefault="00302AC4"/>
    <w:p w14:paraId="5702DD67" w14:textId="77777777" w:rsidR="00302AC4" w:rsidRDefault="00000000">
      <w:pPr>
        <w:pStyle w:val="TOC1"/>
        <w:tabs>
          <w:tab w:val="right" w:leader="dot" w:pos="9637"/>
        </w:tabs>
        <w:spacing w:line="360" w:lineRule="auto"/>
        <w:rPr>
          <w:rFonts w:ascii="宋体" w:eastAsia="宋体" w:hAnsi="宋体" w:cs="宋体" w:hint="eastAsia"/>
          <w:sz w:val="24"/>
        </w:rPr>
      </w:pPr>
      <w:r>
        <w:rPr>
          <w:rFonts w:ascii="宋体" w:eastAsia="宋体" w:hAnsi="宋体" w:cs="宋体" w:hint="eastAsia"/>
          <w:sz w:val="24"/>
        </w:rPr>
        <w:fldChar w:fldCharType="begin"/>
      </w:r>
      <w:r>
        <w:rPr>
          <w:rFonts w:ascii="宋体" w:eastAsia="宋体" w:hAnsi="宋体" w:cs="宋体" w:hint="eastAsia"/>
          <w:sz w:val="24"/>
        </w:rPr>
        <w:instrText xml:space="preserve">TOC \o "1-3" \h \u </w:instrText>
      </w:r>
      <w:r>
        <w:rPr>
          <w:rFonts w:ascii="宋体" w:eastAsia="宋体" w:hAnsi="宋体" w:cs="宋体" w:hint="eastAsia"/>
          <w:sz w:val="24"/>
        </w:rPr>
        <w:fldChar w:fldCharType="separate"/>
      </w:r>
      <w:hyperlink w:anchor="_Toc21801" w:history="1">
        <w:r>
          <w:rPr>
            <w:rFonts w:ascii="宋体" w:eastAsia="宋体" w:hAnsi="宋体" w:cs="宋体" w:hint="eastAsia"/>
            <w:sz w:val="24"/>
          </w:rPr>
          <w:t>1. 项目概况</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_Toc21801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hyperlink>
    </w:p>
    <w:p w14:paraId="23F48A18" w14:textId="77777777" w:rsidR="00302AC4" w:rsidRDefault="00000000">
      <w:pPr>
        <w:pStyle w:val="TOC1"/>
        <w:tabs>
          <w:tab w:val="right" w:leader="dot" w:pos="9637"/>
        </w:tabs>
        <w:spacing w:line="360" w:lineRule="auto"/>
        <w:rPr>
          <w:rFonts w:ascii="宋体" w:eastAsia="宋体" w:hAnsi="宋体" w:cs="宋体" w:hint="eastAsia"/>
          <w:sz w:val="24"/>
        </w:rPr>
      </w:pPr>
      <w:hyperlink w:anchor="_Toc4388" w:history="1">
        <w:r>
          <w:rPr>
            <w:rFonts w:ascii="宋体" w:eastAsia="宋体" w:hAnsi="宋体" w:cs="宋体" w:hint="eastAsia"/>
            <w:sz w:val="24"/>
            <w:lang w:val="zh-TW"/>
          </w:rPr>
          <w:t>2. 项目</w:t>
        </w:r>
        <w:r>
          <w:rPr>
            <w:rFonts w:ascii="宋体" w:eastAsia="宋体" w:hAnsi="宋体" w:cs="宋体" w:hint="eastAsia"/>
            <w:sz w:val="24"/>
          </w:rPr>
          <w:t>要求</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_Toc4388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hyperlink>
    </w:p>
    <w:p w14:paraId="77626DBE" w14:textId="77777777" w:rsidR="00302AC4" w:rsidRDefault="00000000">
      <w:pPr>
        <w:pStyle w:val="TOC1"/>
        <w:tabs>
          <w:tab w:val="right" w:leader="dot" w:pos="9637"/>
        </w:tabs>
        <w:spacing w:line="360" w:lineRule="auto"/>
        <w:rPr>
          <w:rFonts w:ascii="宋体" w:eastAsia="宋体" w:hAnsi="宋体" w:cs="宋体" w:hint="eastAsia"/>
          <w:sz w:val="24"/>
        </w:rPr>
      </w:pPr>
      <w:hyperlink w:anchor="_Toc30705" w:history="1">
        <w:r>
          <w:rPr>
            <w:rFonts w:ascii="宋体" w:eastAsia="宋体" w:hAnsi="宋体" w:cs="宋体" w:hint="eastAsia"/>
            <w:sz w:val="24"/>
          </w:rPr>
          <w:t>3. 项目建设清单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_Toc30705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1</w:t>
        </w:r>
        <w:r>
          <w:rPr>
            <w:rFonts w:ascii="宋体" w:eastAsia="宋体" w:hAnsi="宋体" w:cs="宋体" w:hint="eastAsia"/>
            <w:sz w:val="24"/>
          </w:rPr>
          <w:fldChar w:fldCharType="end"/>
        </w:r>
      </w:hyperlink>
    </w:p>
    <w:p w14:paraId="1619069D" w14:textId="77777777" w:rsidR="00302AC4" w:rsidRDefault="00000000">
      <w:pPr>
        <w:pStyle w:val="TOC1"/>
        <w:tabs>
          <w:tab w:val="right" w:leader="dot" w:pos="9637"/>
        </w:tabs>
        <w:spacing w:line="360" w:lineRule="auto"/>
        <w:rPr>
          <w:rFonts w:ascii="宋体" w:eastAsia="宋体" w:hAnsi="宋体" w:cs="宋体" w:hint="eastAsia"/>
          <w:sz w:val="24"/>
        </w:rPr>
      </w:pPr>
      <w:hyperlink w:anchor="_Toc9410" w:history="1">
        <w:r>
          <w:rPr>
            <w:rFonts w:ascii="宋体" w:eastAsia="宋体" w:hAnsi="宋体" w:cs="宋体" w:hint="eastAsia"/>
            <w:sz w:val="24"/>
          </w:rPr>
          <w:t>4. 维保服务要求</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_Toc9410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591F80C9" w14:textId="77777777" w:rsidR="00302AC4" w:rsidRDefault="00000000">
      <w:pPr>
        <w:pStyle w:val="TOC2"/>
        <w:tabs>
          <w:tab w:val="right" w:leader="dot" w:pos="9637"/>
        </w:tabs>
        <w:spacing w:line="360" w:lineRule="auto"/>
        <w:rPr>
          <w:rFonts w:ascii="宋体" w:eastAsia="宋体" w:hAnsi="宋体" w:cs="宋体" w:hint="eastAsia"/>
          <w:sz w:val="24"/>
        </w:rPr>
      </w:pPr>
      <w:hyperlink w:anchor="_Toc9817" w:history="1">
        <w:r>
          <w:rPr>
            <w:rFonts w:ascii="宋体" w:eastAsia="宋体" w:hAnsi="宋体" w:cs="宋体" w:hint="eastAsia"/>
            <w:sz w:val="24"/>
          </w:rPr>
          <w:t>4.1. 维保服务清单</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_Toc9817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6</w:t>
        </w:r>
        <w:r>
          <w:rPr>
            <w:rFonts w:ascii="宋体" w:eastAsia="宋体" w:hAnsi="宋体" w:cs="宋体" w:hint="eastAsia"/>
            <w:sz w:val="24"/>
          </w:rPr>
          <w:fldChar w:fldCharType="end"/>
        </w:r>
      </w:hyperlink>
    </w:p>
    <w:p w14:paraId="289C915D" w14:textId="77777777" w:rsidR="00302AC4" w:rsidRDefault="00000000">
      <w:pPr>
        <w:pStyle w:val="TOC2"/>
        <w:tabs>
          <w:tab w:val="right" w:leader="dot" w:pos="9637"/>
        </w:tabs>
        <w:spacing w:line="360" w:lineRule="auto"/>
        <w:rPr>
          <w:rFonts w:ascii="宋体" w:eastAsia="宋体" w:hAnsi="宋体" w:cs="宋体" w:hint="eastAsia"/>
          <w:sz w:val="24"/>
        </w:rPr>
      </w:pPr>
      <w:hyperlink w:anchor="_Toc18020" w:history="1">
        <w:r>
          <w:rPr>
            <w:rFonts w:ascii="宋体" w:eastAsia="宋体" w:hAnsi="宋体" w:cs="宋体" w:hint="eastAsia"/>
            <w:sz w:val="24"/>
          </w:rPr>
          <w:t>4.2. 维保内容及要求</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_Toc18020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1981574F" w14:textId="77777777" w:rsidR="00302AC4" w:rsidRDefault="00000000">
      <w:pPr>
        <w:pStyle w:val="TOC3"/>
        <w:tabs>
          <w:tab w:val="right" w:leader="dot" w:pos="9637"/>
        </w:tabs>
        <w:spacing w:line="360" w:lineRule="auto"/>
        <w:rPr>
          <w:rFonts w:ascii="宋体" w:eastAsia="宋体" w:hAnsi="宋体" w:cs="宋体" w:hint="eastAsia"/>
          <w:sz w:val="24"/>
        </w:rPr>
      </w:pPr>
      <w:hyperlink w:anchor="_Toc256" w:history="1">
        <w:r>
          <w:rPr>
            <w:rFonts w:ascii="宋体" w:eastAsia="宋体" w:hAnsi="宋体" w:cs="宋体" w:hint="eastAsia"/>
            <w:sz w:val="24"/>
          </w:rPr>
          <w:t>4.2.1. 能耗监测系统升级服务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_Toc256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7</w:t>
        </w:r>
        <w:r>
          <w:rPr>
            <w:rFonts w:ascii="宋体" w:eastAsia="宋体" w:hAnsi="宋体" w:cs="宋体" w:hint="eastAsia"/>
            <w:sz w:val="24"/>
          </w:rPr>
          <w:fldChar w:fldCharType="end"/>
        </w:r>
      </w:hyperlink>
    </w:p>
    <w:p w14:paraId="11FF1FDC" w14:textId="77777777" w:rsidR="00302AC4" w:rsidRDefault="00000000">
      <w:pPr>
        <w:pStyle w:val="TOC3"/>
        <w:tabs>
          <w:tab w:val="right" w:leader="dot" w:pos="9637"/>
        </w:tabs>
        <w:spacing w:line="360" w:lineRule="auto"/>
        <w:rPr>
          <w:rFonts w:ascii="宋体" w:eastAsia="宋体" w:hAnsi="宋体" w:cs="宋体" w:hint="eastAsia"/>
          <w:sz w:val="24"/>
        </w:rPr>
      </w:pPr>
      <w:hyperlink w:anchor="_Toc9569" w:history="1">
        <w:r>
          <w:rPr>
            <w:rFonts w:ascii="宋体" w:eastAsia="宋体" w:hAnsi="宋体" w:cs="宋体" w:hint="eastAsia"/>
            <w:sz w:val="24"/>
          </w:rPr>
          <w:t>4.2.2. 现场维保服务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_Toc9569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8</w:t>
        </w:r>
        <w:r>
          <w:rPr>
            <w:rFonts w:ascii="宋体" w:eastAsia="宋体" w:hAnsi="宋体" w:cs="宋体" w:hint="eastAsia"/>
            <w:sz w:val="24"/>
          </w:rPr>
          <w:fldChar w:fldCharType="end"/>
        </w:r>
      </w:hyperlink>
    </w:p>
    <w:p w14:paraId="0375EA35" w14:textId="77777777" w:rsidR="00302AC4" w:rsidRDefault="00000000">
      <w:pPr>
        <w:pStyle w:val="TOC3"/>
        <w:tabs>
          <w:tab w:val="right" w:leader="dot" w:pos="9637"/>
        </w:tabs>
        <w:spacing w:line="360" w:lineRule="auto"/>
        <w:rPr>
          <w:rFonts w:ascii="宋体" w:eastAsia="宋体" w:hAnsi="宋体" w:cs="宋体" w:hint="eastAsia"/>
          <w:sz w:val="24"/>
        </w:rPr>
      </w:pPr>
      <w:hyperlink w:anchor="_Toc3662" w:history="1">
        <w:r>
          <w:rPr>
            <w:rFonts w:ascii="宋体" w:eastAsia="宋体" w:hAnsi="宋体" w:cs="宋体" w:hint="eastAsia"/>
            <w:sz w:val="24"/>
          </w:rPr>
          <w:t>4.2.3. 现场硬件维保服务</w:t>
        </w:r>
        <w:r>
          <w:rPr>
            <w:rFonts w:ascii="宋体" w:eastAsia="宋体" w:hAnsi="宋体" w:cs="宋体" w:hint="eastAsia"/>
            <w:sz w:val="24"/>
          </w:rPr>
          <w:tab/>
        </w:r>
        <w:r>
          <w:rPr>
            <w:rFonts w:ascii="宋体" w:eastAsia="宋体" w:hAnsi="宋体" w:cs="宋体" w:hint="eastAsia"/>
            <w:sz w:val="24"/>
          </w:rPr>
          <w:fldChar w:fldCharType="begin"/>
        </w:r>
        <w:r>
          <w:rPr>
            <w:rFonts w:ascii="宋体" w:eastAsia="宋体" w:hAnsi="宋体" w:cs="宋体" w:hint="eastAsia"/>
            <w:sz w:val="24"/>
          </w:rPr>
          <w:instrText xml:space="preserve"> PAGEREF _Toc3662 \h </w:instrText>
        </w:r>
        <w:r>
          <w:rPr>
            <w:rFonts w:ascii="宋体" w:eastAsia="宋体" w:hAnsi="宋体" w:cs="宋体" w:hint="eastAsia"/>
            <w:sz w:val="24"/>
          </w:rPr>
        </w:r>
        <w:r>
          <w:rPr>
            <w:rFonts w:ascii="宋体" w:eastAsia="宋体" w:hAnsi="宋体" w:cs="宋体" w:hint="eastAsia"/>
            <w:sz w:val="24"/>
          </w:rPr>
          <w:fldChar w:fldCharType="separate"/>
        </w:r>
        <w:r>
          <w:rPr>
            <w:rFonts w:ascii="宋体" w:eastAsia="宋体" w:hAnsi="宋体" w:cs="宋体" w:hint="eastAsia"/>
            <w:sz w:val="24"/>
          </w:rPr>
          <w:t>9</w:t>
        </w:r>
        <w:r>
          <w:rPr>
            <w:rFonts w:ascii="宋体" w:eastAsia="宋体" w:hAnsi="宋体" w:cs="宋体" w:hint="eastAsia"/>
            <w:sz w:val="24"/>
          </w:rPr>
          <w:fldChar w:fldCharType="end"/>
        </w:r>
      </w:hyperlink>
    </w:p>
    <w:p w14:paraId="5DA697F8" w14:textId="77777777" w:rsidR="00302AC4" w:rsidRDefault="00000000">
      <w:pPr>
        <w:spacing w:line="360" w:lineRule="auto"/>
      </w:pPr>
      <w:r>
        <w:rPr>
          <w:rFonts w:ascii="宋体" w:eastAsia="宋体" w:hAnsi="宋体" w:cs="宋体" w:hint="eastAsia"/>
          <w:sz w:val="24"/>
        </w:rPr>
        <w:fldChar w:fldCharType="end"/>
      </w:r>
    </w:p>
    <w:p w14:paraId="0317DD50" w14:textId="77777777" w:rsidR="00302AC4" w:rsidRDefault="00302AC4" w:rsidP="0016077B">
      <w:pPr>
        <w:rPr>
          <w:rFonts w:hint="eastAsia"/>
          <w:b/>
          <w:bCs/>
          <w:sz w:val="36"/>
          <w:szCs w:val="36"/>
        </w:rPr>
      </w:pPr>
    </w:p>
    <w:p w14:paraId="28184F8C" w14:textId="77777777" w:rsidR="0016077B" w:rsidRDefault="0016077B">
      <w:pPr>
        <w:widowControl/>
        <w:jc w:val="left"/>
        <w:rPr>
          <w:rFonts w:eastAsia="宋体"/>
          <w:b/>
          <w:kern w:val="44"/>
          <w:sz w:val="32"/>
        </w:rPr>
      </w:pPr>
      <w:bookmarkStart w:id="0" w:name="_Toc21801"/>
      <w:r>
        <w:br w:type="page"/>
      </w:r>
    </w:p>
    <w:p w14:paraId="4591EEAC" w14:textId="7CFA443A" w:rsidR="00302AC4" w:rsidRDefault="00000000">
      <w:pPr>
        <w:pStyle w:val="1"/>
      </w:pPr>
      <w:r>
        <w:rPr>
          <w:rFonts w:hint="eastAsia"/>
        </w:rPr>
        <w:lastRenderedPageBreak/>
        <w:t>项目概况</w:t>
      </w:r>
      <w:bookmarkEnd w:id="0"/>
    </w:p>
    <w:p w14:paraId="0A7E2790" w14:textId="35C61A7A" w:rsidR="00302AC4" w:rsidRDefault="00000000">
      <w:pPr>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中山大学孙逸仙纪念医院南北院区能耗监测系统维保及升级服务项目</w:t>
      </w:r>
      <w:r>
        <w:rPr>
          <w:rFonts w:ascii="宋体" w:eastAsia="宋体" w:hAnsi="宋体" w:cs="宋体" w:hint="eastAsia"/>
          <w:color w:val="000000" w:themeColor="text1"/>
          <w:sz w:val="24"/>
          <w:lang w:val="zh-TW"/>
        </w:rPr>
        <w:t>，为满足医院管理需求，对</w:t>
      </w:r>
      <w:r>
        <w:rPr>
          <w:rFonts w:ascii="宋体" w:eastAsia="宋体" w:hAnsi="宋体" w:cs="宋体" w:hint="eastAsia"/>
          <w:color w:val="000000" w:themeColor="text1"/>
          <w:sz w:val="24"/>
        </w:rPr>
        <w:t>现有能耗监测系统进行升级优化</w:t>
      </w:r>
      <w:r>
        <w:rPr>
          <w:rFonts w:ascii="宋体" w:eastAsia="宋体" w:hAnsi="宋体" w:cs="宋体" w:hint="eastAsia"/>
          <w:color w:val="000000" w:themeColor="text1"/>
          <w:sz w:val="24"/>
          <w:lang w:val="zh-TW"/>
        </w:rPr>
        <w:t>。</w:t>
      </w:r>
      <w:r>
        <w:rPr>
          <w:rFonts w:ascii="宋体" w:eastAsia="宋体" w:hAnsi="宋体" w:cs="宋体" w:hint="eastAsia"/>
          <w:color w:val="000000" w:themeColor="text1"/>
          <w:sz w:val="24"/>
        </w:rPr>
        <w:t>通过本项目采购，对医院水、电等能耗量进行统计及分析，完善部分区域的数字化管理，</w:t>
      </w:r>
      <w:r>
        <w:rPr>
          <w:rFonts w:ascii="宋体" w:eastAsia="宋体" w:hAnsi="宋体" w:cs="宋体" w:hint="eastAsia"/>
          <w:color w:val="000000" w:themeColor="text1"/>
          <w:sz w:val="24"/>
          <w:lang w:val="zh-TW"/>
        </w:rPr>
        <w:t>保障</w:t>
      </w:r>
      <w:r>
        <w:rPr>
          <w:rFonts w:ascii="宋体" w:eastAsia="宋体" w:hAnsi="宋体" w:cs="宋体" w:hint="eastAsia"/>
          <w:color w:val="000000" w:themeColor="text1"/>
          <w:sz w:val="24"/>
        </w:rPr>
        <w:t>我院能耗监测系统能正常实时上传相关能耗数据至国家卫健委平台、广州市发改委平台，有效指导与开展能耗监测与管理工作，为高耗能建筑的节能技术改造和能源审计提供科学依据，为医院进行全成本核算打好坚实基础。</w:t>
      </w:r>
    </w:p>
    <w:p w14:paraId="24C07916" w14:textId="77777777" w:rsidR="00302AC4" w:rsidRDefault="00000000">
      <w:pPr>
        <w:pStyle w:val="1"/>
        <w:rPr>
          <w:lang w:val="zh-TW"/>
        </w:rPr>
      </w:pPr>
      <w:bookmarkStart w:id="1" w:name="_Toc4388"/>
      <w:r>
        <w:rPr>
          <w:rFonts w:hint="eastAsia"/>
          <w:lang w:val="zh-TW"/>
        </w:rPr>
        <w:t>项目</w:t>
      </w:r>
      <w:r>
        <w:rPr>
          <w:rFonts w:hint="eastAsia"/>
        </w:rPr>
        <w:t>要求</w:t>
      </w:r>
      <w:bookmarkEnd w:id="1"/>
    </w:p>
    <w:p w14:paraId="06F1F632" w14:textId="77777777" w:rsidR="00302AC4" w:rsidRDefault="00000000">
      <w:pPr>
        <w:spacing w:line="360" w:lineRule="auto"/>
        <w:ind w:firstLineChars="200" w:firstLine="480"/>
        <w:rPr>
          <w:rFonts w:ascii="宋体" w:eastAsia="宋体" w:hAnsi="宋体" w:cs="宋体" w:hint="eastAsia"/>
          <w:color w:val="000000" w:themeColor="text1"/>
          <w:sz w:val="24"/>
          <w:lang w:val="zh-TW"/>
        </w:rPr>
      </w:pPr>
      <w:r>
        <w:rPr>
          <w:rFonts w:ascii="宋体" w:eastAsia="宋体" w:hAnsi="宋体" w:cs="宋体" w:hint="eastAsia"/>
          <w:color w:val="000000" w:themeColor="text1"/>
          <w:sz w:val="24"/>
        </w:rPr>
        <w:t>本项目</w:t>
      </w:r>
      <w:r>
        <w:rPr>
          <w:rFonts w:ascii="宋体" w:eastAsia="宋体" w:hAnsi="宋体" w:cs="宋体" w:hint="eastAsia"/>
          <w:color w:val="000000" w:themeColor="text1"/>
          <w:sz w:val="24"/>
          <w:lang w:val="zh-TW"/>
        </w:rPr>
        <w:t>按照《医院建筑能耗监管系统建设技术导则（试行）》和《医院建筑能耗监管系统运行管理技术导则（试行）》的相关要求，对中山大学孙逸仙纪念医院南北院区的能耗监测系统进行维护及</w:t>
      </w:r>
      <w:r>
        <w:rPr>
          <w:rFonts w:ascii="宋体" w:eastAsia="宋体" w:hAnsi="宋体" w:cs="宋体" w:hint="eastAsia"/>
          <w:color w:val="000000" w:themeColor="text1"/>
          <w:sz w:val="24"/>
        </w:rPr>
        <w:t>升级</w:t>
      </w:r>
      <w:r>
        <w:rPr>
          <w:rFonts w:ascii="宋体" w:eastAsia="宋体" w:hAnsi="宋体" w:cs="宋体" w:hint="eastAsia"/>
          <w:color w:val="000000" w:themeColor="text1"/>
          <w:sz w:val="24"/>
          <w:lang w:val="zh-TW"/>
        </w:rPr>
        <w:t>服务，项目包括对系统进行整体升级与调试，对系统开展日常维护保养工作，</w:t>
      </w:r>
      <w:r>
        <w:rPr>
          <w:rFonts w:ascii="宋体" w:eastAsia="宋体" w:hAnsi="宋体" w:cs="宋体" w:hint="eastAsia"/>
          <w:color w:val="000000" w:themeColor="text1"/>
          <w:sz w:val="24"/>
        </w:rPr>
        <w:t>按价格清单</w:t>
      </w:r>
      <w:r>
        <w:rPr>
          <w:rFonts w:ascii="宋体" w:eastAsia="宋体" w:hAnsi="宋体" w:cs="宋体" w:hint="eastAsia"/>
          <w:color w:val="000000" w:themeColor="text1"/>
          <w:sz w:val="24"/>
          <w:lang w:val="zh-TW"/>
        </w:rPr>
        <w:t>进行相关维保材料（设备）的供货，恢复</w:t>
      </w:r>
      <w:r>
        <w:rPr>
          <w:rFonts w:ascii="宋体" w:eastAsia="宋体" w:hAnsi="宋体" w:cs="宋体" w:hint="eastAsia"/>
          <w:color w:val="000000" w:themeColor="text1"/>
          <w:sz w:val="24"/>
        </w:rPr>
        <w:t>含</w:t>
      </w:r>
      <w:r>
        <w:rPr>
          <w:rFonts w:ascii="宋体" w:eastAsia="宋体" w:hAnsi="宋体" w:cs="宋体" w:hint="eastAsia"/>
          <w:color w:val="000000" w:themeColor="text1"/>
          <w:sz w:val="24"/>
          <w:lang w:val="zh-TW"/>
        </w:rPr>
        <w:t>水泵房、</w:t>
      </w:r>
      <w:proofErr w:type="gramStart"/>
      <w:r>
        <w:rPr>
          <w:rFonts w:ascii="宋体" w:eastAsia="宋体" w:hAnsi="宋体" w:cs="宋体" w:hint="eastAsia"/>
          <w:color w:val="000000" w:themeColor="text1"/>
          <w:sz w:val="24"/>
          <w:lang w:val="zh-TW"/>
        </w:rPr>
        <w:t>博济楼前座</w:t>
      </w:r>
      <w:proofErr w:type="gramEnd"/>
      <w:r>
        <w:rPr>
          <w:rFonts w:ascii="宋体" w:eastAsia="宋体" w:hAnsi="宋体" w:cs="宋体" w:hint="eastAsia"/>
          <w:color w:val="000000" w:themeColor="text1"/>
          <w:sz w:val="24"/>
          <w:lang w:val="zh-TW"/>
        </w:rPr>
        <w:t>、广协楼、门诊B区、</w:t>
      </w:r>
      <w:proofErr w:type="gramStart"/>
      <w:r>
        <w:rPr>
          <w:rFonts w:ascii="宋体" w:eastAsia="宋体" w:hAnsi="宋体" w:cs="宋体" w:hint="eastAsia"/>
          <w:color w:val="000000" w:themeColor="text1"/>
          <w:sz w:val="24"/>
          <w:lang w:val="zh-TW"/>
        </w:rPr>
        <w:t>博济楼后座</w:t>
      </w:r>
      <w:proofErr w:type="gramEnd"/>
      <w:r>
        <w:rPr>
          <w:rFonts w:ascii="宋体" w:eastAsia="宋体" w:hAnsi="宋体" w:cs="宋体" w:hint="eastAsia"/>
          <w:color w:val="000000" w:themeColor="text1"/>
          <w:sz w:val="24"/>
          <w:lang w:val="zh-TW"/>
        </w:rPr>
        <w:t>等区域内能耗监测信息点（</w:t>
      </w:r>
      <w:r>
        <w:rPr>
          <w:rFonts w:ascii="宋体" w:eastAsia="宋体" w:hAnsi="宋体" w:cs="宋体" w:hint="eastAsia"/>
          <w:color w:val="000000" w:themeColor="text1"/>
          <w:sz w:val="24"/>
        </w:rPr>
        <w:t>若因仪表、通讯线</w:t>
      </w:r>
      <w:r>
        <w:rPr>
          <w:rFonts w:ascii="宋体" w:eastAsia="宋体" w:hAnsi="宋体" w:cs="宋体" w:hint="eastAsia"/>
          <w:color w:val="000000" w:themeColor="text1"/>
          <w:sz w:val="24"/>
          <w:lang w:val="zh-TW"/>
        </w:rPr>
        <w:t>损坏</w:t>
      </w:r>
      <w:r>
        <w:rPr>
          <w:rFonts w:ascii="宋体" w:eastAsia="宋体" w:hAnsi="宋体" w:cs="宋体" w:hint="eastAsia"/>
          <w:color w:val="000000" w:themeColor="text1"/>
          <w:sz w:val="24"/>
        </w:rPr>
        <w:t>出现需额外采购耗材的情况，响应人按所需材料报价，采购人自行采购</w:t>
      </w:r>
      <w:r>
        <w:rPr>
          <w:rFonts w:ascii="宋体" w:eastAsia="宋体" w:hAnsi="宋体" w:cs="宋体" w:hint="eastAsia"/>
          <w:color w:val="000000" w:themeColor="text1"/>
          <w:sz w:val="24"/>
          <w:lang w:val="zh-TW"/>
        </w:rPr>
        <w:t>）。</w:t>
      </w:r>
    </w:p>
    <w:p w14:paraId="0B7E8E4B" w14:textId="77777777" w:rsidR="00302AC4" w:rsidRDefault="00000000">
      <w:pPr>
        <w:spacing w:line="360" w:lineRule="auto"/>
        <w:ind w:firstLineChars="200" w:firstLine="480"/>
        <w:rPr>
          <w:rFonts w:ascii="宋体" w:eastAsia="宋体" w:hAnsi="宋体" w:cs="宋体" w:hint="eastAsia"/>
          <w:color w:val="000000" w:themeColor="text1"/>
          <w:sz w:val="24"/>
          <w:lang w:val="zh-TW"/>
        </w:rPr>
      </w:pPr>
      <w:r>
        <w:rPr>
          <w:rFonts w:ascii="宋体" w:eastAsia="宋体" w:hAnsi="宋体" w:cs="宋体" w:hint="eastAsia"/>
          <w:color w:val="000000" w:themeColor="text1"/>
          <w:sz w:val="24"/>
          <w:lang w:val="zh-TW"/>
        </w:rPr>
        <w:t>为实现建筑智能化的多维度管理，</w:t>
      </w:r>
      <w:proofErr w:type="gramStart"/>
      <w:r>
        <w:rPr>
          <w:rFonts w:ascii="宋体" w:eastAsia="宋体" w:hAnsi="宋体" w:cs="宋体" w:hint="eastAsia"/>
          <w:color w:val="000000" w:themeColor="text1"/>
          <w:sz w:val="24"/>
          <w:lang w:val="zh-TW"/>
        </w:rPr>
        <w:t>本期需</w:t>
      </w:r>
      <w:proofErr w:type="gramEnd"/>
      <w:r>
        <w:rPr>
          <w:rFonts w:ascii="宋体" w:eastAsia="宋体" w:hAnsi="宋体" w:cs="宋体" w:hint="eastAsia"/>
          <w:color w:val="000000" w:themeColor="text1"/>
          <w:sz w:val="24"/>
          <w:lang w:val="zh-TW"/>
        </w:rPr>
        <w:t>将南北院区污水检测数据、北院区检验科智能照明监控系统、</w:t>
      </w:r>
      <w:r>
        <w:rPr>
          <w:rFonts w:ascii="宋体" w:eastAsia="宋体" w:hAnsi="宋体" w:cs="宋体" w:hint="eastAsia"/>
          <w:color w:val="000000" w:themeColor="text1"/>
          <w:sz w:val="24"/>
        </w:rPr>
        <w:t>电梯管理系统；</w:t>
      </w:r>
      <w:r>
        <w:rPr>
          <w:rFonts w:ascii="宋体" w:eastAsia="宋体" w:hAnsi="宋体" w:cs="宋体" w:hint="eastAsia"/>
          <w:color w:val="000000" w:themeColor="text1"/>
          <w:sz w:val="24"/>
          <w:lang w:val="zh-TW"/>
        </w:rPr>
        <w:t>南海院区多联机及分体空调系统接入到现有能源管理系统中。为提升医院的用电安全可靠性，本次建设将在南北院高压进出线安装无线测温装置。</w:t>
      </w:r>
    </w:p>
    <w:p w14:paraId="11259A95" w14:textId="77777777" w:rsidR="00302AC4" w:rsidRDefault="00000000">
      <w:pPr>
        <w:spacing w:line="360" w:lineRule="auto"/>
        <w:ind w:firstLineChars="200" w:firstLine="480"/>
        <w:rPr>
          <w:rFonts w:ascii="宋体" w:hAnsi="宋体" w:cs="宋体" w:hint="eastAsia"/>
          <w:color w:val="000000" w:themeColor="text1"/>
          <w:sz w:val="24"/>
        </w:rPr>
      </w:pPr>
      <w:r>
        <w:rPr>
          <w:rFonts w:ascii="宋体" w:eastAsia="宋体" w:hAnsi="宋体" w:cs="宋体" w:hint="eastAsia"/>
          <w:color w:val="000000" w:themeColor="text1"/>
          <w:sz w:val="24"/>
        </w:rPr>
        <w:t>投标人</w:t>
      </w:r>
      <w:r>
        <w:rPr>
          <w:rFonts w:ascii="宋体" w:eastAsia="宋体" w:hAnsi="宋体" w:cs="宋体" w:hint="eastAsia"/>
          <w:color w:val="000000" w:themeColor="text1"/>
          <w:sz w:val="24"/>
          <w:lang w:val="zh-TW"/>
        </w:rPr>
        <w:t>按实际需求升级</w:t>
      </w:r>
      <w:r>
        <w:rPr>
          <w:rFonts w:ascii="宋体" w:eastAsia="宋体" w:hAnsi="宋体" w:cs="宋体" w:hint="eastAsia"/>
          <w:color w:val="000000" w:themeColor="text1"/>
          <w:sz w:val="24"/>
        </w:rPr>
        <w:t>系统</w:t>
      </w:r>
      <w:r>
        <w:rPr>
          <w:rFonts w:ascii="宋体" w:eastAsia="宋体" w:hAnsi="宋体" w:cs="宋体" w:hint="eastAsia"/>
          <w:color w:val="000000" w:themeColor="text1"/>
          <w:sz w:val="24"/>
          <w:lang w:val="zh-TW"/>
        </w:rPr>
        <w:t>软件，为招标人提供相关技术支持及培训等</w:t>
      </w:r>
      <w:r>
        <w:rPr>
          <w:rFonts w:ascii="宋体" w:hAnsi="宋体" w:cs="宋体" w:hint="eastAsia"/>
          <w:color w:val="000000" w:themeColor="text1"/>
          <w:sz w:val="24"/>
        </w:rPr>
        <w:t>服务。</w:t>
      </w:r>
    </w:p>
    <w:p w14:paraId="6AA7F69B" w14:textId="77777777" w:rsidR="00302AC4" w:rsidRDefault="00000000">
      <w:pPr>
        <w:pStyle w:val="1"/>
      </w:pPr>
      <w:bookmarkStart w:id="2" w:name="_Toc30705"/>
      <w:r>
        <w:rPr>
          <w:rFonts w:hint="eastAsia"/>
        </w:rPr>
        <w:t>项目建设清单</w:t>
      </w:r>
      <w:bookmarkEnd w:id="2"/>
    </w:p>
    <w:tbl>
      <w:tblPr>
        <w:tblW w:w="9210" w:type="dxa"/>
        <w:tblInd w:w="93" w:type="dxa"/>
        <w:tblLayout w:type="fixed"/>
        <w:tblLook w:val="04A0" w:firstRow="1" w:lastRow="0" w:firstColumn="1" w:lastColumn="0" w:noHBand="0" w:noVBand="1"/>
      </w:tblPr>
      <w:tblGrid>
        <w:gridCol w:w="313"/>
        <w:gridCol w:w="1568"/>
        <w:gridCol w:w="2341"/>
        <w:gridCol w:w="3433"/>
        <w:gridCol w:w="792"/>
        <w:gridCol w:w="763"/>
      </w:tblGrid>
      <w:tr w:rsidR="00302AC4" w14:paraId="55CB7732" w14:textId="77777777">
        <w:trPr>
          <w:trHeight w:val="360"/>
        </w:trPr>
        <w:tc>
          <w:tcPr>
            <w:tcW w:w="313" w:type="dxa"/>
            <w:vMerge w:val="restart"/>
            <w:tcBorders>
              <w:top w:val="single" w:sz="4" w:space="0" w:color="000000"/>
              <w:left w:val="single" w:sz="4" w:space="0" w:color="000000"/>
              <w:bottom w:val="nil"/>
              <w:right w:val="single" w:sz="4" w:space="0" w:color="000000"/>
            </w:tcBorders>
            <w:shd w:val="clear" w:color="auto" w:fill="auto"/>
            <w:vAlign w:val="center"/>
          </w:tcPr>
          <w:p w14:paraId="48AC862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568" w:type="dxa"/>
            <w:vMerge w:val="restart"/>
            <w:tcBorders>
              <w:top w:val="single" w:sz="4" w:space="0" w:color="000000"/>
              <w:left w:val="single" w:sz="4" w:space="0" w:color="000000"/>
              <w:bottom w:val="nil"/>
              <w:right w:val="single" w:sz="4" w:space="0" w:color="000000"/>
            </w:tcBorders>
            <w:shd w:val="clear" w:color="auto" w:fill="auto"/>
            <w:vAlign w:val="center"/>
          </w:tcPr>
          <w:p w14:paraId="1DA36AF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北院水泵房</w:t>
            </w:r>
          </w:p>
        </w:tc>
        <w:tc>
          <w:tcPr>
            <w:tcW w:w="2341" w:type="dxa"/>
            <w:tcBorders>
              <w:top w:val="single" w:sz="4" w:space="0" w:color="000000"/>
              <w:left w:val="single" w:sz="4" w:space="0" w:color="000000"/>
              <w:bottom w:val="nil"/>
              <w:right w:val="single" w:sz="4" w:space="0" w:color="000000"/>
            </w:tcBorders>
            <w:shd w:val="clear" w:color="auto" w:fill="auto"/>
            <w:noWrap/>
            <w:vAlign w:val="center"/>
          </w:tcPr>
          <w:p w14:paraId="214AAB8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A2CC7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EGO700L系列或同等级别型号规格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8B693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1523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705CE94"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9A89EFD"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54E84A58"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78E45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开口互感器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BC2C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D287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6FA1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52D12A7E" w14:textId="77777777">
        <w:trPr>
          <w:trHeight w:val="5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04D2C568" w14:textId="77777777" w:rsidR="00302AC4" w:rsidRDefault="00302AC4">
            <w:pPr>
              <w:jc w:val="center"/>
              <w:rPr>
                <w:rFonts w:ascii="宋体" w:eastAsia="宋体" w:hAnsi="宋体" w:cs="宋体" w:hint="eastAsia"/>
                <w:color w:val="000000"/>
                <w:sz w:val="20"/>
                <w:szCs w:val="20"/>
              </w:rPr>
            </w:pPr>
          </w:p>
        </w:tc>
        <w:tc>
          <w:tcPr>
            <w:tcW w:w="1568" w:type="dxa"/>
            <w:tcBorders>
              <w:top w:val="single" w:sz="4" w:space="0" w:color="000000"/>
              <w:left w:val="single" w:sz="4" w:space="0" w:color="000000"/>
              <w:bottom w:val="nil"/>
              <w:right w:val="single" w:sz="4" w:space="0" w:color="000000"/>
            </w:tcBorders>
            <w:shd w:val="clear" w:color="auto" w:fill="auto"/>
            <w:vAlign w:val="center"/>
          </w:tcPr>
          <w:p w14:paraId="24EBDEC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北院空调机房</w:t>
            </w:r>
          </w:p>
        </w:tc>
        <w:tc>
          <w:tcPr>
            <w:tcW w:w="2341" w:type="dxa"/>
            <w:tcBorders>
              <w:top w:val="single" w:sz="4" w:space="0" w:color="000000"/>
              <w:left w:val="single" w:sz="4" w:space="0" w:color="000000"/>
              <w:bottom w:val="nil"/>
              <w:right w:val="single" w:sz="4" w:space="0" w:color="000000"/>
            </w:tcBorders>
            <w:shd w:val="clear" w:color="auto" w:fill="auto"/>
            <w:noWrap/>
            <w:vAlign w:val="center"/>
          </w:tcPr>
          <w:p w14:paraId="07CD5FE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多功能电力仪表（预留）</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E4762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EGO700L系列或同等级别型号规格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94DB0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486B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C0B35BD"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D5801F5" w14:textId="77777777" w:rsidR="00302AC4" w:rsidRDefault="00302AC4">
            <w:pPr>
              <w:jc w:val="center"/>
              <w:rPr>
                <w:rFonts w:ascii="宋体" w:eastAsia="宋体" w:hAnsi="宋体" w:cs="宋体" w:hint="eastAsia"/>
                <w:color w:val="000000"/>
                <w:sz w:val="20"/>
                <w:szCs w:val="20"/>
              </w:rPr>
            </w:pP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44FFA3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北院B2F高压配电房</w:t>
            </w:r>
          </w:p>
        </w:tc>
        <w:tc>
          <w:tcPr>
            <w:tcW w:w="2341" w:type="dxa"/>
            <w:tcBorders>
              <w:top w:val="single" w:sz="4" w:space="0" w:color="000000"/>
              <w:left w:val="nil"/>
              <w:bottom w:val="single" w:sz="4" w:space="0" w:color="000000"/>
              <w:right w:val="single" w:sz="4" w:space="0" w:color="000000"/>
            </w:tcBorders>
            <w:shd w:val="clear" w:color="auto" w:fill="auto"/>
            <w:noWrap/>
            <w:vAlign w:val="center"/>
          </w:tcPr>
          <w:p w14:paraId="3B3E93C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微型无源无线传感器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B9038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EFA53W-F系列或同等级别型号规格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8322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89DD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A560878"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05197333"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50F6B" w14:textId="77777777" w:rsidR="00302AC4" w:rsidRDefault="00302AC4">
            <w:pPr>
              <w:jc w:val="center"/>
              <w:rPr>
                <w:rFonts w:ascii="宋体" w:eastAsia="宋体" w:hAnsi="宋体" w:cs="宋体" w:hint="eastAsia"/>
                <w:color w:val="000000"/>
                <w:sz w:val="20"/>
                <w:szCs w:val="20"/>
              </w:rPr>
            </w:pPr>
          </w:p>
        </w:tc>
        <w:tc>
          <w:tcPr>
            <w:tcW w:w="2341" w:type="dxa"/>
            <w:tcBorders>
              <w:top w:val="nil"/>
              <w:left w:val="nil"/>
              <w:bottom w:val="single" w:sz="4" w:space="0" w:color="000000"/>
              <w:right w:val="single" w:sz="4" w:space="0" w:color="000000"/>
            </w:tcBorders>
            <w:shd w:val="clear" w:color="auto" w:fill="auto"/>
            <w:noWrap/>
            <w:vAlign w:val="center"/>
          </w:tcPr>
          <w:p w14:paraId="0C0D55F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有源表带传感器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A6986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EFA53W-A系列或同等级别型号规格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1747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D08C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39DB987"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18F9F17"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D6F160" w14:textId="77777777" w:rsidR="00302AC4" w:rsidRDefault="00302AC4">
            <w:pPr>
              <w:jc w:val="center"/>
              <w:rPr>
                <w:rFonts w:ascii="宋体" w:eastAsia="宋体" w:hAnsi="宋体" w:cs="宋体" w:hint="eastAsia"/>
                <w:color w:val="000000"/>
                <w:sz w:val="20"/>
                <w:szCs w:val="20"/>
              </w:rPr>
            </w:pPr>
          </w:p>
        </w:tc>
        <w:tc>
          <w:tcPr>
            <w:tcW w:w="2341" w:type="dxa"/>
            <w:tcBorders>
              <w:top w:val="nil"/>
              <w:left w:val="nil"/>
              <w:bottom w:val="single" w:sz="4" w:space="0" w:color="000000"/>
              <w:right w:val="single" w:sz="4" w:space="0" w:color="000000"/>
            </w:tcBorders>
            <w:shd w:val="clear" w:color="auto" w:fill="auto"/>
            <w:noWrap/>
            <w:vAlign w:val="center"/>
          </w:tcPr>
          <w:p w14:paraId="59F6B64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10寸触屏无线测温主机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BCC4A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EFA53W-S-H系列或同等级别型号规格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D0E6E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5FFA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1B971AA1"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4E366A8"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E6031E" w14:textId="77777777" w:rsidR="00302AC4" w:rsidRDefault="00302AC4">
            <w:pPr>
              <w:jc w:val="center"/>
              <w:rPr>
                <w:rFonts w:ascii="宋体" w:eastAsia="宋体" w:hAnsi="宋体" w:cs="宋体" w:hint="eastAsia"/>
                <w:color w:val="000000"/>
                <w:sz w:val="20"/>
                <w:szCs w:val="20"/>
              </w:rPr>
            </w:pPr>
          </w:p>
        </w:tc>
        <w:tc>
          <w:tcPr>
            <w:tcW w:w="2341" w:type="dxa"/>
            <w:tcBorders>
              <w:top w:val="nil"/>
              <w:left w:val="nil"/>
              <w:bottom w:val="single" w:sz="4" w:space="0" w:color="000000"/>
              <w:right w:val="single" w:sz="4" w:space="0" w:color="000000"/>
            </w:tcBorders>
            <w:shd w:val="clear" w:color="auto" w:fill="auto"/>
            <w:noWrap/>
            <w:vAlign w:val="center"/>
          </w:tcPr>
          <w:p w14:paraId="1D123F5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无线测温主机箱</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8AE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400高*500宽*200深mm系列或同等级别型号规格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09BE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9AF4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DD63DDF"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0EE55D7F"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407DCC"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26B87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开口互感器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7FF11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50F83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F2F4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13499648"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6F103D85"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150948"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nil"/>
              <w:bottom w:val="nil"/>
              <w:right w:val="nil"/>
            </w:tcBorders>
            <w:shd w:val="clear" w:color="auto" w:fill="auto"/>
            <w:noWrap/>
            <w:vAlign w:val="center"/>
          </w:tcPr>
          <w:p w14:paraId="0B11F3A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BC7DF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EGO700L系列或同等级别型号规格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87C9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F7D5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D011841"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091709CC" w14:textId="77777777" w:rsidR="00302AC4" w:rsidRDefault="00302AC4">
            <w:pPr>
              <w:jc w:val="center"/>
              <w:rPr>
                <w:rFonts w:ascii="宋体" w:eastAsia="宋体" w:hAnsi="宋体" w:cs="宋体" w:hint="eastAsia"/>
                <w:color w:val="000000"/>
                <w:sz w:val="20"/>
                <w:szCs w:val="20"/>
              </w:rPr>
            </w:pP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DF8F1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北院低压房-污水站用电</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80E66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3EC1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EGO700L系列或同等级别型号规格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54ECB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474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778E543"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E0C7A2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75D2D"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E388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开口互感器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4A665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44B0E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4839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2F04FF9C"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4001807" w14:textId="77777777" w:rsidR="00302AC4" w:rsidRDefault="00302AC4">
            <w:pPr>
              <w:jc w:val="center"/>
              <w:rPr>
                <w:rFonts w:ascii="宋体" w:eastAsia="宋体" w:hAnsi="宋体" w:cs="宋体" w:hint="eastAsia"/>
                <w:color w:val="000000"/>
                <w:sz w:val="20"/>
                <w:szCs w:val="20"/>
              </w:rPr>
            </w:pPr>
          </w:p>
        </w:tc>
        <w:tc>
          <w:tcPr>
            <w:tcW w:w="1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6927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广协楼</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4DDBD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F77D3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SPM93-5A系列或同等级别型号规格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8B13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F470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2DA0E37B"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6DCEC741" w14:textId="77777777" w:rsidR="00302AC4" w:rsidRDefault="00302AC4">
            <w:pPr>
              <w:jc w:val="center"/>
              <w:rPr>
                <w:rFonts w:ascii="宋体" w:eastAsia="宋体" w:hAnsi="宋体" w:cs="宋体" w:hint="eastAsia"/>
                <w:color w:val="000000"/>
                <w:sz w:val="20"/>
                <w:szCs w:val="20"/>
              </w:rPr>
            </w:pP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BF02A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仁济楼高压配电房</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D656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微型无源无线传感器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8BAC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EFA53W-F系列或同等级别型号规格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368F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DEC5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FEAC5EF"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1043B4A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767C1B"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2C83E0F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有源表带传感器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593BD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EFA53W-A系列或同等级别型号规格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8989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2C6A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3ECC1C98"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CB84B8C"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71F03"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3EAD982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10寸触屏无线测温主机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3A0E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EFA53W-S-H系列或同等级别型号规格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30C4B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7718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5F0DBA6"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771BC0D"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48077B"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6353BB7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无线测温主机箱</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4BD6D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400高*500宽*200深mm系列或同等级别型号规格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EC82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27C2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37F894A8" w14:textId="77777777">
        <w:trPr>
          <w:trHeight w:val="402"/>
        </w:trPr>
        <w:tc>
          <w:tcPr>
            <w:tcW w:w="313" w:type="dxa"/>
            <w:vMerge w:val="restart"/>
            <w:tcBorders>
              <w:top w:val="single" w:sz="4" w:space="0" w:color="000000"/>
              <w:left w:val="single" w:sz="4" w:space="0" w:color="000000"/>
              <w:bottom w:val="nil"/>
              <w:right w:val="single" w:sz="4" w:space="0" w:color="000000"/>
            </w:tcBorders>
            <w:shd w:val="clear" w:color="auto" w:fill="auto"/>
            <w:vAlign w:val="center"/>
          </w:tcPr>
          <w:p w14:paraId="64274B1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789EC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南院高压配电房</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6F0D1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微型无源无线传感器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55B69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EFA53W-F系列或同等级别型号规格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AC8A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0639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0BC49A1"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66BC8D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05022E"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5B314DE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有源表带传感器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86F47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EFA53W-A系列或同等级别型号规格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5DFEA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F430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2B271EB5"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2615B4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7E964"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70C19FE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10寸触屏无线测温主机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F72F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EFA53W-S-H系列或同等级别型号规格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8B8F0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A088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C052CA9"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16D1C79E"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E3C547" w14:textId="77777777" w:rsidR="00302AC4" w:rsidRDefault="00302AC4">
            <w:pPr>
              <w:jc w:val="center"/>
              <w:rPr>
                <w:rFonts w:ascii="宋体" w:eastAsia="宋体" w:hAnsi="宋体" w:cs="宋体" w:hint="eastAsia"/>
                <w:color w:val="000000"/>
                <w:sz w:val="20"/>
                <w:szCs w:val="20"/>
              </w:rPr>
            </w:pPr>
          </w:p>
        </w:tc>
        <w:tc>
          <w:tcPr>
            <w:tcW w:w="2341" w:type="dxa"/>
            <w:tcBorders>
              <w:top w:val="nil"/>
              <w:left w:val="single" w:sz="4" w:space="0" w:color="000000"/>
              <w:bottom w:val="single" w:sz="4" w:space="0" w:color="000000"/>
              <w:right w:val="single" w:sz="4" w:space="0" w:color="000000"/>
            </w:tcBorders>
            <w:shd w:val="clear" w:color="auto" w:fill="auto"/>
            <w:noWrap/>
            <w:vAlign w:val="center"/>
          </w:tcPr>
          <w:p w14:paraId="2513F63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无线测温主机箱</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918B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400高*500宽*200深mm系列或同等级别型号规格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94CBB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7F2A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E09C957"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D8F457B"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963B7"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2329C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开口互感器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06063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2946C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8DB94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0AFC387E"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87DBB57"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88BCF0"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C5363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BD3BD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EGO700L系列或同等级别型号规格</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AD5D9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EBD2A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F1FBA99" w14:textId="77777777">
        <w:trPr>
          <w:trHeight w:val="360"/>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FF0B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568" w:type="dxa"/>
            <w:tcBorders>
              <w:top w:val="single" w:sz="4" w:space="0" w:color="000000"/>
              <w:left w:val="single" w:sz="4" w:space="0" w:color="000000"/>
              <w:bottom w:val="nil"/>
              <w:right w:val="single" w:sz="4" w:space="0" w:color="000000"/>
            </w:tcBorders>
            <w:shd w:val="clear" w:color="auto" w:fill="auto"/>
            <w:vAlign w:val="center"/>
          </w:tcPr>
          <w:p w14:paraId="4391BBF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南院/北院变压器</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51B1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变压器温控仪</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4D472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根据现场而定</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B072E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59EF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4695BF1B" w14:textId="77777777">
        <w:trPr>
          <w:trHeight w:val="360"/>
        </w:trPr>
        <w:tc>
          <w:tcPr>
            <w:tcW w:w="3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6763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1568" w:type="dxa"/>
            <w:tcBorders>
              <w:top w:val="single" w:sz="4" w:space="0" w:color="000000"/>
              <w:left w:val="single" w:sz="4" w:space="0" w:color="000000"/>
              <w:bottom w:val="nil"/>
              <w:right w:val="single" w:sz="4" w:space="0" w:color="000000"/>
            </w:tcBorders>
            <w:shd w:val="clear" w:color="auto" w:fill="auto"/>
            <w:vAlign w:val="center"/>
          </w:tcPr>
          <w:p w14:paraId="2D31243F"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南院/北院</w:t>
            </w: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4854A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多功能电力仪表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E5A89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现场原有仪表，需接入系统</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80D19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344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6A1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7C077916"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D139B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A0D3B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1#通讯屏</w:t>
            </w:r>
            <w:r>
              <w:rPr>
                <w:rFonts w:ascii="宋体" w:eastAsia="宋体" w:hAnsi="宋体" w:cs="宋体" w:hint="eastAsia"/>
                <w:color w:val="000000"/>
                <w:kern w:val="0"/>
                <w:sz w:val="20"/>
                <w:szCs w:val="20"/>
                <w:lang w:bidi="ar"/>
              </w:rPr>
              <w:br/>
              <w:t>（放水泵房）</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D50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7DE5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XGate6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A67B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86C8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B07B138"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D343B"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9A35D"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4CD7C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单模光电转换器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F324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MIEN1203-S-SC20-AD220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8BC1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4803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1A2B6C91"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6991E"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03B1"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3777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仪表箱</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D9F13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400高*500宽*200深MM</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0853B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FF01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1B5F546"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F0BD0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90CB4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2#通讯屏</w:t>
            </w:r>
            <w:r>
              <w:rPr>
                <w:rFonts w:ascii="宋体" w:eastAsia="宋体" w:hAnsi="宋体" w:cs="宋体" w:hint="eastAsia"/>
                <w:color w:val="000000"/>
                <w:kern w:val="0"/>
                <w:sz w:val="20"/>
                <w:szCs w:val="20"/>
                <w:lang w:bidi="ar"/>
              </w:rPr>
              <w:br/>
              <w:t>（放博济楼前座）</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22CF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2F97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XGate6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8EA8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128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4E77C848"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8F60A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7C1241"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51FC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工业网络交换机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F3A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MIEN2208-AD220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D5B5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69E6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A4A8823"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4B5D74"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4D092D"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5DB9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单模光电转换器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6EED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MIEN1203-S-SC20-AD220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4F7D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579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55A6FAC5"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557D6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B8DEB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3#通讯屏</w:t>
            </w:r>
            <w:r>
              <w:rPr>
                <w:rFonts w:ascii="宋体" w:eastAsia="宋体" w:hAnsi="宋体" w:cs="宋体" w:hint="eastAsia"/>
                <w:color w:val="000000"/>
                <w:kern w:val="0"/>
                <w:sz w:val="20"/>
                <w:szCs w:val="20"/>
                <w:lang w:bidi="ar"/>
              </w:rPr>
              <w:br/>
              <w:t>（放广协楼）</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3F2F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85D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XGate6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8261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B62B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1FFB823D"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EF2DD0"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BD3AA9"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8044C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单模光电转换器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B7FE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MIEN1203-S-SC20-AD220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C6933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9833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3D65B997"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C02CE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87BCC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4#通讯屏</w:t>
            </w:r>
            <w:r>
              <w:rPr>
                <w:rFonts w:ascii="宋体" w:eastAsia="宋体" w:hAnsi="宋体" w:cs="宋体" w:hint="eastAsia"/>
                <w:color w:val="000000"/>
                <w:kern w:val="0"/>
                <w:sz w:val="20"/>
                <w:szCs w:val="20"/>
                <w:lang w:bidi="ar"/>
              </w:rPr>
              <w:br/>
              <w:t>（放门诊B区）</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34D0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FF5A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XGate6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063F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788B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13EC6718"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8DA429"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DF6541"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C367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单模光电转换器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291D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MIEN1203-S-SC20-AD220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2467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711A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7F8E28DB"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3BC52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0672C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5#通讯屏</w:t>
            </w:r>
            <w:r>
              <w:rPr>
                <w:rFonts w:ascii="宋体" w:eastAsia="宋体" w:hAnsi="宋体" w:cs="宋体" w:hint="eastAsia"/>
                <w:color w:val="000000"/>
                <w:kern w:val="0"/>
                <w:sz w:val="20"/>
                <w:szCs w:val="20"/>
                <w:lang w:bidi="ar"/>
              </w:rPr>
              <w:br/>
              <w:t>（放博济楼后座）</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E3CC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F254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XGate6</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6772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5E2E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4E323D0D"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C24636"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0C3858"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A60A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工业网络交换机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BF5C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MIEN2208-AD220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1F71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2097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122C5723"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5CEA3F"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35A84"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4358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单模光电转换器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618A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MIEN1203-S-SC20-AD220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1A9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1A46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B4A9578" w14:textId="77777777">
        <w:trPr>
          <w:trHeight w:val="360"/>
        </w:trPr>
        <w:tc>
          <w:tcPr>
            <w:tcW w:w="313" w:type="dxa"/>
            <w:vMerge w:val="restart"/>
            <w:tcBorders>
              <w:top w:val="single" w:sz="4" w:space="0" w:color="000000"/>
              <w:left w:val="single" w:sz="4" w:space="0" w:color="000000"/>
              <w:bottom w:val="nil"/>
              <w:right w:val="single" w:sz="4" w:space="0" w:color="000000"/>
            </w:tcBorders>
            <w:shd w:val="clear" w:color="auto" w:fill="auto"/>
            <w:vAlign w:val="center"/>
          </w:tcPr>
          <w:p w14:paraId="4A17A62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4D976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系统扩容</w:t>
            </w:r>
          </w:p>
        </w:tc>
        <w:tc>
          <w:tcPr>
            <w:tcW w:w="2341" w:type="dxa"/>
            <w:tcBorders>
              <w:top w:val="single" w:sz="4" w:space="0" w:color="000000"/>
              <w:left w:val="nil"/>
              <w:bottom w:val="single" w:sz="4" w:space="0" w:color="000000"/>
              <w:right w:val="single" w:sz="4" w:space="0" w:color="000000"/>
            </w:tcBorders>
            <w:shd w:val="clear" w:color="auto" w:fill="auto"/>
            <w:vAlign w:val="center"/>
          </w:tcPr>
          <w:p w14:paraId="23B652F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能源管理模块</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8991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完善能源管理系统功能，增加能耗预测、能耗计费</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5709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CAF3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4C565B7E"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754D0D2"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BD2EC"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5B3757E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配电房管理</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75347DF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通过无线测温技术测量现场配电房内重要回路的母排或线缆温度。对温度历史数据的查询，可帮助用户追溯历史电参量数据，分析最易触发火警的区域从而进行重点监控。</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1D51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86AD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04127959"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800D7E1"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669AD2"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524E3A16"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1E1748F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完善各回路电参量（遥测量）告警设置；</w:t>
            </w:r>
            <w:r>
              <w:rPr>
                <w:rFonts w:ascii="宋体" w:eastAsia="宋体" w:hAnsi="宋体" w:cs="宋体" w:hint="eastAsia"/>
                <w:color w:val="000000"/>
                <w:kern w:val="0"/>
                <w:sz w:val="20"/>
                <w:szCs w:val="20"/>
                <w:lang w:bidi="ar"/>
              </w:rPr>
              <w:br/>
              <w:t>定制告警，在发生告警时通过浏览器进行告警内容播报。</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7FA6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F5D1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4EAE5874"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3C5FDD5"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7BE8D"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57460FD2"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35D9DB0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支持视频联动功能，发生告警后可自动推送告警点相关联的视频画面，便于快速定位告警源；</w:t>
            </w:r>
            <w:r>
              <w:rPr>
                <w:rFonts w:ascii="宋体" w:eastAsia="宋体" w:hAnsi="宋体" w:cs="宋体" w:hint="eastAsia"/>
                <w:color w:val="000000"/>
                <w:kern w:val="0"/>
                <w:sz w:val="20"/>
                <w:szCs w:val="20"/>
                <w:lang w:bidi="ar"/>
              </w:rPr>
              <w:br/>
            </w:r>
            <w:r>
              <w:rPr>
                <w:rFonts w:ascii="宋体" w:eastAsia="宋体" w:hAnsi="宋体" w:cs="宋体" w:hint="eastAsia"/>
                <w:color w:val="000000"/>
                <w:kern w:val="0"/>
                <w:sz w:val="20"/>
                <w:szCs w:val="20"/>
                <w:lang w:bidi="ar"/>
              </w:rPr>
              <w:lastRenderedPageBreak/>
              <w:t>支持在历史告警处查看告警事件关联的摄像头画面，可播放告警发生、结束时刻点前后一段时间的历史视频。</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3AEE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978D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1C1F6D96"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11844464"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07989"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36834201"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6487F3E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当有告警事件产生时，系统可自动跳转至发生告警的监测页面，并通过闪烁等方式标记出告警点。</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4F96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1A4E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19A338B0"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CBBD427"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C6D301"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0299AA8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碳排放管理</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5C2EC1D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系统通过内置碳排放核算模型，对医院排放数据进行核算，支持手工填报、自动采集、连续监测等多种模式。数据核算系统基于核算方法标准库引擎，对审核过的数据进行分类、整理、汇总、核算，包括核算方法、排放因子、核算公式、活动水平数据等的管理，实现各年度碳排放数据的一键核算。</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D06BE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C7FF8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544A27C2"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5C26C77"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7D15F"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42B7EF92"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256E878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采用符合国家温室气体核算标准的温室气体核算数据库，在医院碳管理制度体系指导下，建立规范性的月度碳排放数据报送管理及校核制度，实现对内的碳排放数据日常管理、对外的碳排放核查支撑，以及全企业碳排放数据和能耗数据的统计和分析。可以实时及以月、年不同时间维度，以企业空间维度、以部门管理维度、以排放源维度数据进行多时间维度全景碳盘查统计监测功能。</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6D6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EE6D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334841C1"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BE4281A"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E33321"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392D4FFB"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1A62259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以月、年等时间颗粒度对碳排放构成、趋势等进行横向纵向的对比分析，生成相应的碳排放统计报表，定位关键碳源，寻找减排潜力。自动生成碳流图，实现全过程碳轨迹追踪。</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9617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D920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18286D2E"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60F64D3"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BD914"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40E3B9CB"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7B5B7F4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基于历史的能源消耗数据分析医院的碳排放量，根据配额测算结果，及时进行配额的盈缺预警。</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2FB60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699D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5E712F7A"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61F135AE"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54859"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nil"/>
              <w:bottom w:val="single" w:sz="4" w:space="0" w:color="000000"/>
              <w:right w:val="single" w:sz="4" w:space="0" w:color="000000"/>
            </w:tcBorders>
            <w:shd w:val="clear" w:color="auto" w:fill="auto"/>
            <w:vAlign w:val="center"/>
          </w:tcPr>
          <w:p w14:paraId="48D56D0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视频监控管理模块</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3EC37DC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支持通过RTSP协议或摄像头厂家SDK接入主流厂家的视频数据；</w:t>
            </w:r>
            <w:r>
              <w:rPr>
                <w:rFonts w:ascii="宋体" w:eastAsia="宋体" w:hAnsi="宋体" w:cs="宋体" w:hint="eastAsia"/>
                <w:color w:val="000000"/>
                <w:kern w:val="0"/>
                <w:sz w:val="20"/>
                <w:szCs w:val="20"/>
                <w:lang w:bidi="ar"/>
              </w:rPr>
              <w:br/>
              <w:t>支持对摄像头进行自定义分组，可切换1×1、2×2、1+5、3×3等多种布局来展示视频监控画面，支持对单个视频画面的双击全屏及还原功能；</w:t>
            </w:r>
            <w:r>
              <w:rPr>
                <w:rFonts w:ascii="宋体" w:eastAsia="宋体" w:hAnsi="宋体" w:cs="宋体" w:hint="eastAsia"/>
                <w:color w:val="000000"/>
                <w:kern w:val="0"/>
                <w:sz w:val="20"/>
                <w:szCs w:val="20"/>
                <w:lang w:bidi="ar"/>
              </w:rPr>
              <w:br/>
              <w:t>当视频设备通讯中断时，通过中断图标进行提醒；</w:t>
            </w:r>
            <w:r>
              <w:rPr>
                <w:rFonts w:ascii="宋体" w:eastAsia="宋体" w:hAnsi="宋体" w:cs="宋体" w:hint="eastAsia"/>
                <w:color w:val="000000"/>
                <w:kern w:val="0"/>
                <w:sz w:val="20"/>
                <w:szCs w:val="20"/>
                <w:lang w:bidi="ar"/>
              </w:rPr>
              <w:br/>
              <w:t>支持摄像头云台控制功能，可在摄像头上进行转向、变焦、光圈调节、预置点设置和切换等功能；</w:t>
            </w:r>
            <w:r>
              <w:rPr>
                <w:rFonts w:ascii="宋体" w:eastAsia="宋体" w:hAnsi="宋体" w:cs="宋体" w:hint="eastAsia"/>
                <w:color w:val="000000"/>
                <w:kern w:val="0"/>
                <w:sz w:val="20"/>
                <w:szCs w:val="20"/>
                <w:lang w:bidi="ar"/>
              </w:rPr>
              <w:br/>
              <w:t>支持历史视频回放和视频截图。</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D20E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3D6B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27CFF575"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73744F8"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5DBC47"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nil"/>
              <w:bottom w:val="single" w:sz="4" w:space="0" w:color="000000"/>
              <w:right w:val="single" w:sz="4" w:space="0" w:color="000000"/>
            </w:tcBorders>
            <w:shd w:val="clear" w:color="auto" w:fill="auto"/>
            <w:vAlign w:val="center"/>
          </w:tcPr>
          <w:p w14:paraId="4D0CD5F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污水管理模块</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007A683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水泵、风机等运行状态，如故障、运行状态；格栅井/调节池等污水井水位、流量、清水池PH值、化学需氧量。</w:t>
            </w:r>
            <w:r>
              <w:rPr>
                <w:rFonts w:ascii="宋体" w:eastAsia="宋体" w:hAnsi="宋体" w:cs="宋体" w:hint="eastAsia"/>
                <w:color w:val="000000"/>
                <w:kern w:val="0"/>
                <w:sz w:val="20"/>
                <w:szCs w:val="20"/>
                <w:lang w:bidi="ar"/>
              </w:rPr>
              <w:br/>
              <w:t>采集格栅井/调节池水位、流量、清水池PH值的水位和流量反映了污水处理的流量状况，清水池的PH值则反映了处理后的水质状况。通过平台数据的实时监测及同环比分析，有助</w:t>
            </w:r>
            <w:r>
              <w:rPr>
                <w:rFonts w:ascii="宋体" w:eastAsia="宋体" w:hAnsi="宋体" w:cs="宋体" w:hint="eastAsia"/>
                <w:color w:val="000000"/>
                <w:kern w:val="0"/>
                <w:sz w:val="20"/>
                <w:szCs w:val="20"/>
                <w:lang w:bidi="ar"/>
              </w:rPr>
              <w:lastRenderedPageBreak/>
              <w:t>于掌握污水处理的实时效果，为调度和管理提供依据。</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BB70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lastRenderedPageBreak/>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96D3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10A8AA4A"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008437F"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24F9C"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4184B983" w14:textId="77777777" w:rsidR="00302AC4" w:rsidRDefault="00000000">
            <w:pPr>
              <w:widowControl/>
              <w:jc w:val="center"/>
              <w:textAlignment w:val="center"/>
            </w:pPr>
            <w:r>
              <w:rPr>
                <w:rFonts w:hint="eastAsia"/>
              </w:rPr>
              <w:t>电梯管理模块</w:t>
            </w:r>
          </w:p>
          <w:p w14:paraId="1BCDA604" w14:textId="77777777" w:rsidR="00302AC4" w:rsidRDefault="00000000">
            <w:pPr>
              <w:pStyle w:val="1"/>
              <w:numPr>
                <w:ilvl w:val="0"/>
                <w:numId w:val="0"/>
              </w:numPr>
              <w:jc w:val="center"/>
            </w:pPr>
            <w:r>
              <w:rPr>
                <w:rFonts w:eastAsiaTheme="minorEastAsia" w:hint="eastAsia"/>
                <w:b w:val="0"/>
                <w:kern w:val="2"/>
                <w:sz w:val="21"/>
              </w:rPr>
              <w:t>（北院检验科）</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3B66AF9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实时跟踪电梯运行状态，显示电梯上行、下行、电梯门状态、消防状态等等参数。</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BCA7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2119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5322C338"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1999EB8"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6AB768"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320B0452"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6BB19B39" w14:textId="77777777" w:rsidR="00302AC4"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通过对实时电梯运行数据的分析，并提前发出预警信号，以便及时采取措施进行检修，确保电梯运行的安全与稳定。</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CC6F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9522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110D5876"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7A815C7"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587CB7"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0BB5310E" w14:textId="77777777" w:rsidR="00302AC4" w:rsidRDefault="00000000">
            <w:pPr>
              <w:widowControl/>
              <w:jc w:val="center"/>
              <w:textAlignment w:val="center"/>
            </w:pPr>
            <w:r>
              <w:rPr>
                <w:rFonts w:hint="eastAsia"/>
              </w:rPr>
              <w:t>智能照明</w:t>
            </w:r>
          </w:p>
          <w:p w14:paraId="41279EE2" w14:textId="77777777" w:rsidR="00302AC4" w:rsidRDefault="00000000">
            <w:pPr>
              <w:pStyle w:val="1"/>
              <w:numPr>
                <w:ilvl w:val="0"/>
                <w:numId w:val="0"/>
              </w:numPr>
              <w:jc w:val="center"/>
            </w:pPr>
            <w:r>
              <w:rPr>
                <w:rFonts w:eastAsiaTheme="minorEastAsia" w:hint="eastAsia"/>
                <w:b w:val="0"/>
                <w:kern w:val="2"/>
                <w:sz w:val="21"/>
              </w:rPr>
              <w:t>（北院检验科）</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280711CE" w14:textId="77777777" w:rsidR="00302AC4"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系统支持定时控制、群控、节假日控制等多种模式。通过预设的运行时间完成灯光的自动控制，确保在非正常工作时间内的能源消耗最小。对所有受控区域内的负载可集中控制，并可实时监控所有受控回路的开/关状态。</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2CD2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5F9C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489402B0"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8076DAD"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75246"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13EC2BC3"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665793A1" w14:textId="77777777" w:rsidR="00302AC4"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基于大数据模型，判定设备运行状态，分析设备利用率。</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785B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2A65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6FD49812"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13804C8"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1C6D9C"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16A5C461" w14:textId="77777777" w:rsidR="00302AC4" w:rsidRDefault="00000000">
            <w:pPr>
              <w:widowControl/>
              <w:jc w:val="center"/>
              <w:textAlignment w:val="center"/>
            </w:pPr>
            <w:r>
              <w:rPr>
                <w:rFonts w:hint="eastAsia"/>
              </w:rPr>
              <w:t>空调管理</w:t>
            </w:r>
          </w:p>
          <w:p w14:paraId="706B7462" w14:textId="77777777" w:rsidR="00302AC4" w:rsidRDefault="00000000">
            <w:pPr>
              <w:pStyle w:val="1"/>
              <w:numPr>
                <w:ilvl w:val="0"/>
                <w:numId w:val="0"/>
              </w:numPr>
              <w:jc w:val="center"/>
            </w:pPr>
            <w:r>
              <w:rPr>
                <w:rFonts w:eastAsiaTheme="minorEastAsia" w:hint="eastAsia"/>
                <w:b w:val="0"/>
                <w:kern w:val="2"/>
                <w:sz w:val="21"/>
              </w:rPr>
              <w:t>（南海医研中心）</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655CC7D0" w14:textId="77777777" w:rsidR="00302AC4"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监测主机运行参数，包括启停状态、环境温度、运行模式、压缩机运行频率、压缩机高/低压压力、风档值等；</w:t>
            </w:r>
            <w:r>
              <w:rPr>
                <w:rFonts w:ascii="宋体" w:eastAsia="宋体" w:hAnsi="宋体" w:cs="宋体" w:hint="eastAsia"/>
                <w:color w:val="000000"/>
                <w:kern w:val="0"/>
                <w:sz w:val="22"/>
                <w:szCs w:val="22"/>
                <w:lang w:bidi="ar"/>
              </w:rPr>
              <w:br/>
              <w:t>监测室内机运行参数，包括室温、设定温度、风速、风挡等；</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6A6C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8A0F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34D6DFD3"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9DAD10A"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92590D"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0B6F418F"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4632CBC3" w14:textId="77777777" w:rsidR="00302AC4" w:rsidRDefault="00000000">
            <w:pPr>
              <w:widowControl/>
              <w:jc w:val="center"/>
              <w:textAlignment w:val="center"/>
              <w:rPr>
                <w:rFonts w:ascii="宋体" w:eastAsia="宋体" w:hAnsi="宋体" w:cs="宋体" w:hint="eastAsia"/>
                <w:color w:val="000000"/>
                <w:sz w:val="22"/>
                <w:szCs w:val="22"/>
              </w:rPr>
            </w:pPr>
            <w:r>
              <w:rPr>
                <w:rFonts w:ascii="宋体" w:eastAsia="宋体" w:hAnsi="宋体" w:cs="宋体" w:hint="eastAsia"/>
                <w:color w:val="000000"/>
                <w:kern w:val="0"/>
                <w:sz w:val="22"/>
                <w:szCs w:val="22"/>
                <w:lang w:bidi="ar"/>
              </w:rPr>
              <w:t>实现在监控图上手动控制空调启停、温度、风挡、风速等参数；</w:t>
            </w:r>
            <w:r>
              <w:rPr>
                <w:rFonts w:ascii="宋体" w:eastAsia="宋体" w:hAnsi="宋体" w:cs="宋体" w:hint="eastAsia"/>
                <w:color w:val="000000"/>
                <w:kern w:val="0"/>
                <w:sz w:val="22"/>
                <w:szCs w:val="22"/>
                <w:lang w:bidi="ar"/>
              </w:rPr>
              <w:br/>
              <w:t>设定定时控制策略，在预设的时间点对空调设备执行相应的动作；</w:t>
            </w:r>
            <w:r>
              <w:rPr>
                <w:rFonts w:ascii="宋体" w:eastAsia="宋体" w:hAnsi="宋体" w:cs="宋体" w:hint="eastAsia"/>
                <w:color w:val="000000"/>
                <w:kern w:val="0"/>
                <w:sz w:val="22"/>
                <w:szCs w:val="22"/>
                <w:lang w:bidi="ar"/>
              </w:rPr>
              <w:br/>
              <w:t>设定联动控制策略，可基于温度、适度等参数对空调运行状态进行自适应调节。</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FD64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B29F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0FA0BFA4"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3255605E"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5ED144" w14:textId="77777777" w:rsidR="00302AC4" w:rsidRDefault="00302AC4">
            <w:pPr>
              <w:jc w:val="center"/>
              <w:rPr>
                <w:rFonts w:ascii="宋体" w:eastAsia="宋体" w:hAnsi="宋体" w:cs="宋体" w:hint="eastAsia"/>
                <w:color w:val="000000"/>
                <w:sz w:val="20"/>
                <w:szCs w:val="20"/>
              </w:rPr>
            </w:pPr>
          </w:p>
        </w:tc>
        <w:tc>
          <w:tcPr>
            <w:tcW w:w="2341" w:type="dxa"/>
            <w:vMerge w:val="restart"/>
            <w:tcBorders>
              <w:top w:val="single" w:sz="4" w:space="0" w:color="000000"/>
              <w:left w:val="nil"/>
              <w:bottom w:val="single" w:sz="4" w:space="0" w:color="000000"/>
              <w:right w:val="single" w:sz="4" w:space="0" w:color="000000"/>
            </w:tcBorders>
            <w:shd w:val="clear" w:color="auto" w:fill="auto"/>
            <w:vAlign w:val="center"/>
          </w:tcPr>
          <w:p w14:paraId="208ECC6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运行分析报告</w:t>
            </w: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2143ABA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以月、年为周期进行用能分析评估，分析总用能情况，同环比能耗变化分析，能耗子项构成分析，用能峰值及日均能耗分析；针对区域、分项等维度的用能情况分析，定位能耗突增原因，并出具诊断报告。</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D46F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9348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6F2A44B1"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24E4AA95"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70CBDA"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nil"/>
              <w:bottom w:val="single" w:sz="4" w:space="0" w:color="000000"/>
              <w:right w:val="single" w:sz="4" w:space="0" w:color="000000"/>
            </w:tcBorders>
            <w:shd w:val="clear" w:color="auto" w:fill="auto"/>
            <w:vAlign w:val="center"/>
          </w:tcPr>
          <w:p w14:paraId="49494D1A"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nil"/>
            </w:tcBorders>
            <w:shd w:val="clear" w:color="auto" w:fill="auto"/>
            <w:vAlign w:val="center"/>
          </w:tcPr>
          <w:p w14:paraId="1C1FAF4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对通讯异常、遥测量越限、遥信量变位、能耗越限、SOE等各类告警事件进行统计分析，定位频繁发生告警的对象。</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94A9B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F805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043FB5F4"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39A2D04"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DCFE4" w14:textId="77777777" w:rsidR="00302AC4" w:rsidRDefault="00302AC4">
            <w:pPr>
              <w:jc w:val="center"/>
              <w:rPr>
                <w:rFonts w:ascii="宋体" w:eastAsia="宋体" w:hAnsi="宋体" w:cs="宋体" w:hint="eastAsia"/>
                <w:color w:val="000000"/>
                <w:sz w:val="20"/>
                <w:szCs w:val="20"/>
              </w:rPr>
            </w:pPr>
          </w:p>
        </w:tc>
        <w:tc>
          <w:tcPr>
            <w:tcW w:w="2341" w:type="dxa"/>
            <w:tcBorders>
              <w:top w:val="nil"/>
              <w:left w:val="nil"/>
              <w:bottom w:val="single" w:sz="4" w:space="0" w:color="000000"/>
              <w:right w:val="single" w:sz="4" w:space="0" w:color="000000"/>
            </w:tcBorders>
            <w:shd w:val="clear" w:color="auto" w:fill="auto"/>
            <w:vAlign w:val="center"/>
          </w:tcPr>
          <w:p w14:paraId="68DD24B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定制报表</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62D8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提供基于Excel的报表设计器，完全兼容Excel、WPS软件，定制满足医院使用习惯的管理报表。预计定制4份报表</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DAC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2A6A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4F0842CC" w14:textId="77777777">
        <w:trPr>
          <w:trHeight w:val="360"/>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1B33F2FC"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FD80DE" w14:textId="77777777" w:rsidR="00302AC4" w:rsidRDefault="00302AC4">
            <w:pPr>
              <w:jc w:val="center"/>
              <w:rPr>
                <w:rFonts w:ascii="宋体" w:eastAsia="宋体" w:hAnsi="宋体" w:cs="宋体" w:hint="eastAsia"/>
                <w:color w:val="000000"/>
                <w:sz w:val="20"/>
                <w:szCs w:val="20"/>
              </w:rPr>
            </w:pPr>
          </w:p>
        </w:tc>
        <w:tc>
          <w:tcPr>
            <w:tcW w:w="2341" w:type="dxa"/>
            <w:tcBorders>
              <w:top w:val="nil"/>
              <w:left w:val="nil"/>
              <w:bottom w:val="single" w:sz="4" w:space="0" w:color="000000"/>
              <w:right w:val="single" w:sz="4" w:space="0" w:color="000000"/>
            </w:tcBorders>
            <w:shd w:val="clear" w:color="auto" w:fill="auto"/>
            <w:vAlign w:val="center"/>
          </w:tcPr>
          <w:p w14:paraId="42459DE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数据接口</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6F41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对接现场污水站数据、视频监控数据、多联机及分体空调系统</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FF6E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F7A6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74D2EB13"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F77A7B" w14:textId="77777777" w:rsidR="00302AC4" w:rsidRDefault="0000000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1</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228983" w14:textId="77777777" w:rsidR="00302AC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通讯电缆</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255B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屏蔽双绞线</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9EE8E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RVSP-2*0.75mm</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9D25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271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7F903C4D"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13CAD"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D18D98"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1C46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PVC管</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8887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PVC 20</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94B4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8AB4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00F0BABD"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6650EE"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3B9725"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25AB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光纤</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F8E2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GYXTW-4B1</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E30C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549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71DBA1FE" w14:textId="77777777">
        <w:trPr>
          <w:trHeight w:val="480"/>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3899A3"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6AC5CD"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328A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光纤附件</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C0C8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包含接线盒、光电耦合器、跳线、尾纤、光纤接头制作等</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959C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7079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4464A09A" w14:textId="77777777">
        <w:trPr>
          <w:trHeight w:val="560"/>
        </w:trPr>
        <w:tc>
          <w:tcPr>
            <w:tcW w:w="3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28191"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1478E"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EF0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施工辅材</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97EB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网线、管卡、扎带、导轨、电表二次线等</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021A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66F8D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6C1AA484" w14:textId="77777777">
        <w:trPr>
          <w:trHeight w:val="402"/>
        </w:trPr>
        <w:tc>
          <w:tcPr>
            <w:tcW w:w="313" w:type="dxa"/>
            <w:vMerge w:val="restart"/>
            <w:tcBorders>
              <w:top w:val="single" w:sz="4" w:space="0" w:color="000000"/>
              <w:left w:val="single" w:sz="4" w:space="0" w:color="000000"/>
              <w:bottom w:val="nil"/>
              <w:right w:val="single" w:sz="4" w:space="0" w:color="000000"/>
            </w:tcBorders>
            <w:shd w:val="clear" w:color="auto" w:fill="auto"/>
            <w:vAlign w:val="center"/>
          </w:tcPr>
          <w:p w14:paraId="637207CA" w14:textId="77777777" w:rsidR="00302AC4" w:rsidRDefault="00000000">
            <w:pPr>
              <w:widowControl/>
              <w:jc w:val="center"/>
              <w:textAlignment w:val="center"/>
              <w:rPr>
                <w:rFonts w:ascii="Times New Roman" w:eastAsia="宋体" w:hAnsi="Times New Roman" w:cs="Times New Roman"/>
                <w:color w:val="000000"/>
                <w:sz w:val="20"/>
                <w:szCs w:val="20"/>
              </w:rPr>
            </w:pPr>
            <w:r>
              <w:rPr>
                <w:rFonts w:ascii="Times New Roman" w:eastAsia="宋体" w:hAnsi="Times New Roman" w:cs="Times New Roman"/>
                <w:color w:val="000000"/>
                <w:kern w:val="0"/>
                <w:sz w:val="20"/>
                <w:szCs w:val="20"/>
                <w:lang w:bidi="ar"/>
              </w:rPr>
              <w:t>2</w:t>
            </w:r>
          </w:p>
        </w:tc>
        <w:tc>
          <w:tcPr>
            <w:tcW w:w="1568" w:type="dxa"/>
            <w:vMerge w:val="restart"/>
            <w:tcBorders>
              <w:top w:val="single" w:sz="4" w:space="0" w:color="000000"/>
              <w:left w:val="single" w:sz="4" w:space="0" w:color="000000"/>
              <w:bottom w:val="nil"/>
              <w:right w:val="single" w:sz="4" w:space="0" w:color="000000"/>
            </w:tcBorders>
            <w:shd w:val="clear" w:color="auto" w:fill="auto"/>
            <w:vAlign w:val="center"/>
          </w:tcPr>
          <w:p w14:paraId="28A1B40A" w14:textId="77777777" w:rsidR="00302AC4" w:rsidRDefault="00000000">
            <w:pPr>
              <w:widowControl/>
              <w:jc w:val="left"/>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施工费用</w:t>
            </w: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4AD7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屏蔽双绞线敷设</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784F"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A21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B6B9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4D4DE9BF"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5264C1F"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394317F4"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ACB8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PVC管敷设</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FA6E0"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91EA9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18F9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6967754A"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10D1B14"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2ED4AE2D"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ABB0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光纤敷设</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4FA37"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0FFC8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88EB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米</w:t>
            </w:r>
          </w:p>
        </w:tc>
      </w:tr>
      <w:tr w:rsidR="00302AC4" w14:paraId="318D1525"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10B9949"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75045398"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7D26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电表安装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F675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加装导轨、旧表拆除</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CCA86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681C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AB68283"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0C70F73A"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64C91AD3"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6F7A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无线传感器安装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9EB0"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7C9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66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363C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7C0834A"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16B99331"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685069BC"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F52E3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10寸触屏无线测温主机</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A8A16"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9037F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237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01198AF9"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F799FC6"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57F34C5D"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C5790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变压器温控仪安装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0FB4D"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75992E"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25C3F"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456F38FC"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4BF51AC5"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1510D245"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F4C0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光电转换器安装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78E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旧光电转换器拆除、新光电转换器安装</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2657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BC34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7897DC11"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56E9EC3E"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6718F86A"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ED7F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F25C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旧网关拆除、新网关安装</w:t>
            </w: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9D68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6F313"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CA72B9F" w14:textId="77777777">
        <w:trPr>
          <w:trHeight w:val="402"/>
        </w:trPr>
        <w:tc>
          <w:tcPr>
            <w:tcW w:w="313" w:type="dxa"/>
            <w:vMerge/>
            <w:tcBorders>
              <w:top w:val="single" w:sz="4" w:space="0" w:color="000000"/>
              <w:left w:val="single" w:sz="4" w:space="0" w:color="000000"/>
              <w:bottom w:val="nil"/>
              <w:right w:val="single" w:sz="4" w:space="0" w:color="000000"/>
            </w:tcBorders>
            <w:shd w:val="clear" w:color="auto" w:fill="auto"/>
            <w:vAlign w:val="center"/>
          </w:tcPr>
          <w:p w14:paraId="74E272E8" w14:textId="77777777" w:rsidR="00302AC4" w:rsidRDefault="00302AC4">
            <w:pPr>
              <w:jc w:val="center"/>
              <w:rPr>
                <w:rFonts w:ascii="Times New Roman" w:eastAsia="宋体" w:hAnsi="Times New Roman" w:cs="Times New Roman"/>
                <w:color w:val="000000"/>
                <w:sz w:val="20"/>
                <w:szCs w:val="20"/>
              </w:rPr>
            </w:pPr>
          </w:p>
        </w:tc>
        <w:tc>
          <w:tcPr>
            <w:tcW w:w="1568" w:type="dxa"/>
            <w:vMerge/>
            <w:tcBorders>
              <w:top w:val="single" w:sz="4" w:space="0" w:color="000000"/>
              <w:left w:val="single" w:sz="4" w:space="0" w:color="000000"/>
              <w:bottom w:val="nil"/>
              <w:right w:val="single" w:sz="4" w:space="0" w:color="000000"/>
            </w:tcBorders>
            <w:shd w:val="clear" w:color="auto" w:fill="auto"/>
            <w:vAlign w:val="center"/>
          </w:tcPr>
          <w:p w14:paraId="2E5F1C81" w14:textId="77777777" w:rsidR="00302AC4" w:rsidRDefault="00302AC4">
            <w:pPr>
              <w:jc w:val="left"/>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3BD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机柜安装</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53258" w14:textId="77777777" w:rsidR="00302AC4" w:rsidRDefault="00302AC4">
            <w:pPr>
              <w:jc w:val="center"/>
              <w:rPr>
                <w:rFonts w:ascii="宋体" w:eastAsia="宋体" w:hAnsi="宋体" w:cs="宋体" w:hint="eastAsia"/>
                <w:color w:val="000000"/>
                <w:sz w:val="20"/>
                <w:szCs w:val="20"/>
              </w:rPr>
            </w:pPr>
          </w:p>
        </w:tc>
        <w:tc>
          <w:tcPr>
            <w:tcW w:w="7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93D4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F8D9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78BFB276" w14:textId="77777777">
        <w:trPr>
          <w:trHeight w:val="402"/>
        </w:trPr>
        <w:tc>
          <w:tcPr>
            <w:tcW w:w="3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41703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156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79E45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技术服务费用</w:t>
            </w:r>
          </w:p>
        </w:tc>
        <w:tc>
          <w:tcPr>
            <w:tcW w:w="2341" w:type="dxa"/>
            <w:vMerge w:val="restart"/>
            <w:tcBorders>
              <w:top w:val="single" w:sz="4" w:space="0" w:color="000000"/>
              <w:left w:val="single" w:sz="4" w:space="0" w:color="000000"/>
              <w:bottom w:val="nil"/>
              <w:right w:val="single" w:sz="4" w:space="0" w:color="000000"/>
            </w:tcBorders>
            <w:shd w:val="clear" w:color="auto" w:fill="auto"/>
            <w:noWrap/>
            <w:vAlign w:val="center"/>
          </w:tcPr>
          <w:p w14:paraId="08399D9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软件调试</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FAEB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数据仓库分类及搭建</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BE0B1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CCAE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7EADD096"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E56D2"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C59D2B"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single" w:sz="4" w:space="0" w:color="000000"/>
              <w:bottom w:val="nil"/>
              <w:right w:val="single" w:sz="4" w:space="0" w:color="000000"/>
            </w:tcBorders>
            <w:shd w:val="clear" w:color="auto" w:fill="auto"/>
            <w:noWrap/>
            <w:vAlign w:val="center"/>
          </w:tcPr>
          <w:p w14:paraId="292B3D3C"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ECA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重点用能界面搭建与优化</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FAC16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AF32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套</w:t>
            </w:r>
          </w:p>
        </w:tc>
      </w:tr>
      <w:tr w:rsidR="00302AC4" w14:paraId="395361F5"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281302"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6E3222" w14:textId="77777777" w:rsidR="00302AC4" w:rsidRDefault="00302AC4">
            <w:pPr>
              <w:jc w:val="center"/>
              <w:rPr>
                <w:rFonts w:ascii="宋体" w:eastAsia="宋体" w:hAnsi="宋体" w:cs="宋体" w:hint="eastAsia"/>
                <w:color w:val="000000"/>
                <w:sz w:val="20"/>
                <w:szCs w:val="20"/>
              </w:rPr>
            </w:pPr>
          </w:p>
        </w:tc>
        <w:tc>
          <w:tcPr>
            <w:tcW w:w="2341" w:type="dxa"/>
            <w:vMerge/>
            <w:tcBorders>
              <w:top w:val="single" w:sz="4" w:space="0" w:color="000000"/>
              <w:left w:val="single" w:sz="4" w:space="0" w:color="000000"/>
              <w:bottom w:val="nil"/>
              <w:right w:val="single" w:sz="4" w:space="0" w:color="000000"/>
            </w:tcBorders>
            <w:shd w:val="clear" w:color="auto" w:fill="auto"/>
            <w:noWrap/>
            <w:vAlign w:val="center"/>
          </w:tcPr>
          <w:p w14:paraId="5F86064F" w14:textId="77777777" w:rsidR="00302AC4" w:rsidRDefault="00302AC4">
            <w:pPr>
              <w:jc w:val="center"/>
              <w:rPr>
                <w:rFonts w:ascii="宋体" w:eastAsia="宋体" w:hAnsi="宋体" w:cs="宋体" w:hint="eastAsia"/>
                <w:color w:val="000000"/>
                <w:sz w:val="20"/>
                <w:szCs w:val="20"/>
              </w:rPr>
            </w:pP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CFB3D"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含前端硬件数据与系统链接</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2F14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440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9955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点</w:t>
            </w:r>
          </w:p>
        </w:tc>
      </w:tr>
      <w:tr w:rsidR="00302AC4" w14:paraId="1389B8CB"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E1B9B0"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D6BEE"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nil"/>
              <w:right w:val="single" w:sz="4" w:space="0" w:color="000000"/>
            </w:tcBorders>
            <w:shd w:val="clear" w:color="auto" w:fill="auto"/>
            <w:noWrap/>
            <w:vAlign w:val="center"/>
          </w:tcPr>
          <w:p w14:paraId="66425EE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设备调试</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EBA47"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智能网关调试</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7CF5C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7</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DD82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台</w:t>
            </w:r>
          </w:p>
        </w:tc>
      </w:tr>
      <w:tr w:rsidR="00302AC4" w14:paraId="60B976A1"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8303D0"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3601A7"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A3B4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深化设计及培训</w:t>
            </w:r>
          </w:p>
        </w:tc>
        <w:tc>
          <w:tcPr>
            <w:tcW w:w="34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39C6"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E5693A"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29921"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2ED81B6C" w14:textId="77777777">
        <w:trPr>
          <w:trHeight w:val="402"/>
        </w:trPr>
        <w:tc>
          <w:tcPr>
            <w:tcW w:w="3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8F10E" w14:textId="77777777" w:rsidR="00302AC4" w:rsidRDefault="00302AC4">
            <w:pPr>
              <w:jc w:val="center"/>
              <w:rPr>
                <w:rFonts w:ascii="宋体" w:eastAsia="宋体" w:hAnsi="宋体" w:cs="宋体" w:hint="eastAsia"/>
                <w:color w:val="000000"/>
                <w:sz w:val="20"/>
                <w:szCs w:val="20"/>
              </w:rPr>
            </w:pPr>
          </w:p>
        </w:tc>
        <w:tc>
          <w:tcPr>
            <w:tcW w:w="156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147582" w14:textId="77777777" w:rsidR="00302AC4" w:rsidRDefault="00302AC4">
            <w:pPr>
              <w:jc w:val="center"/>
              <w:rPr>
                <w:rFonts w:ascii="宋体" w:eastAsia="宋体" w:hAnsi="宋体" w:cs="宋体" w:hint="eastAsia"/>
                <w:color w:val="000000"/>
                <w:sz w:val="20"/>
                <w:szCs w:val="20"/>
              </w:rPr>
            </w:pPr>
          </w:p>
        </w:tc>
        <w:tc>
          <w:tcPr>
            <w:tcW w:w="23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ECEAC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现勘勘探</w:t>
            </w:r>
          </w:p>
        </w:tc>
        <w:tc>
          <w:tcPr>
            <w:tcW w:w="343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F67828"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现场情况梳理</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C570B"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429E5"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r w:rsidR="00302AC4" w14:paraId="146D3082" w14:textId="77777777">
        <w:trPr>
          <w:trHeight w:val="402"/>
        </w:trPr>
        <w:tc>
          <w:tcPr>
            <w:tcW w:w="3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0C0EC"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w:t>
            </w:r>
          </w:p>
        </w:tc>
        <w:tc>
          <w:tcPr>
            <w:tcW w:w="1568" w:type="dxa"/>
            <w:tcBorders>
              <w:top w:val="nil"/>
              <w:left w:val="single" w:sz="4" w:space="0" w:color="000000"/>
              <w:bottom w:val="single" w:sz="4" w:space="0" w:color="000000"/>
              <w:right w:val="single" w:sz="4" w:space="0" w:color="000000"/>
            </w:tcBorders>
            <w:shd w:val="clear" w:color="auto" w:fill="auto"/>
            <w:noWrap/>
            <w:vAlign w:val="center"/>
          </w:tcPr>
          <w:p w14:paraId="3915EA89"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维保服务</w:t>
            </w:r>
          </w:p>
        </w:tc>
        <w:tc>
          <w:tcPr>
            <w:tcW w:w="5774"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D36A94"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2024年度系统整体维保服务</w:t>
            </w:r>
          </w:p>
        </w:tc>
        <w:tc>
          <w:tcPr>
            <w:tcW w:w="7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AC7D52"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06630" w14:textId="77777777" w:rsidR="00302AC4" w:rsidRDefault="00000000">
            <w:pPr>
              <w:widowControl/>
              <w:jc w:val="center"/>
              <w:textAlignment w:val="center"/>
              <w:rPr>
                <w:rFonts w:ascii="宋体" w:eastAsia="宋体" w:hAnsi="宋体" w:cs="宋体" w:hint="eastAsia"/>
                <w:color w:val="000000"/>
                <w:sz w:val="20"/>
                <w:szCs w:val="20"/>
              </w:rPr>
            </w:pPr>
            <w:r>
              <w:rPr>
                <w:rFonts w:ascii="宋体" w:eastAsia="宋体" w:hAnsi="宋体" w:cs="宋体" w:hint="eastAsia"/>
                <w:color w:val="000000"/>
                <w:kern w:val="0"/>
                <w:sz w:val="20"/>
                <w:szCs w:val="20"/>
                <w:lang w:bidi="ar"/>
              </w:rPr>
              <w:t>项</w:t>
            </w:r>
          </w:p>
        </w:tc>
      </w:tr>
    </w:tbl>
    <w:p w14:paraId="3BEAB961" w14:textId="77777777" w:rsidR="00302AC4" w:rsidRDefault="00302AC4"/>
    <w:p w14:paraId="36D68306" w14:textId="77777777" w:rsidR="00302AC4" w:rsidRDefault="00000000">
      <w:pPr>
        <w:pStyle w:val="1"/>
      </w:pPr>
      <w:bookmarkStart w:id="3" w:name="_Toc9410"/>
      <w:r>
        <w:rPr>
          <w:rFonts w:hint="eastAsia"/>
        </w:rPr>
        <w:t>维保服务要求</w:t>
      </w:r>
      <w:bookmarkEnd w:id="3"/>
    </w:p>
    <w:p w14:paraId="5E6D4D47" w14:textId="77777777" w:rsidR="00302AC4" w:rsidRDefault="00000000">
      <w:pPr>
        <w:pStyle w:val="2"/>
      </w:pPr>
      <w:bookmarkStart w:id="4" w:name="_Toc9817"/>
      <w:r>
        <w:rPr>
          <w:rFonts w:hint="eastAsia"/>
        </w:rPr>
        <w:t>维保服务清单</w:t>
      </w:r>
      <w:bookmarkEnd w:id="4"/>
    </w:p>
    <w:p w14:paraId="223A7D4E" w14:textId="77777777" w:rsidR="00302AC4" w:rsidRDefault="00000000">
      <w:pPr>
        <w:spacing w:line="360" w:lineRule="auto"/>
        <w:ind w:firstLineChars="200" w:firstLine="480"/>
        <w:rPr>
          <w:rFonts w:ascii="宋体" w:eastAsia="宋体" w:hAnsi="宋体" w:cs="宋体" w:hint="eastAsia"/>
          <w:color w:val="000000" w:themeColor="text1"/>
          <w:sz w:val="24"/>
        </w:rPr>
      </w:pPr>
      <w:r>
        <w:rPr>
          <w:rFonts w:ascii="宋体" w:eastAsia="宋体" w:hAnsi="宋体" w:cs="宋体" w:hint="eastAsia"/>
          <w:color w:val="000000" w:themeColor="text1"/>
          <w:sz w:val="24"/>
        </w:rPr>
        <w:t>为本期所投入硬件设备提供为期一年的维保服务，并对原一期、二期所投入产品提供1年的运维服务，维保服务清单如下：</w:t>
      </w:r>
    </w:p>
    <w:tbl>
      <w:tblPr>
        <w:tblW w:w="0" w:type="auto"/>
        <w:tblInd w:w="93" w:type="dxa"/>
        <w:tblLayout w:type="fixed"/>
        <w:tblLook w:val="04A0" w:firstRow="1" w:lastRow="0" w:firstColumn="1" w:lastColumn="0" w:noHBand="0" w:noVBand="1"/>
      </w:tblPr>
      <w:tblGrid>
        <w:gridCol w:w="636"/>
        <w:gridCol w:w="2185"/>
        <w:gridCol w:w="4611"/>
        <w:gridCol w:w="636"/>
        <w:gridCol w:w="636"/>
        <w:gridCol w:w="1056"/>
      </w:tblGrid>
      <w:tr w:rsidR="00302AC4" w14:paraId="0ECB0501"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E5CB04"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序号</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AA1C5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设备名称</w:t>
            </w:r>
          </w:p>
        </w:tc>
        <w:tc>
          <w:tcPr>
            <w:tcW w:w="4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0DFED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位置/内容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F536C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数量</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4403A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单位</w:t>
            </w:r>
          </w:p>
        </w:tc>
        <w:tc>
          <w:tcPr>
            <w:tcW w:w="10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4D0BD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维保时间</w:t>
            </w:r>
          </w:p>
        </w:tc>
      </w:tr>
      <w:tr w:rsidR="00302AC4" w14:paraId="41F0C89C" w14:textId="77777777">
        <w:trPr>
          <w:trHeight w:val="153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8BB40F"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875BE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智能网关</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4B3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B2低压配电室、中控室、逸仙楼，各楼层配电房或电井；北院区教学楼、检验楼、岭南楼负1层、负2层低压配电室、岭南楼、中山楼、门卫室、5#变电房、水泵房、博济楼前座、广协楼、门诊B区、博济楼后座等楼栋区域内的楼层电房或电井；南海院区屋面</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3F12B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37</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BEC39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63278B"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1年</w:t>
            </w:r>
          </w:p>
        </w:tc>
      </w:tr>
      <w:tr w:rsidR="00302AC4" w14:paraId="501D2E6A"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4CCEC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A68F4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通讯管理机</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537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北院区岭南楼负2层低压配电室</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69AD4"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DEAE9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DD1FE4" w14:textId="77777777" w:rsidR="00302AC4" w:rsidRDefault="00302AC4">
            <w:pPr>
              <w:widowControl/>
              <w:jc w:val="center"/>
              <w:rPr>
                <w:rFonts w:ascii="宋体" w:eastAsia="宋体" w:hAnsi="宋体" w:cs="宋体" w:hint="eastAsia"/>
                <w:color w:val="000000"/>
                <w:szCs w:val="21"/>
              </w:rPr>
            </w:pPr>
          </w:p>
        </w:tc>
      </w:tr>
      <w:tr w:rsidR="00302AC4" w14:paraId="619E808C" w14:textId="77777777">
        <w:trPr>
          <w:trHeight w:val="9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8A886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9EABF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单模光电转换器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8A59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教学楼、检验楼、岭南楼、中山楼、门卫室、5#变电房、逸仙楼、水泵房、博济楼前座、广协楼、门诊B区、博济楼后座等楼栋区域内的楼层电房或电井</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361B0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26</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B7AEB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66DC9" w14:textId="77777777" w:rsidR="00302AC4" w:rsidRDefault="00302AC4">
            <w:pPr>
              <w:widowControl/>
              <w:jc w:val="center"/>
              <w:rPr>
                <w:rFonts w:ascii="宋体" w:eastAsia="宋体" w:hAnsi="宋体" w:cs="宋体" w:hint="eastAsia"/>
                <w:color w:val="000000"/>
                <w:szCs w:val="21"/>
              </w:rPr>
            </w:pPr>
          </w:p>
        </w:tc>
      </w:tr>
      <w:tr w:rsidR="00302AC4" w14:paraId="39D2DF16" w14:textId="77777777">
        <w:trPr>
          <w:trHeight w:val="1275"/>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B6747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lastRenderedPageBreak/>
              <w:t>4</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9EF1D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工业交换机</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1960F"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南院区逸仙楼负2层低压配电室、中控室、逸仙楼楼层电井；</w:t>
            </w:r>
            <w:r>
              <w:rPr>
                <w:rFonts w:ascii="宋体" w:eastAsia="宋体" w:hAnsi="宋体" w:cs="宋体" w:hint="eastAsia"/>
                <w:color w:val="000000"/>
                <w:kern w:val="0"/>
                <w:szCs w:val="21"/>
                <w:lang w:bidi="ar"/>
              </w:rPr>
              <w:br/>
              <w:t>北院区岭南楼负1层、负2层低压配电室、1层楼层电井、博济楼前座、博济楼前座、中山楼1层楼层电井。</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D6911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82E4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64A321" w14:textId="77777777" w:rsidR="00302AC4" w:rsidRDefault="00302AC4">
            <w:pPr>
              <w:widowControl/>
              <w:jc w:val="center"/>
              <w:rPr>
                <w:rFonts w:ascii="宋体" w:eastAsia="宋体" w:hAnsi="宋体" w:cs="宋体" w:hint="eastAsia"/>
                <w:color w:val="000000"/>
                <w:szCs w:val="21"/>
              </w:rPr>
            </w:pPr>
          </w:p>
        </w:tc>
      </w:tr>
      <w:tr w:rsidR="00302AC4" w14:paraId="14767443" w14:textId="77777777">
        <w:trPr>
          <w:trHeight w:val="51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52E6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5</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0FB7B"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多功能仪表（一二期建设部分）</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C7905"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南北院区等楼栋区域内的楼层电房或电井</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B9EC5"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36</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56990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3A4503" w14:textId="77777777" w:rsidR="00302AC4" w:rsidRDefault="00302AC4">
            <w:pPr>
              <w:widowControl/>
              <w:jc w:val="center"/>
              <w:rPr>
                <w:rFonts w:ascii="宋体" w:eastAsia="宋体" w:hAnsi="宋体" w:cs="宋体" w:hint="eastAsia"/>
                <w:color w:val="000000"/>
                <w:szCs w:val="21"/>
              </w:rPr>
            </w:pPr>
          </w:p>
        </w:tc>
      </w:tr>
      <w:tr w:rsidR="00302AC4" w14:paraId="03E19F05"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6DE9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6462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测温传感器及主机</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E5DA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南北院区高压配电房</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BC73F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69</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9947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814285" w14:textId="77777777" w:rsidR="00302AC4" w:rsidRDefault="00302AC4">
            <w:pPr>
              <w:widowControl/>
              <w:jc w:val="center"/>
              <w:rPr>
                <w:rFonts w:ascii="宋体" w:eastAsia="宋体" w:hAnsi="宋体" w:cs="宋体" w:hint="eastAsia"/>
                <w:color w:val="000000"/>
                <w:szCs w:val="21"/>
              </w:rPr>
            </w:pPr>
          </w:p>
        </w:tc>
      </w:tr>
      <w:tr w:rsidR="00302AC4" w14:paraId="08E9BCD8"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E26D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7</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5879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变压器温控仪</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6E574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南北院区等楼栋区域内的楼层电房或电井</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1764C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2BD1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9BF3ED" w14:textId="77777777" w:rsidR="00302AC4" w:rsidRDefault="00302AC4">
            <w:pPr>
              <w:widowControl/>
              <w:jc w:val="center"/>
              <w:rPr>
                <w:rFonts w:ascii="宋体" w:eastAsia="宋体" w:hAnsi="宋体" w:cs="宋体" w:hint="eastAsia"/>
                <w:color w:val="000000"/>
                <w:szCs w:val="21"/>
              </w:rPr>
            </w:pPr>
          </w:p>
        </w:tc>
      </w:tr>
      <w:tr w:rsidR="00302AC4" w14:paraId="22D58FD8"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FE539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A306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智能测控模块</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0E4F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南北院区配电房</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CE56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5A263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78FED9" w14:textId="77777777" w:rsidR="00302AC4" w:rsidRDefault="00302AC4">
            <w:pPr>
              <w:widowControl/>
              <w:jc w:val="center"/>
              <w:rPr>
                <w:rFonts w:ascii="宋体" w:eastAsia="宋体" w:hAnsi="宋体" w:cs="宋体" w:hint="eastAsia"/>
                <w:color w:val="000000"/>
                <w:szCs w:val="21"/>
              </w:rPr>
            </w:pPr>
          </w:p>
        </w:tc>
      </w:tr>
      <w:tr w:rsidR="00302AC4" w14:paraId="08E2D244"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FC101B"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2D65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温湿度传感器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4BAAB"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北院区配电房</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9F26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2</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357A23"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B824F" w14:textId="77777777" w:rsidR="00302AC4" w:rsidRDefault="00302AC4">
            <w:pPr>
              <w:widowControl/>
              <w:jc w:val="center"/>
              <w:rPr>
                <w:rFonts w:ascii="宋体" w:eastAsia="宋体" w:hAnsi="宋体" w:cs="宋体" w:hint="eastAsia"/>
                <w:color w:val="000000"/>
                <w:szCs w:val="21"/>
              </w:rPr>
            </w:pPr>
          </w:p>
        </w:tc>
      </w:tr>
      <w:tr w:rsidR="00302AC4" w14:paraId="75FF64DD"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A92BB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10</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E90A6"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超声波流量计</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01E9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南北院区楼栋区域内的楼层</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2C75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8</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66D2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5690D7" w14:textId="77777777" w:rsidR="00302AC4" w:rsidRDefault="00302AC4">
            <w:pPr>
              <w:widowControl/>
              <w:jc w:val="center"/>
              <w:rPr>
                <w:rFonts w:ascii="宋体" w:eastAsia="宋体" w:hAnsi="宋体" w:cs="宋体" w:hint="eastAsia"/>
                <w:color w:val="000000"/>
                <w:szCs w:val="21"/>
              </w:rPr>
            </w:pPr>
          </w:p>
        </w:tc>
      </w:tr>
      <w:tr w:rsidR="00302AC4" w14:paraId="49E67F2A" w14:textId="77777777">
        <w:trPr>
          <w:trHeight w:val="9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CD6D8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11</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03FB2"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光电直读远传冷铁表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84D1B"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南北院区楼栋区域内的楼层</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42DC8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9</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13DB9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DC5646" w14:textId="77777777" w:rsidR="00302AC4" w:rsidRDefault="00302AC4">
            <w:pPr>
              <w:widowControl/>
              <w:jc w:val="center"/>
              <w:rPr>
                <w:rFonts w:ascii="宋体" w:eastAsia="宋体" w:hAnsi="宋体" w:cs="宋体" w:hint="eastAsia"/>
                <w:color w:val="000000"/>
                <w:szCs w:val="21"/>
              </w:rPr>
            </w:pPr>
          </w:p>
        </w:tc>
      </w:tr>
      <w:tr w:rsidR="00302AC4" w14:paraId="425A72C0"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A94FE4"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12</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6AAB4E"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服务器</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AA22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南院区逸仙楼3层服务器机房</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6AC12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1B87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8F3E6B" w14:textId="77777777" w:rsidR="00302AC4" w:rsidRDefault="00302AC4">
            <w:pPr>
              <w:widowControl/>
              <w:jc w:val="center"/>
              <w:rPr>
                <w:rFonts w:ascii="宋体" w:eastAsia="宋体" w:hAnsi="宋体" w:cs="宋体" w:hint="eastAsia"/>
                <w:color w:val="000000"/>
                <w:szCs w:val="21"/>
              </w:rPr>
            </w:pPr>
          </w:p>
        </w:tc>
      </w:tr>
      <w:tr w:rsidR="00302AC4" w14:paraId="77F4322F"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F10E8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13</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C76EFF"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短信猫</w:t>
            </w:r>
          </w:p>
        </w:tc>
        <w:tc>
          <w:tcPr>
            <w:tcW w:w="4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F9DC3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南院区逸仙楼3层服务器机房</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8210EF"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06A53"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台</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8BF99F" w14:textId="77777777" w:rsidR="00302AC4" w:rsidRDefault="00302AC4">
            <w:pPr>
              <w:widowControl/>
              <w:jc w:val="center"/>
              <w:rPr>
                <w:rFonts w:ascii="宋体" w:eastAsia="宋体" w:hAnsi="宋体" w:cs="宋体" w:hint="eastAsia"/>
                <w:color w:val="000000"/>
                <w:szCs w:val="21"/>
              </w:rPr>
            </w:pPr>
          </w:p>
        </w:tc>
      </w:tr>
      <w:tr w:rsidR="00302AC4" w14:paraId="12CE673B"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624B7"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14</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2B7332"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系统升级服务</w:t>
            </w:r>
          </w:p>
        </w:tc>
        <w:tc>
          <w:tcPr>
            <w:tcW w:w="4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EF229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医院能耗监测系统功能升级</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0F34D5"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6A7C6A"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33A85B" w14:textId="77777777" w:rsidR="00302AC4" w:rsidRDefault="00302AC4">
            <w:pPr>
              <w:widowControl/>
              <w:jc w:val="center"/>
              <w:rPr>
                <w:rFonts w:ascii="宋体" w:eastAsia="宋体" w:hAnsi="宋体" w:cs="宋体" w:hint="eastAsia"/>
                <w:color w:val="000000"/>
                <w:szCs w:val="21"/>
              </w:rPr>
            </w:pPr>
          </w:p>
        </w:tc>
      </w:tr>
      <w:tr w:rsidR="00302AC4" w14:paraId="1F46CD01"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AF072"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15</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6FDC3"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数据对接</w:t>
            </w:r>
          </w:p>
        </w:tc>
        <w:tc>
          <w:tcPr>
            <w:tcW w:w="4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01EC1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数据上传至国家卫健委平台、广州市发改委平台</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CB2EC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CE953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3FEBD3" w14:textId="77777777" w:rsidR="00302AC4" w:rsidRDefault="00302AC4">
            <w:pPr>
              <w:widowControl/>
              <w:jc w:val="center"/>
              <w:rPr>
                <w:rFonts w:ascii="宋体" w:eastAsia="宋体" w:hAnsi="宋体" w:cs="宋体" w:hint="eastAsia"/>
                <w:color w:val="000000"/>
                <w:szCs w:val="21"/>
              </w:rPr>
            </w:pPr>
          </w:p>
        </w:tc>
      </w:tr>
      <w:tr w:rsidR="00302AC4" w14:paraId="31C01F33" w14:textId="77777777">
        <w:trPr>
          <w:trHeight w:val="27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33608C"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16</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BDC1D"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网络交换机</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804C1"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北院区能耗监控系统网络汇聚点</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B06C8"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2FCFA5"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3DC51F" w14:textId="77777777" w:rsidR="00302AC4" w:rsidRDefault="00302AC4">
            <w:pPr>
              <w:widowControl/>
              <w:jc w:val="center"/>
              <w:rPr>
                <w:rFonts w:ascii="宋体" w:eastAsia="宋体" w:hAnsi="宋体" w:cs="宋体" w:hint="eastAsia"/>
                <w:color w:val="000000"/>
                <w:szCs w:val="21"/>
              </w:rPr>
            </w:pPr>
          </w:p>
        </w:tc>
      </w:tr>
      <w:tr w:rsidR="00302AC4" w14:paraId="7D10415C" w14:textId="77777777">
        <w:trPr>
          <w:trHeight w:val="510"/>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79BD1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17</w:t>
            </w:r>
          </w:p>
        </w:tc>
        <w:tc>
          <w:tcPr>
            <w:tcW w:w="21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582C32"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设备台账梳理</w:t>
            </w:r>
          </w:p>
        </w:tc>
        <w:tc>
          <w:tcPr>
            <w:tcW w:w="4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431E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南、北院区各配电房、各楼层区域相关仪表设备台账（含状态，如掉线则写明故障定位归类）</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1B96E0"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1</w:t>
            </w:r>
          </w:p>
        </w:tc>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80A69" w14:textId="77777777" w:rsidR="00302AC4" w:rsidRDefault="00000000">
            <w:pPr>
              <w:widowControl/>
              <w:jc w:val="center"/>
              <w:textAlignment w:val="center"/>
              <w:rPr>
                <w:rFonts w:ascii="宋体" w:eastAsia="宋体" w:hAnsi="宋体" w:cs="宋体" w:hint="eastAsia"/>
                <w:color w:val="000000"/>
                <w:szCs w:val="21"/>
              </w:rPr>
            </w:pPr>
            <w:r>
              <w:rPr>
                <w:rFonts w:ascii="宋体" w:eastAsia="宋体" w:hAnsi="宋体" w:cs="宋体" w:hint="eastAsia"/>
                <w:color w:val="000000"/>
                <w:kern w:val="0"/>
                <w:szCs w:val="21"/>
                <w:lang w:bidi="ar"/>
              </w:rPr>
              <w:t>套</w:t>
            </w:r>
          </w:p>
        </w:tc>
        <w:tc>
          <w:tcPr>
            <w:tcW w:w="1056"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41B83" w14:textId="77777777" w:rsidR="00302AC4" w:rsidRDefault="00302AC4">
            <w:pPr>
              <w:widowControl/>
              <w:jc w:val="center"/>
              <w:rPr>
                <w:rFonts w:ascii="宋体" w:eastAsia="宋体" w:hAnsi="宋体" w:cs="宋体" w:hint="eastAsia"/>
                <w:color w:val="000000"/>
                <w:szCs w:val="21"/>
              </w:rPr>
            </w:pPr>
          </w:p>
        </w:tc>
      </w:tr>
    </w:tbl>
    <w:p w14:paraId="73A85F47" w14:textId="77777777" w:rsidR="00302AC4" w:rsidRDefault="00000000">
      <w:pPr>
        <w:pStyle w:val="2"/>
      </w:pPr>
      <w:bookmarkStart w:id="5" w:name="_Toc18020"/>
      <w:r>
        <w:rPr>
          <w:rFonts w:hint="eastAsia"/>
        </w:rPr>
        <w:t>维保内容及要求</w:t>
      </w:r>
      <w:bookmarkEnd w:id="5"/>
    </w:p>
    <w:p w14:paraId="1D5C268C" w14:textId="77777777" w:rsidR="00302AC4" w:rsidRDefault="00000000">
      <w:pPr>
        <w:pStyle w:val="3"/>
      </w:pPr>
      <w:bookmarkStart w:id="6" w:name="_Toc256"/>
      <w:r>
        <w:rPr>
          <w:rFonts w:hint="eastAsia"/>
        </w:rPr>
        <w:t>能耗监测系统升级服务</w:t>
      </w:r>
      <w:bookmarkEnd w:id="6"/>
    </w:p>
    <w:p w14:paraId="733F9728" w14:textId="77777777" w:rsidR="00302AC4" w:rsidRDefault="00000000">
      <w:pPr>
        <w:spacing w:line="360" w:lineRule="auto"/>
        <w:ind w:firstLineChars="200" w:firstLine="480"/>
        <w:rPr>
          <w:rFonts w:ascii="宋体" w:eastAsia="宋体" w:hAnsi="宋体" w:cs="宋体" w:hint="eastAsia"/>
          <w:sz w:val="24"/>
        </w:rPr>
      </w:pPr>
      <w:r>
        <w:rPr>
          <w:rFonts w:ascii="宋体" w:eastAsia="宋体" w:hAnsi="宋体" w:cs="宋体" w:hint="eastAsia"/>
          <w:sz w:val="24"/>
        </w:rPr>
        <w:t>维护现有系统功能，使现场系统流程运行，我院管理人员经过多方面交流学习及结合我院管理特色，还需丰富平台功能，以便满足管理使用需求，具体如下：</w:t>
      </w:r>
    </w:p>
    <w:p w14:paraId="6996D29D"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完善能耗监测系统现有能耗概览功能，为医院提供了一个直观、高效、准确和完整的数据信息分析窗口，包括但不限于显示：当天用电量、当月用电量、当天标准煤量、当月标准煤量、当天碳排放量、当月碳排放量、当年碳排放量、变压器主变进线能耗量及占比、分项用电排名、用电趋势。</w:t>
      </w:r>
    </w:p>
    <w:p w14:paraId="5A1ABF41"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对院内水泵房，博济楼前座、广协楼、门诊B区、博济楼后座等楼栋区域内的用电量进行楼栋、楼层等维度的统计分析，系统支持内置公式，结合所采集的原始数据、建筑面积，计算出区域相应的单位建筑面积能耗。</w:t>
      </w:r>
    </w:p>
    <w:p w14:paraId="4F2801DF"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线缆温度监测。通过无线测温技术测量现场配电房内重要回路的母排或线缆温度。对温度历史数据的查询，可帮助用户追溯历史电参量数据，分析最易触发火警的区域从而进行重点监控。</w:t>
      </w:r>
    </w:p>
    <w:p w14:paraId="4CDC9902"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配电房告警联动。支持视频联动功能，发生告警后可自动推送告警点相关联的视频画面，便于快速定位告警源；在历史告警处查看告警事件关联的摄像头画面，可播放告警发生、结束时刻点前后一段时间的历史视频；当有告警事件产生时，系统可自动跳转至发生告</w:t>
      </w:r>
      <w:r>
        <w:rPr>
          <w:rFonts w:ascii="宋体" w:eastAsia="宋体" w:hAnsi="宋体" w:cs="宋体" w:hint="eastAsia"/>
          <w:sz w:val="24"/>
        </w:rPr>
        <w:lastRenderedPageBreak/>
        <w:t>警的监测页面，并通过闪烁等方式标记出告警点。</w:t>
      </w:r>
    </w:p>
    <w:p w14:paraId="45E6C921"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sz w:val="24"/>
        </w:rPr>
        <w:t>碳排放管理</w:t>
      </w:r>
      <w:r>
        <w:rPr>
          <w:rFonts w:ascii="宋体" w:eastAsia="宋体" w:hAnsi="宋体" w:cs="宋体" w:hint="eastAsia"/>
          <w:sz w:val="24"/>
        </w:rPr>
        <w:t>。系统通过内置碳排放核算模型，对医院排放数据进行核算，支持手工填报、自动采集、连续监测等多种模式。数据核算系统基于核算方法标准库引擎，对审核过的数据进行分类、整理、汇总、核算，包括核算方法、排放因子、核算公式、活动水平数据等的管理，实现各年度碳排放数据的一键核算。</w:t>
      </w:r>
      <w:r>
        <w:rPr>
          <w:rFonts w:ascii="宋体" w:eastAsia="宋体" w:hAnsi="宋体" w:cs="宋体"/>
          <w:sz w:val="24"/>
        </w:rPr>
        <w:t>采用符合国家温室气体核算标准的温室气体核算数据库，在医院碳管理制度体系指导下，建立规范性的月度碳排放数据报送管理及校核制度，实现对内的碳排放数据日常管理、对外的碳排放核查支撑，以及全企业碳排放数据和能耗数据的统计和分析。可以实时及以月、年不同时间维度，以企业空间维度、以部门管理维度、以排放源维度数据进行多时间维度全景碳盘查统计监测功能。以月、年等时间颗粒度对碳排放构成、趋势等进行横向纵向的对比分析，生成相应的碳排放统计报表，定位关键碳源，寻找减排潜力。自动生成碳流图，实现全过程碳轨迹追踪。基于历史的能源消耗数据分析医院的碳排放量，根据配额测算结果，及时进行配额的盈缺预警。</w:t>
      </w:r>
    </w:p>
    <w:p w14:paraId="41BEC3F1"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sz w:val="24"/>
        </w:rPr>
        <w:t>视频监控管理模块</w:t>
      </w:r>
      <w:r>
        <w:rPr>
          <w:rFonts w:ascii="宋体" w:eastAsia="宋体" w:hAnsi="宋体" w:cs="宋体" w:hint="eastAsia"/>
          <w:sz w:val="24"/>
        </w:rPr>
        <w:t>。支持通过RTSP协议或摄像头厂家SDK接入主流厂家的视频数据；支持对摄像头进行自定义分组，可切换1×1、2×2、1+5、3×3等多种布局来展示视频监控画面，支持对单个视频画面的双击全屏及还原功能；视频设备通讯中断时，通过中断图标进行提醒；摄像头云台控制功能，可在摄像头上进行转向、变焦、光圈调节、预置点设置和切换等功能；历史视频回放和视频截图。</w:t>
      </w:r>
    </w:p>
    <w:p w14:paraId="4E6FBCEE"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sz w:val="24"/>
        </w:rPr>
        <w:t>污水管理模块</w:t>
      </w:r>
      <w:r>
        <w:rPr>
          <w:rFonts w:ascii="宋体" w:eastAsia="宋体" w:hAnsi="宋体" w:cs="宋体" w:hint="eastAsia"/>
          <w:sz w:val="24"/>
        </w:rPr>
        <w:t>。水泵、风机等运行状态，如故障、运行状态；格栅井/调节池等污水井水位、流量、清水池PH值、化学需氧量。采集格栅井/调节池水位、流量、清水池PH值的水位和流量反映了污水处理的流量状况，清水池的PH值则反映了处理后的水质状况。通过平台数据的实时监测及同环比分析，有助于掌握污水处理的实时效果，为调度和管理提供依据。</w:t>
      </w:r>
    </w:p>
    <w:p w14:paraId="2FAFE222"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sz w:val="24"/>
        </w:rPr>
        <w:t>污水管理模块</w:t>
      </w:r>
      <w:r>
        <w:rPr>
          <w:rFonts w:ascii="宋体" w:eastAsia="宋体" w:hAnsi="宋体" w:cs="宋体" w:hint="eastAsia"/>
          <w:sz w:val="24"/>
        </w:rPr>
        <w:t>。实时跟踪电梯运行状态，显示电梯上行、下行、电梯门状态、消防状态等等参数。通过对实时电梯运行数据的分析，并提前发出预警信号，以便及时采取措施进行检修，确保电梯运行的安全与稳定。</w:t>
      </w:r>
    </w:p>
    <w:p w14:paraId="09830CDE"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智能照明。系统支持定时控制、群控、节假日控制等多种模式。通过预设的运行时间完成灯光的自动控制，确保在非正常工作时间内的能源消耗最小。对所有受控区域内的负载可集中控制，并可实时监控所有受控回路的开/关状态。基于大数据模型，判定设备运行状态，分析设备利用率。</w:t>
      </w:r>
    </w:p>
    <w:p w14:paraId="03916450"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空调管理。多联机空调，监测主机运行参数，包括启停状态、环境温度、运行模式、压缩机运行频率、压缩机高/低压压力、风档值等；监测室内机运行参数，包括室温、设</w:t>
      </w:r>
      <w:r>
        <w:rPr>
          <w:rFonts w:ascii="宋体" w:eastAsia="宋体" w:hAnsi="宋体" w:cs="宋体" w:hint="eastAsia"/>
          <w:sz w:val="24"/>
        </w:rPr>
        <w:lastRenderedPageBreak/>
        <w:t>定温度、风速、风挡等；实现在监控图上手动控制空调启停、温度、风挡、风速等参数；设定定时控制策略，在预设的时间点对空调设备执行相应的动作；设定联动控制策略，可基于温度、适度等参数对空调运行状态进行自适应调节。分体空调，实现调温、开关机、场景控制等功能。</w:t>
      </w:r>
    </w:p>
    <w:p w14:paraId="7BC2055C"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运行分析报告。以月、年为周期进行用能分析评估，分析总用能情况，同环比能耗变化分析，能耗子项构成分析，用能峰值及日均能耗分析；针对区域、分项等维度的用能情况分析，定位能耗突增原因，并出具诊断报告。对通讯异常、遥测量越限、遥信量变位、能耗越限、SOE等各类告警事件进行统计分析，定位频繁发生告警的对象。</w:t>
      </w:r>
    </w:p>
    <w:p w14:paraId="5D549261"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定制报表。提供基于Excel的报表设计器，完全兼容Excel、WPS软件，定制满足医院使用习惯的管理报表。预计定制4份报表。</w:t>
      </w:r>
    </w:p>
    <w:p w14:paraId="10808C1A" w14:textId="77777777" w:rsidR="00302AC4" w:rsidRDefault="00000000">
      <w:pPr>
        <w:numPr>
          <w:ilvl w:val="0"/>
          <w:numId w:val="2"/>
        </w:numPr>
        <w:spacing w:line="360" w:lineRule="auto"/>
        <w:ind w:firstLineChars="200" w:firstLine="480"/>
        <w:rPr>
          <w:rFonts w:ascii="宋体" w:eastAsia="宋体" w:hAnsi="宋体" w:cs="宋体" w:hint="eastAsia"/>
          <w:sz w:val="24"/>
        </w:rPr>
      </w:pPr>
      <w:r>
        <w:rPr>
          <w:rFonts w:ascii="宋体" w:eastAsia="宋体" w:hAnsi="宋体" w:cs="宋体" w:hint="eastAsia"/>
          <w:sz w:val="24"/>
        </w:rPr>
        <w:t>数据接口。对接现场污水站数据、视频监控数据、多联机及分体空调数据。</w:t>
      </w:r>
    </w:p>
    <w:p w14:paraId="2E8B7466" w14:textId="77777777" w:rsidR="00302AC4" w:rsidRDefault="00000000">
      <w:pPr>
        <w:pStyle w:val="3"/>
      </w:pPr>
      <w:bookmarkStart w:id="7" w:name="_Toc9569"/>
      <w:r>
        <w:rPr>
          <w:rFonts w:hint="eastAsia"/>
        </w:rPr>
        <w:t>现场维保服务</w:t>
      </w:r>
      <w:bookmarkEnd w:id="7"/>
    </w:p>
    <w:p w14:paraId="36FD3450"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每月定期安排相关技术工作人员到现场巡查本维保及升级服务项目中涵盖的各个监测点位，检查各用电支路信息、互感器变比、各采集器配置、线路通讯状态及系统整体运行情况，及时发现处理设备故障，配合院方处理系统数据异常、数据缺陷的情况，优化维度和修复系统数据，确保采集器、网络通信、计量表正常，能耗数据准确上传至相关平台。</w:t>
      </w:r>
    </w:p>
    <w:p w14:paraId="2ACCB0F0"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定期清理采集器、交换机电箱等相关设备设施表面灰尘，检查维护系统各部分间连接线路，紧固相关设备设施，保证设备环境良好。</w:t>
      </w:r>
    </w:p>
    <w:p w14:paraId="09ACB2CB"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定期检查服务器/客户端电脑，修复存在的漏洞或问题，清理系统垃圾并整理磁盘。</w:t>
      </w:r>
    </w:p>
    <w:p w14:paraId="4153D3C9"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定期核对系统相关设备功能，并及时更新相关明显清晰的标识。</w:t>
      </w:r>
    </w:p>
    <w:p w14:paraId="47F0AF25"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及时处理软件故障，保证软件版本及时更新和整体系统运行良好。</w:t>
      </w:r>
    </w:p>
    <w:p w14:paraId="777BF235" w14:textId="77777777" w:rsidR="00302AC4" w:rsidRDefault="00000000">
      <w:pPr>
        <w:numPr>
          <w:ilvl w:val="0"/>
          <w:numId w:val="3"/>
        </w:numPr>
        <w:spacing w:line="360" w:lineRule="auto"/>
        <w:ind w:firstLineChars="200" w:firstLine="480"/>
        <w:rPr>
          <w:rFonts w:ascii="宋体" w:eastAsia="宋体" w:hAnsi="宋体" w:cs="宋体" w:hint="eastAsia"/>
          <w:sz w:val="24"/>
        </w:rPr>
      </w:pPr>
      <w:r>
        <w:rPr>
          <w:rFonts w:ascii="宋体" w:eastAsia="宋体" w:hAnsi="宋体" w:cs="宋体" w:hint="eastAsia"/>
          <w:sz w:val="24"/>
        </w:rPr>
        <w:t>为工作人员提供至少一年一次（维保期间内）的关于能耗监测系统相关的培训与辅导。</w:t>
      </w:r>
    </w:p>
    <w:p w14:paraId="6907DE4D" w14:textId="77777777" w:rsidR="00302AC4" w:rsidRDefault="00000000">
      <w:pPr>
        <w:numPr>
          <w:ilvl w:val="0"/>
          <w:numId w:val="4"/>
        </w:numPr>
        <w:spacing w:line="360" w:lineRule="auto"/>
        <w:ind w:leftChars="200" w:left="840"/>
        <w:rPr>
          <w:rFonts w:ascii="宋体" w:eastAsia="宋体" w:hAnsi="宋体" w:cs="宋体" w:hint="eastAsia"/>
          <w:sz w:val="24"/>
        </w:rPr>
      </w:pPr>
      <w:r>
        <w:rPr>
          <w:rFonts w:ascii="宋体" w:eastAsia="宋体" w:hAnsi="宋体" w:cs="宋体" w:hint="eastAsia"/>
          <w:sz w:val="24"/>
        </w:rPr>
        <w:t>对医院能耗监测系统组成架构、基础采集原理、系统整体与各分项功能的介绍与演示。</w:t>
      </w:r>
    </w:p>
    <w:p w14:paraId="6DE82455" w14:textId="77777777" w:rsidR="00302AC4" w:rsidRDefault="00000000">
      <w:pPr>
        <w:numPr>
          <w:ilvl w:val="0"/>
          <w:numId w:val="4"/>
        </w:numPr>
        <w:spacing w:line="360" w:lineRule="auto"/>
        <w:ind w:leftChars="200" w:left="840"/>
        <w:rPr>
          <w:rFonts w:ascii="宋体" w:eastAsia="宋体" w:hAnsi="宋体" w:cs="宋体" w:hint="eastAsia"/>
          <w:sz w:val="24"/>
        </w:rPr>
      </w:pPr>
      <w:r>
        <w:rPr>
          <w:rFonts w:ascii="宋体" w:eastAsia="宋体" w:hAnsi="宋体" w:cs="宋体" w:hint="eastAsia"/>
          <w:sz w:val="24"/>
        </w:rPr>
        <w:t>提供相应的设备操作说明书和培训资料，包括但不限于：系统使用操作规程的指导、现场设备的功能介绍、相关行业标准、相关操作方法与注意事项等。</w:t>
      </w:r>
    </w:p>
    <w:p w14:paraId="7DC6D473" w14:textId="77777777" w:rsidR="00302AC4" w:rsidRDefault="00000000">
      <w:pPr>
        <w:numPr>
          <w:ilvl w:val="0"/>
          <w:numId w:val="4"/>
        </w:numPr>
        <w:spacing w:line="360" w:lineRule="auto"/>
        <w:ind w:leftChars="200" w:left="840"/>
        <w:rPr>
          <w:rFonts w:ascii="宋体" w:eastAsia="宋体" w:hAnsi="宋体" w:cs="宋体" w:hint="eastAsia"/>
          <w:sz w:val="24"/>
        </w:rPr>
      </w:pPr>
      <w:r>
        <w:rPr>
          <w:rFonts w:ascii="宋体" w:eastAsia="宋体" w:hAnsi="宋体" w:cs="宋体" w:hint="eastAsia"/>
          <w:sz w:val="24"/>
        </w:rPr>
        <w:t>根据实际需要，对院方运行管理人员进行实际操作培训和辅导，以便其能更好地掌握系统运行。</w:t>
      </w:r>
    </w:p>
    <w:p w14:paraId="4FD13E7B" w14:textId="77777777" w:rsidR="00302AC4" w:rsidRDefault="00000000">
      <w:pPr>
        <w:pStyle w:val="3"/>
      </w:pPr>
      <w:bookmarkStart w:id="8" w:name="_Toc3662"/>
      <w:r>
        <w:rPr>
          <w:rFonts w:hint="eastAsia"/>
        </w:rPr>
        <w:t>现场硬件维保服务</w:t>
      </w:r>
      <w:bookmarkEnd w:id="8"/>
    </w:p>
    <w:p w14:paraId="2956D485"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维保周期内，定期对2023年1月至2025年12月内新增的智能网关/通讯管理机/多功能仪表/水表/流量计进行维保服务。</w:t>
      </w:r>
    </w:p>
    <w:p w14:paraId="0323B202"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lastRenderedPageBreak/>
        <w:t>检查智能网关/通讯管理机/工业交换机/多功能仪表/水表/流量计等设备的运行状态。</w:t>
      </w:r>
    </w:p>
    <w:p w14:paraId="0B70B957"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对支持智能网关/通讯管理机/工业交换机/多功能仪表/水表/流量计等相关配件（如交换机等）进行维护，并对通讯总线进行紧固。</w:t>
      </w:r>
    </w:p>
    <w:p w14:paraId="7E830470"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免费维修智能网关/通讯管理机/工业交换机/多功能仪表/水表/流量计等设备故障，且在故障发生后的5天内完成调试，恢复数据上线。</w:t>
      </w:r>
    </w:p>
    <w:p w14:paraId="034E389D"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若近三年内新增的采集通讯线路出现异常，则由成交供应商负责修复。</w:t>
      </w:r>
    </w:p>
    <w:p w14:paraId="6ADE9402"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维保周期内，定期对短信猫进行维保服务。</w:t>
      </w:r>
    </w:p>
    <w:p w14:paraId="77E0FAAD"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检查短信猫运行状态。</w:t>
      </w:r>
    </w:p>
    <w:p w14:paraId="0CFDA9A0"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对支持短信猫的配件进行维护，如开关电源模块、USB转RS232模块等。</w:t>
      </w:r>
    </w:p>
    <w:p w14:paraId="7A610C74"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若开关电源模块、USB转RS232模块故障，由成交供应商免费更换修复至正常可用。</w:t>
      </w:r>
    </w:p>
    <w:p w14:paraId="7827BA38"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维保周期内，定期对服务器进行维保服务。</w:t>
      </w:r>
    </w:p>
    <w:p w14:paraId="271FEEC1"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检查服务器的运行状态，及时掌握磁盘容量情况。</w:t>
      </w:r>
    </w:p>
    <w:p w14:paraId="0F17380F"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检查服务器接收数据、软件运行是否正常，数据是否准确。</w:t>
      </w:r>
    </w:p>
    <w:p w14:paraId="08CE580B" w14:textId="77777777" w:rsidR="00302AC4" w:rsidRDefault="00000000">
      <w:pPr>
        <w:numPr>
          <w:ilvl w:val="0"/>
          <w:numId w:val="6"/>
        </w:numPr>
        <w:spacing w:line="360" w:lineRule="auto"/>
        <w:ind w:leftChars="200" w:left="840"/>
        <w:rPr>
          <w:rFonts w:ascii="宋体" w:eastAsia="宋体" w:hAnsi="宋体" w:cs="宋体" w:hint="eastAsia"/>
          <w:sz w:val="24"/>
        </w:rPr>
      </w:pPr>
      <w:r>
        <w:rPr>
          <w:rFonts w:ascii="宋体" w:eastAsia="宋体" w:hAnsi="宋体" w:cs="宋体" w:hint="eastAsia"/>
          <w:sz w:val="24"/>
        </w:rPr>
        <w:t>系统清理：清理系统无用文件、临时文件，释放硬盘空间，提高系统运行效率。</w:t>
      </w:r>
    </w:p>
    <w:p w14:paraId="6F144123"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对因建筑装修、建筑使用功能改变而导致线路变化，需对能耗监测系统原有设备进行改动的，成交供应商应协助采购人制定方案和提供技术指导，另行报价改造费用，改造完成后对能耗监测设备进行调试，确保数据上传至平台。</w:t>
      </w:r>
    </w:p>
    <w:p w14:paraId="7713BCD2"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如遇上级检查或医院项目需要，成交供应商需提供相关技术支持。</w:t>
      </w:r>
    </w:p>
    <w:p w14:paraId="4B3FADB6"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维保人员须具备开展相应工作的资质或资格，应严格按国家相关法律、法规及我院的相关规定采取必要的安全防护措施，因操作不当或意外而引起的一切人身伤害、财产损失均由成交供应商承担。</w:t>
      </w:r>
    </w:p>
    <w:p w14:paraId="64F80ED5"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每月向采购人提供现场检查运维记录表，每季度出具一份维保服务工作报告。</w:t>
      </w:r>
    </w:p>
    <w:p w14:paraId="1B5DFAEA" w14:textId="77777777" w:rsidR="00302AC4" w:rsidRDefault="00000000">
      <w:pPr>
        <w:numPr>
          <w:ilvl w:val="0"/>
          <w:numId w:val="5"/>
        </w:numPr>
        <w:spacing w:line="360" w:lineRule="auto"/>
        <w:ind w:firstLineChars="200" w:firstLine="480"/>
        <w:rPr>
          <w:rFonts w:ascii="宋体" w:eastAsia="宋体" w:hAnsi="宋体" w:cs="宋体" w:hint="eastAsia"/>
          <w:sz w:val="24"/>
        </w:rPr>
      </w:pPr>
      <w:r>
        <w:rPr>
          <w:rFonts w:ascii="宋体" w:eastAsia="宋体" w:hAnsi="宋体" w:cs="宋体" w:hint="eastAsia"/>
          <w:sz w:val="24"/>
        </w:rPr>
        <w:t>其他未尽事宜双方协商。</w:t>
      </w:r>
    </w:p>
    <w:p w14:paraId="7F6FAE4F" w14:textId="77777777" w:rsidR="00302AC4" w:rsidRDefault="00302AC4"/>
    <w:sectPr w:rsidR="00302AC4">
      <w:footerReference w:type="default" r:id="rId8"/>
      <w:pgSz w:w="11905" w:h="16838"/>
      <w:pgMar w:top="1134" w:right="1134" w:bottom="1134" w:left="1134" w:header="0" w:footer="856" w:gutter="0"/>
      <w:pgNumType w:start="1"/>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A15DF5" w14:textId="77777777" w:rsidR="003728AF" w:rsidRDefault="003728AF">
      <w:r>
        <w:separator/>
      </w:r>
    </w:p>
  </w:endnote>
  <w:endnote w:type="continuationSeparator" w:id="0">
    <w:p w14:paraId="07621434" w14:textId="77777777" w:rsidR="003728AF" w:rsidRDefault="00372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01F34" w14:textId="6352096D" w:rsidR="00302AC4" w:rsidRDefault="00302AC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CFE8CE" w14:textId="77777777" w:rsidR="003728AF" w:rsidRDefault="003728AF">
      <w:r>
        <w:separator/>
      </w:r>
    </w:p>
  </w:footnote>
  <w:footnote w:type="continuationSeparator" w:id="0">
    <w:p w14:paraId="14E83905" w14:textId="77777777" w:rsidR="003728AF" w:rsidRDefault="003728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137C7F8"/>
    <w:multiLevelType w:val="singleLevel"/>
    <w:tmpl w:val="9137C7F8"/>
    <w:lvl w:ilvl="0">
      <w:start w:val="1"/>
      <w:numFmt w:val="decimal"/>
      <w:suff w:val="nothing"/>
      <w:lvlText w:val="（%1）"/>
      <w:lvlJc w:val="left"/>
    </w:lvl>
  </w:abstractNum>
  <w:abstractNum w:abstractNumId="1" w15:restartNumberingAfterBreak="0">
    <w:nsid w:val="A0A85456"/>
    <w:multiLevelType w:val="multilevel"/>
    <w:tmpl w:val="A0A85456"/>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abstractNum w:abstractNumId="2" w15:restartNumberingAfterBreak="0">
    <w:nsid w:val="A7CDF232"/>
    <w:multiLevelType w:val="singleLevel"/>
    <w:tmpl w:val="A7CDF232"/>
    <w:lvl w:ilvl="0">
      <w:start w:val="1"/>
      <w:numFmt w:val="decimal"/>
      <w:suff w:val="nothing"/>
      <w:lvlText w:val="（%1）"/>
      <w:lvlJc w:val="left"/>
    </w:lvl>
  </w:abstractNum>
  <w:abstractNum w:abstractNumId="3" w15:restartNumberingAfterBreak="0">
    <w:nsid w:val="C2572CBA"/>
    <w:multiLevelType w:val="singleLevel"/>
    <w:tmpl w:val="C2572CBA"/>
    <w:lvl w:ilvl="0">
      <w:start w:val="1"/>
      <w:numFmt w:val="bullet"/>
      <w:lvlText w:val=""/>
      <w:lvlJc w:val="left"/>
      <w:pPr>
        <w:ind w:left="420" w:hanging="420"/>
      </w:pPr>
      <w:rPr>
        <w:rFonts w:ascii="Wingdings" w:hAnsi="Wingdings" w:hint="default"/>
      </w:rPr>
    </w:lvl>
  </w:abstractNum>
  <w:abstractNum w:abstractNumId="4" w15:restartNumberingAfterBreak="0">
    <w:nsid w:val="F8745287"/>
    <w:multiLevelType w:val="singleLevel"/>
    <w:tmpl w:val="F8745287"/>
    <w:lvl w:ilvl="0">
      <w:start w:val="1"/>
      <w:numFmt w:val="bullet"/>
      <w:lvlText w:val=""/>
      <w:lvlJc w:val="left"/>
      <w:pPr>
        <w:ind w:left="420" w:hanging="420"/>
      </w:pPr>
      <w:rPr>
        <w:rFonts w:ascii="Wingdings" w:hAnsi="Wingdings" w:hint="default"/>
      </w:rPr>
    </w:lvl>
  </w:abstractNum>
  <w:abstractNum w:abstractNumId="5" w15:restartNumberingAfterBreak="0">
    <w:nsid w:val="00D03C8F"/>
    <w:multiLevelType w:val="singleLevel"/>
    <w:tmpl w:val="00D03C8F"/>
    <w:lvl w:ilvl="0">
      <w:start w:val="1"/>
      <w:numFmt w:val="decimal"/>
      <w:suff w:val="nothing"/>
      <w:lvlText w:val="（%1）"/>
      <w:lvlJc w:val="left"/>
    </w:lvl>
  </w:abstractNum>
  <w:num w:numId="1" w16cid:durableId="1641693989">
    <w:abstractNumId w:val="1"/>
  </w:num>
  <w:num w:numId="2" w16cid:durableId="7829221">
    <w:abstractNumId w:val="2"/>
  </w:num>
  <w:num w:numId="3" w16cid:durableId="880362729">
    <w:abstractNumId w:val="0"/>
  </w:num>
  <w:num w:numId="4" w16cid:durableId="1328627155">
    <w:abstractNumId w:val="4"/>
  </w:num>
  <w:num w:numId="5" w16cid:durableId="925265273">
    <w:abstractNumId w:val="5"/>
  </w:num>
  <w:num w:numId="6" w16cid:durableId="522745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TJlZTJmYzcwMWJlMmIwMTNiMDI5NmQzYmI1YjBmYmIifQ=="/>
  </w:docVars>
  <w:rsids>
    <w:rsidRoot w:val="00302AC4"/>
    <w:rsid w:val="0016077B"/>
    <w:rsid w:val="00302AC4"/>
    <w:rsid w:val="003728AF"/>
    <w:rsid w:val="004E3DD9"/>
    <w:rsid w:val="00896309"/>
    <w:rsid w:val="00B01840"/>
    <w:rsid w:val="01C0753F"/>
    <w:rsid w:val="0404236C"/>
    <w:rsid w:val="04A86794"/>
    <w:rsid w:val="055406CA"/>
    <w:rsid w:val="07F95559"/>
    <w:rsid w:val="0D505BC7"/>
    <w:rsid w:val="0D6945E7"/>
    <w:rsid w:val="1D5838FC"/>
    <w:rsid w:val="21F90C5D"/>
    <w:rsid w:val="290D62BA"/>
    <w:rsid w:val="2C864D5D"/>
    <w:rsid w:val="2E24482E"/>
    <w:rsid w:val="32EB3B6C"/>
    <w:rsid w:val="3B712735"/>
    <w:rsid w:val="3D370B09"/>
    <w:rsid w:val="4A814232"/>
    <w:rsid w:val="4B825BE0"/>
    <w:rsid w:val="52DC3A00"/>
    <w:rsid w:val="54002254"/>
    <w:rsid w:val="59C942A4"/>
    <w:rsid w:val="676E209B"/>
    <w:rsid w:val="69FD7FC5"/>
    <w:rsid w:val="6ACA583A"/>
    <w:rsid w:val="6D5E495F"/>
    <w:rsid w:val="6FC211D5"/>
    <w:rsid w:val="71195DDC"/>
    <w:rsid w:val="71C50B09"/>
    <w:rsid w:val="739A6CB9"/>
    <w:rsid w:val="73EE611A"/>
    <w:rsid w:val="780137BA"/>
    <w:rsid w:val="7911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9FB6A"/>
  <w15:docId w15:val="{7517EF8F-48B0-43AC-AB71-D426CDAA9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annotation text" w:uiPriority="99"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numPr>
        <w:numId w:val="1"/>
      </w:numPr>
      <w:spacing w:line="360" w:lineRule="auto"/>
      <w:outlineLvl w:val="0"/>
    </w:pPr>
    <w:rPr>
      <w:rFonts w:eastAsia="宋体"/>
      <w:b/>
      <w:kern w:val="44"/>
      <w:sz w:val="32"/>
    </w:rPr>
  </w:style>
  <w:style w:type="paragraph" w:styleId="2">
    <w:name w:val="heading 2"/>
    <w:basedOn w:val="a"/>
    <w:next w:val="a"/>
    <w:unhideWhenUsed/>
    <w:qFormat/>
    <w:pPr>
      <w:keepNext/>
      <w:keepLines/>
      <w:numPr>
        <w:ilvl w:val="1"/>
        <w:numId w:val="1"/>
      </w:numPr>
      <w:spacing w:line="360" w:lineRule="auto"/>
      <w:ind w:left="573" w:hanging="573"/>
      <w:outlineLvl w:val="1"/>
    </w:pPr>
    <w:rPr>
      <w:rFonts w:ascii="Arial" w:eastAsia="宋体" w:hAnsi="Arial"/>
      <w:b/>
      <w:sz w:val="30"/>
    </w:rPr>
  </w:style>
  <w:style w:type="paragraph" w:styleId="3">
    <w:name w:val="heading 3"/>
    <w:basedOn w:val="a"/>
    <w:next w:val="a"/>
    <w:unhideWhenUsed/>
    <w:qFormat/>
    <w:pPr>
      <w:keepNext/>
      <w:keepLines/>
      <w:numPr>
        <w:ilvl w:val="2"/>
        <w:numId w:val="1"/>
      </w:numPr>
      <w:spacing w:line="360" w:lineRule="auto"/>
      <w:outlineLvl w:val="2"/>
    </w:pPr>
    <w:rPr>
      <w:rFonts w:eastAsia="宋体"/>
      <w:b/>
      <w:sz w:val="28"/>
    </w:rPr>
  </w:style>
  <w:style w:type="paragraph" w:styleId="4">
    <w:name w:val="heading 4"/>
    <w:basedOn w:val="a"/>
    <w:next w:val="a"/>
    <w:semiHidden/>
    <w:unhideWhenUsed/>
    <w:qFormat/>
    <w:pPr>
      <w:keepNext/>
      <w:keepLines/>
      <w:numPr>
        <w:ilvl w:val="3"/>
        <w:numId w:val="1"/>
      </w:numPr>
      <w:spacing w:before="280" w:after="290" w:line="372" w:lineRule="auto"/>
      <w:outlineLvl w:val="3"/>
    </w:pPr>
    <w:rPr>
      <w:rFonts w:ascii="Arial" w:eastAsia="黑体" w:hAnsi="Arial"/>
      <w:b/>
      <w:sz w:val="28"/>
    </w:rPr>
  </w:style>
  <w:style w:type="paragraph" w:styleId="5">
    <w:name w:val="heading 5"/>
    <w:basedOn w:val="a"/>
    <w:next w:val="a"/>
    <w:semiHidden/>
    <w:unhideWhenUsed/>
    <w:qFormat/>
    <w:pPr>
      <w:keepNext/>
      <w:keepLines/>
      <w:numPr>
        <w:ilvl w:val="4"/>
        <w:numId w:val="1"/>
      </w:numPr>
      <w:spacing w:before="280" w:after="290" w:line="372" w:lineRule="auto"/>
      <w:outlineLvl w:val="4"/>
    </w:pPr>
    <w:rPr>
      <w:b/>
      <w:sz w:val="28"/>
    </w:rPr>
  </w:style>
  <w:style w:type="paragraph" w:styleId="6">
    <w:name w:val="heading 6"/>
    <w:basedOn w:val="a"/>
    <w:next w:val="a"/>
    <w:semiHidden/>
    <w:unhideWhenUsed/>
    <w:qFormat/>
    <w:pPr>
      <w:keepNext/>
      <w:keepLines/>
      <w:numPr>
        <w:ilvl w:val="5"/>
        <w:numId w:val="1"/>
      </w:numPr>
      <w:spacing w:before="240" w:after="64" w:line="317" w:lineRule="auto"/>
      <w:outlineLvl w:val="5"/>
    </w:pPr>
    <w:rPr>
      <w:rFonts w:ascii="Arial" w:eastAsia="黑体" w:hAnsi="Arial"/>
      <w:b/>
      <w:sz w:val="24"/>
    </w:rPr>
  </w:style>
  <w:style w:type="paragraph" w:styleId="7">
    <w:name w:val="heading 7"/>
    <w:basedOn w:val="a"/>
    <w:next w:val="a"/>
    <w:semiHidden/>
    <w:unhideWhenUsed/>
    <w:qFormat/>
    <w:pPr>
      <w:keepNext/>
      <w:keepLines/>
      <w:numPr>
        <w:ilvl w:val="6"/>
        <w:numId w:val="1"/>
      </w:numPr>
      <w:spacing w:before="240" w:after="64" w:line="317" w:lineRule="auto"/>
      <w:outlineLvl w:val="6"/>
    </w:pPr>
    <w:rPr>
      <w:b/>
      <w:sz w:val="24"/>
    </w:rPr>
  </w:style>
  <w:style w:type="paragraph" w:styleId="8">
    <w:name w:val="heading 8"/>
    <w:basedOn w:val="a"/>
    <w:next w:val="a"/>
    <w:semiHidden/>
    <w:unhideWhenUsed/>
    <w:qFormat/>
    <w:pPr>
      <w:keepNext/>
      <w:keepLines/>
      <w:numPr>
        <w:ilvl w:val="7"/>
        <w:numId w:val="1"/>
      </w:numPr>
      <w:spacing w:before="240" w:after="64" w:line="317" w:lineRule="auto"/>
      <w:outlineLvl w:val="7"/>
    </w:pPr>
    <w:rPr>
      <w:rFonts w:ascii="Arial" w:eastAsia="黑体" w:hAnsi="Arial"/>
      <w:sz w:val="24"/>
    </w:rPr>
  </w:style>
  <w:style w:type="paragraph" w:styleId="9">
    <w:name w:val="heading 9"/>
    <w:basedOn w:val="a"/>
    <w:next w:val="a"/>
    <w:semiHidden/>
    <w:unhideWhenUsed/>
    <w:qFormat/>
    <w:pPr>
      <w:keepNext/>
      <w:keepLines/>
      <w:numPr>
        <w:ilvl w:val="8"/>
        <w:numId w:val="1"/>
      </w:numPr>
      <w:spacing w:before="240" w:after="64"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Pr>
      <w:rFonts w:ascii="Calibri" w:eastAsia="宋体" w:hAnsi="Calibri" w:cs="Times New Roman"/>
      <w:sz w:val="20"/>
      <w:szCs w:val="20"/>
    </w:rPr>
  </w:style>
  <w:style w:type="paragraph" w:styleId="a4">
    <w:name w:val="Body Text"/>
    <w:basedOn w:val="a"/>
    <w:qFormat/>
    <w:rPr>
      <w:sz w:val="24"/>
    </w:rPr>
  </w:style>
  <w:style w:type="paragraph" w:styleId="TOC3">
    <w:name w:val="toc 3"/>
    <w:basedOn w:val="a"/>
    <w:next w:val="a"/>
    <w:qFormat/>
    <w:pPr>
      <w:ind w:leftChars="400" w:left="840"/>
    </w:p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Body Text First Indent"/>
    <w:basedOn w:val="a4"/>
    <w:uiPriority w:val="99"/>
    <w:qFormat/>
    <w:pPr>
      <w:spacing w:after="120"/>
      <w:ind w:firstLineChars="100" w:firstLine="420"/>
    </w:pPr>
    <w:rPr>
      <w:sz w:val="21"/>
    </w:rPr>
  </w:style>
  <w:style w:type="paragraph" w:customStyle="1" w:styleId="Style3">
    <w:name w:val="_Style 3"/>
    <w:basedOn w:val="a"/>
    <w:qFormat/>
    <w:pPr>
      <w:ind w:firstLineChars="200" w:firstLine="42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1356</Words>
  <Characters>7733</Characters>
  <Application>Microsoft Office Word</Application>
  <DocSecurity>0</DocSecurity>
  <Lines>64</Lines>
  <Paragraphs>18</Paragraphs>
  <ScaleCrop>false</ScaleCrop>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段小圆</cp:lastModifiedBy>
  <cp:revision>4</cp:revision>
  <dcterms:created xsi:type="dcterms:W3CDTF">2024-10-23T10:03:00Z</dcterms:created>
  <dcterms:modified xsi:type="dcterms:W3CDTF">2024-10-23T10:05:00Z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FBE35E9397DE400E8ACE390E83AF81CF_12</vt:lpwstr>
  </property>
</Properties>
</file>