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D6B07">
      <w:pPr>
        <w:jc w:val="center"/>
        <w:rPr>
          <w:sz w:val="24"/>
        </w:rPr>
      </w:pPr>
      <w:bookmarkStart w:id="0" w:name="_Toc32514"/>
      <w:bookmarkStart w:id="1" w:name="_Toc15365"/>
      <w:bookmarkStart w:id="2" w:name="_Toc15189"/>
      <w:bookmarkStart w:id="3" w:name="_Toc3493"/>
      <w:bookmarkStart w:id="4" w:name="_Toc16091"/>
      <w:bookmarkStart w:id="5" w:name="_Toc17040"/>
      <w:bookmarkStart w:id="6" w:name="_Toc14315"/>
      <w:bookmarkStart w:id="7" w:name="_Toc15553"/>
      <w:r>
        <w:rPr>
          <w:rFonts w:hint="eastAsia"/>
          <w:sz w:val="24"/>
        </w:rPr>
        <w:t xml:space="preserve"> </w:t>
      </w:r>
    </w:p>
    <w:p w14:paraId="1674EBC0">
      <w:pPr>
        <w:jc w:val="center"/>
        <w:rPr>
          <w:sz w:val="24"/>
        </w:rPr>
      </w:pPr>
    </w:p>
    <w:p w14:paraId="60F0A325">
      <w:pPr>
        <w:jc w:val="center"/>
        <w:rPr>
          <w:sz w:val="24"/>
        </w:rPr>
      </w:pPr>
    </w:p>
    <w:p w14:paraId="75A306B0">
      <w:pPr>
        <w:jc w:val="center"/>
        <w:rPr>
          <w:sz w:val="24"/>
        </w:rPr>
      </w:pPr>
    </w:p>
    <w:p w14:paraId="3202EB22">
      <w:pPr>
        <w:spacing w:line="480" w:lineRule="auto"/>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中山大学附属仁济医院</w:t>
      </w:r>
    </w:p>
    <w:p w14:paraId="49BFEFFF">
      <w:pPr>
        <w:spacing w:line="480" w:lineRule="auto"/>
        <w:jc w:val="center"/>
        <w:rPr>
          <w:rFonts w:hint="eastAsia" w:ascii="微软雅黑" w:hAnsi="微软雅黑" w:eastAsia="微软雅黑" w:cs="微软雅黑"/>
          <w:b/>
          <w:bCs/>
          <w:sz w:val="72"/>
          <w:szCs w:val="72"/>
        </w:rPr>
      </w:pPr>
      <w:r>
        <w:rPr>
          <w:rFonts w:hint="eastAsia" w:ascii="黑体" w:hAnsi="黑体" w:eastAsia="黑体" w:cs="黑体"/>
          <w:b/>
          <w:kern w:val="0"/>
          <w:sz w:val="44"/>
          <w:szCs w:val="44"/>
          <w:lang w:val="en-US" w:eastAsia="zh-CN"/>
        </w:rPr>
        <w:t>固定电话运营服务采购项目</w:t>
      </w:r>
    </w:p>
    <w:p w14:paraId="50C0CBE0">
      <w:pPr>
        <w:spacing w:line="480" w:lineRule="auto"/>
        <w:jc w:val="center"/>
        <w:rPr>
          <w:rFonts w:hint="eastAsia" w:ascii="微软雅黑" w:hAnsi="微软雅黑" w:eastAsia="微软雅黑" w:cs="微软雅黑"/>
          <w:b/>
          <w:bCs/>
          <w:sz w:val="72"/>
          <w:szCs w:val="72"/>
        </w:rPr>
      </w:pPr>
    </w:p>
    <w:p w14:paraId="5A984B4B">
      <w:pPr>
        <w:spacing w:line="480" w:lineRule="auto"/>
        <w:jc w:val="center"/>
        <w:rPr>
          <w:rFonts w:hint="eastAsia" w:ascii="微软雅黑" w:hAnsi="微软雅黑" w:eastAsia="微软雅黑" w:cs="微软雅黑"/>
          <w:b/>
          <w:bCs/>
          <w:sz w:val="72"/>
          <w:szCs w:val="72"/>
        </w:rPr>
      </w:pPr>
    </w:p>
    <w:p w14:paraId="63449D5D">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235D472B">
      <w:pPr>
        <w:pStyle w:val="19"/>
      </w:pPr>
    </w:p>
    <w:p w14:paraId="31B455C8">
      <w:pPr>
        <w:pStyle w:val="19"/>
        <w:spacing w:line="360" w:lineRule="auto"/>
        <w:rPr>
          <w:rFonts w:ascii="方正小标宋简体" w:hAnsi="宋体" w:eastAsia="方正小标宋简体"/>
          <w:sz w:val="32"/>
        </w:rPr>
      </w:pPr>
    </w:p>
    <w:p w14:paraId="45FD2012">
      <w:pPr>
        <w:adjustRightInd w:val="0"/>
        <w:snapToGrid w:val="0"/>
        <w:spacing w:line="360" w:lineRule="auto"/>
        <w:ind w:firstLine="3253" w:firstLineChars="900"/>
        <w:rPr>
          <w:rFonts w:ascii="宋体" w:hAnsi="宋体"/>
          <w:b/>
          <w:bCs/>
          <w:sz w:val="36"/>
          <w:szCs w:val="36"/>
        </w:rPr>
      </w:pPr>
    </w:p>
    <w:p w14:paraId="7A5CA753">
      <w:pPr>
        <w:adjustRightInd w:val="0"/>
        <w:snapToGrid w:val="0"/>
        <w:spacing w:line="360" w:lineRule="auto"/>
        <w:ind w:firstLine="3253" w:firstLineChars="900"/>
        <w:rPr>
          <w:rFonts w:ascii="宋体" w:hAnsi="宋体"/>
          <w:b/>
          <w:bCs/>
          <w:sz w:val="36"/>
          <w:szCs w:val="36"/>
        </w:rPr>
      </w:pPr>
    </w:p>
    <w:p w14:paraId="0569858D">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ZCB-2024179</w:t>
      </w:r>
    </w:p>
    <w:p w14:paraId="161ADA21">
      <w:pPr>
        <w:adjustRightInd w:val="0"/>
        <w:snapToGrid w:val="0"/>
        <w:spacing w:line="360" w:lineRule="auto"/>
        <w:jc w:val="center"/>
        <w:rPr>
          <w:rFonts w:hint="eastAsia" w:ascii="仿宋" w:hAnsi="仿宋" w:eastAsia="仿宋" w:cs="仿宋"/>
          <w:b/>
          <w:bCs/>
          <w:sz w:val="36"/>
          <w:szCs w:val="36"/>
        </w:rPr>
      </w:pPr>
    </w:p>
    <w:p w14:paraId="6972E32E">
      <w:pPr>
        <w:pStyle w:val="19"/>
        <w:rPr>
          <w:rFonts w:hint="eastAsia" w:ascii="仿宋" w:hAnsi="仿宋" w:eastAsia="仿宋" w:cs="仿宋"/>
          <w:b/>
          <w:bCs/>
          <w:sz w:val="36"/>
          <w:szCs w:val="36"/>
        </w:rPr>
      </w:pPr>
    </w:p>
    <w:p w14:paraId="0951C304">
      <w:pPr>
        <w:pStyle w:val="19"/>
        <w:rPr>
          <w:rFonts w:hint="eastAsia" w:ascii="仿宋" w:hAnsi="仿宋" w:eastAsia="仿宋" w:cs="仿宋"/>
          <w:b/>
          <w:bCs/>
          <w:sz w:val="36"/>
          <w:szCs w:val="36"/>
        </w:rPr>
      </w:pPr>
    </w:p>
    <w:p w14:paraId="6A44B1A7">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11</w:t>
      </w:r>
      <w:r>
        <w:rPr>
          <w:rFonts w:hint="eastAsia" w:ascii="仿宋" w:hAnsi="仿宋" w:eastAsia="仿宋" w:cs="仿宋"/>
          <w:b/>
          <w:bCs/>
          <w:sz w:val="32"/>
          <w:szCs w:val="32"/>
        </w:rPr>
        <w:t>月</w:t>
      </w:r>
    </w:p>
    <w:p w14:paraId="66D3F680">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2F28D5B0">
      <w:pPr>
        <w:pStyle w:val="30"/>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4870FEF1">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0DCFB607">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1DC0BD8">
      <w:pPr>
        <w:pStyle w:val="30"/>
        <w:tabs>
          <w:tab w:val="right" w:leader="dot" w:pos="9070"/>
        </w:tabs>
        <w:rPr>
          <w:rFonts w:hint="eastAsia" w:ascii="仿宋" w:hAnsi="仿宋" w:eastAsia="仿宋" w:cs="仿宋"/>
          <w:b/>
          <w:bCs/>
          <w:sz w:val="28"/>
          <w:szCs w:val="28"/>
        </w:rPr>
      </w:pPr>
    </w:p>
    <w:p w14:paraId="6F95E6F8">
      <w:pPr>
        <w:pStyle w:val="20"/>
        <w:rPr>
          <w:rFonts w:ascii="宋体" w:hAnsi="宋体"/>
          <w:bCs/>
          <w:szCs w:val="28"/>
        </w:rPr>
      </w:pPr>
      <w:r>
        <w:rPr>
          <w:rFonts w:hint="eastAsia" w:ascii="仿宋" w:hAnsi="仿宋" w:eastAsia="仿宋" w:cs="仿宋"/>
          <w:b/>
          <w:bCs/>
          <w:sz w:val="28"/>
          <w:szCs w:val="28"/>
        </w:rPr>
        <w:fldChar w:fldCharType="end"/>
      </w:r>
    </w:p>
    <w:p w14:paraId="23B3C493">
      <w:pPr>
        <w:pStyle w:val="20"/>
        <w:rPr>
          <w:rFonts w:ascii="宋体" w:hAnsi="宋体"/>
          <w:bCs/>
          <w:szCs w:val="28"/>
        </w:rPr>
      </w:pPr>
    </w:p>
    <w:p w14:paraId="3A8A08A0"/>
    <w:p w14:paraId="050DA075"/>
    <w:p w14:paraId="3EE25F22"/>
    <w:p w14:paraId="2FA708C7"/>
    <w:p w14:paraId="7AE6DCB9"/>
    <w:p w14:paraId="2AC3B4E7"/>
    <w:p w14:paraId="4F9D26A9"/>
    <w:p w14:paraId="2F30C70F"/>
    <w:p w14:paraId="20DA9573"/>
    <w:p w14:paraId="3F3A2BD4"/>
    <w:p w14:paraId="6E1021BC"/>
    <w:p w14:paraId="2F8D5867">
      <w:pPr>
        <w:jc w:val="center"/>
      </w:pPr>
    </w:p>
    <w:p w14:paraId="17373BAF"/>
    <w:p w14:paraId="27A5F0F0">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95B759D">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1450FDA9">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7D8D658">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DF6EC22">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"mailto:sysmhzcb@mail.sysu.edu.cn" </w:instrText>
      </w:r>
      <w:r>
        <w:rPr>
          <w:rFonts w:hint="eastAsia" w:ascii="仿宋" w:hAnsi="仿宋" w:eastAsia="仿宋" w:cs="仿宋"/>
          <w:kern w:val="0"/>
          <w:sz w:val="24"/>
          <w:lang w:val="en-US" w:eastAsia="zh-CN"/>
        </w:rPr>
        <w:fldChar w:fldCharType="separate"/>
      </w:r>
      <w:r>
        <w:rPr>
          <w:rStyle w:val="15"/>
          <w:rFonts w:hint="eastAsia" w:ascii="仿宋" w:hAnsi="仿宋" w:eastAsia="仿宋" w:cs="仿宋"/>
          <w:kern w:val="0"/>
          <w:sz w:val="24"/>
          <w:lang w:val="en-US" w:eastAsia="zh-CN"/>
        </w:rPr>
        <w:t>sysmhzcb@mail.sysu.edu.cn</w:t>
      </w:r>
      <w:r>
        <w:rPr>
          <w:rFonts w:hint="eastAsia" w:ascii="仿宋" w:hAnsi="仿宋" w:eastAsia="仿宋" w:cs="仿宋"/>
          <w:kern w:val="0"/>
          <w:sz w:val="24"/>
          <w:lang w:val="en-US" w:eastAsia="zh-CN"/>
        </w:rPr>
        <w:fldChar w:fldCharType="end"/>
      </w:r>
    </w:p>
    <w:p w14:paraId="1A45DCFB">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3.邮件主题：中山大学附属仁济医院固定电话运营服务采购项目-某某公司</w:t>
      </w:r>
    </w:p>
    <w:p w14:paraId="4025108C">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71D8C63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5.报名截止时间：2024年11月14日下午17:00，以邮件接收时间为准，超时视为无效报名。</w:t>
      </w:r>
    </w:p>
    <w:p w14:paraId="41DF7402">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19B71DD">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5A7B5EC6">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采购人失信</w:t>
      </w:r>
      <w:r>
        <w:rPr>
          <w:rFonts w:hint="eastAsia" w:ascii="仿宋" w:hAnsi="仿宋" w:eastAsia="仿宋" w:cs="仿宋"/>
          <w:kern w:val="0"/>
          <w:sz w:val="24"/>
        </w:rPr>
        <w:t>供应商名单，并依法追究相关责任。</w:t>
      </w:r>
    </w:p>
    <w:p w14:paraId="71648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459EF8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3205F8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1D01E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提交，自动视为报名不成功，不能进入谈判环节。</w:t>
      </w:r>
    </w:p>
    <w:p w14:paraId="3D68D6E4">
      <w:pPr>
        <w:spacing w:line="400" w:lineRule="exact"/>
        <w:ind w:firstLine="360" w:firstLineChars="150"/>
        <w:rPr>
          <w:rFonts w:ascii="宋体" w:hAnsi="宋体"/>
          <w:b/>
          <w:bCs/>
          <w:sz w:val="24"/>
          <w:highlight w:val="yellow"/>
        </w:rPr>
      </w:pPr>
    </w:p>
    <w:p w14:paraId="7589DDCE">
      <w:pPr>
        <w:spacing w:line="400" w:lineRule="exact"/>
        <w:ind w:firstLine="360" w:firstLineChars="150"/>
        <w:rPr>
          <w:rFonts w:ascii="宋体" w:hAnsi="宋体"/>
          <w:b/>
          <w:bCs/>
          <w:sz w:val="24"/>
          <w:highlight w:val="yellow"/>
        </w:rPr>
      </w:pPr>
    </w:p>
    <w:p w14:paraId="68ADFF40">
      <w:pPr>
        <w:pStyle w:val="19"/>
        <w:rPr>
          <w:rFonts w:ascii="宋体" w:hAnsi="宋体"/>
          <w:b/>
          <w:bCs/>
          <w:sz w:val="24"/>
          <w:highlight w:val="yellow"/>
        </w:rPr>
      </w:pPr>
    </w:p>
    <w:p w14:paraId="4FB09382">
      <w:pPr>
        <w:pStyle w:val="19"/>
        <w:rPr>
          <w:rFonts w:ascii="宋体" w:hAnsi="宋体"/>
          <w:b/>
          <w:bCs/>
          <w:sz w:val="24"/>
          <w:highlight w:val="yellow"/>
        </w:rPr>
      </w:pPr>
    </w:p>
    <w:p w14:paraId="7D77DACF">
      <w:pPr>
        <w:pStyle w:val="19"/>
        <w:rPr>
          <w:rFonts w:ascii="宋体" w:hAnsi="宋体"/>
          <w:b/>
          <w:bCs/>
          <w:sz w:val="24"/>
          <w:highlight w:val="yellow"/>
        </w:rPr>
      </w:pPr>
    </w:p>
    <w:p w14:paraId="6EA7FC81">
      <w:pPr>
        <w:pStyle w:val="20"/>
      </w:pPr>
    </w:p>
    <w:p w14:paraId="56ADAC6C">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604C3C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一、封面（详见报名格式文件模板）</w:t>
      </w:r>
    </w:p>
    <w:p w14:paraId="7F6450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二、报名资质要求（详见报名格式文件模板）</w:t>
      </w:r>
    </w:p>
    <w:p w14:paraId="515817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1、供应商应具备以下条件：</w:t>
      </w:r>
    </w:p>
    <w:p w14:paraId="67798C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（1）具有良好的商业信誉和健全的财务会计制度；</w:t>
      </w:r>
    </w:p>
    <w:p w14:paraId="7ECAC3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（2）有依法缴纳税收和社会保障资金的良好记录；</w:t>
      </w:r>
    </w:p>
    <w:p w14:paraId="0D8F2A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（3）具备履行合同所必需的设备和专业技术能力；</w:t>
      </w:r>
    </w:p>
    <w:p w14:paraId="6BA649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（4）参加本次采购活动前三年内，在经营活动中没有重大违法记录。</w:t>
      </w:r>
    </w:p>
    <w:p w14:paraId="1F230D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2、被“信用中国”网站列入失信被执行人和重大税收违法失信主体的、被“中国政府采购网”网站列入政府采购严重违法失信行为记录名单（处罚期限尚未届满的）的供应商，不得参与本项目的采购活动。</w:t>
      </w:r>
    </w:p>
    <w:p w14:paraId="38B0D8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3、法定代表人或单位负责人为同一人或者存在直接控股、管理关系的不同响应单位，不得参加同一合同项下的采购活动。</w:t>
      </w:r>
    </w:p>
    <w:p w14:paraId="5898D3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4、为本采购项目提供过整体设计、规范编制或者项目管理、监理、检测等服务的供应商及其附属机构，不得再参加本采购项目的响应。</w:t>
      </w:r>
    </w:p>
    <w:p w14:paraId="08ADF2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的授权书。</w:t>
      </w:r>
    </w:p>
    <w:p w14:paraId="0945B1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6、本项目不接受联合体响应，成交供应商不得以任何方式转包或分包本项目。</w:t>
      </w:r>
    </w:p>
    <w:p w14:paraId="73F4CD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7、供应商必须具有中华人民共和国工业和信息化部颁发的《中华人民共和国基础电信业务经营许可证》，提供证书复印件（如国家另有规定，则适用其规定）。（分支机构投标，须取得具有法人资格的总公司（总所）出具给分支机构的授权书。已由总公司（总所）授权的，总公司（总所）取得的相关资质证书对分支机构有效，法律法规或者行业另有规定的除外。）</w:t>
      </w:r>
    </w:p>
    <w:p w14:paraId="481877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三、出具加盖公章、有单位负责人（法定代表人）签名的《供应商廉洁守约承诺书》。</w:t>
      </w:r>
    </w:p>
    <w:p w14:paraId="4A8EF20D">
      <w:pPr>
        <w:pStyle w:val="7"/>
        <w:adjustRightInd w:val="0"/>
        <w:snapToGrid w:val="0"/>
        <w:rPr>
          <w:rFonts w:ascii="Times New Roman" w:hAnsi="Times New Roman" w:cs="Times New Roman"/>
          <w:sz w:val="24"/>
          <w:szCs w:val="24"/>
        </w:rPr>
      </w:pPr>
    </w:p>
    <w:p w14:paraId="11A29D63">
      <w:pPr>
        <w:pStyle w:val="7"/>
        <w:adjustRightInd w:val="0"/>
        <w:snapToGrid w:val="0"/>
        <w:rPr>
          <w:rFonts w:ascii="Times New Roman" w:hAnsi="Times New Roman" w:cs="Times New Roman"/>
          <w:sz w:val="24"/>
          <w:szCs w:val="24"/>
        </w:rPr>
      </w:pPr>
    </w:p>
    <w:p w14:paraId="4175EAE2">
      <w:pPr>
        <w:pStyle w:val="7"/>
        <w:adjustRightInd w:val="0"/>
        <w:snapToGrid w:val="0"/>
        <w:rPr>
          <w:rFonts w:ascii="Times New Roman" w:hAnsi="Times New Roman" w:cs="Times New Roman"/>
          <w:sz w:val="24"/>
          <w:szCs w:val="24"/>
        </w:rPr>
      </w:pPr>
    </w:p>
    <w:p w14:paraId="00A1B2C7">
      <w:pPr>
        <w:pStyle w:val="7"/>
        <w:adjustRightInd w:val="0"/>
        <w:snapToGrid w:val="0"/>
        <w:rPr>
          <w:rFonts w:ascii="Times New Roman" w:hAnsi="Times New Roman" w:cs="Times New Roman"/>
          <w:sz w:val="24"/>
          <w:szCs w:val="24"/>
        </w:rPr>
      </w:pPr>
    </w:p>
    <w:p w14:paraId="623379E2">
      <w:pPr>
        <w:pStyle w:val="7"/>
        <w:adjustRightInd w:val="0"/>
        <w:snapToGrid w:val="0"/>
        <w:rPr>
          <w:rFonts w:ascii="Times New Roman" w:hAnsi="Times New Roman" w:cs="Times New Roman"/>
          <w:sz w:val="24"/>
          <w:szCs w:val="24"/>
        </w:rPr>
      </w:pPr>
    </w:p>
    <w:p w14:paraId="44785F4D">
      <w:pPr>
        <w:pStyle w:val="7"/>
        <w:adjustRightInd w:val="0"/>
        <w:snapToGrid w:val="0"/>
        <w:rPr>
          <w:rFonts w:ascii="Times New Roman" w:hAnsi="Times New Roman" w:cs="Times New Roman"/>
          <w:sz w:val="24"/>
          <w:szCs w:val="24"/>
        </w:rPr>
      </w:pPr>
    </w:p>
    <w:p w14:paraId="6A75CA07">
      <w:pPr>
        <w:pStyle w:val="7"/>
        <w:adjustRightInd w:val="0"/>
        <w:snapToGrid w:val="0"/>
        <w:rPr>
          <w:rFonts w:ascii="Times New Roman" w:hAnsi="Times New Roman" w:cs="Times New Roman"/>
          <w:sz w:val="24"/>
          <w:szCs w:val="24"/>
        </w:rPr>
      </w:pPr>
    </w:p>
    <w:p w14:paraId="052B7CD4">
      <w:pPr>
        <w:pStyle w:val="7"/>
        <w:adjustRightInd w:val="0"/>
        <w:snapToGrid w:val="0"/>
        <w:rPr>
          <w:rFonts w:ascii="Times New Roman" w:hAnsi="Times New Roman" w:cs="Times New Roman"/>
          <w:sz w:val="24"/>
          <w:szCs w:val="24"/>
        </w:rPr>
      </w:pPr>
    </w:p>
    <w:p w14:paraId="60142977">
      <w:pPr>
        <w:pStyle w:val="7"/>
        <w:adjustRightInd w:val="0"/>
        <w:snapToGrid w:val="0"/>
        <w:rPr>
          <w:rFonts w:ascii="Times New Roman" w:hAnsi="Times New Roman" w:cs="Times New Roman"/>
          <w:sz w:val="24"/>
          <w:szCs w:val="24"/>
        </w:rPr>
      </w:pPr>
    </w:p>
    <w:p w14:paraId="6F2A8FD1">
      <w:pPr>
        <w:pStyle w:val="7"/>
        <w:adjustRightInd w:val="0"/>
        <w:snapToGrid w:val="0"/>
        <w:rPr>
          <w:rFonts w:ascii="Times New Roman" w:hAnsi="Times New Roman" w:cs="Times New Roman"/>
          <w:sz w:val="24"/>
          <w:szCs w:val="24"/>
        </w:rPr>
      </w:pPr>
    </w:p>
    <w:p w14:paraId="5D06857B">
      <w:pPr>
        <w:pStyle w:val="7"/>
        <w:adjustRightInd w:val="0"/>
        <w:snapToGrid w:val="0"/>
        <w:rPr>
          <w:rFonts w:ascii="Times New Roman" w:hAnsi="Times New Roman" w:cs="Times New Roman"/>
          <w:sz w:val="24"/>
          <w:szCs w:val="24"/>
        </w:rPr>
      </w:pPr>
    </w:p>
    <w:p w14:paraId="3FBED56E">
      <w:pPr>
        <w:pStyle w:val="7"/>
        <w:adjustRightInd w:val="0"/>
        <w:snapToGrid w:val="0"/>
        <w:rPr>
          <w:rFonts w:ascii="Times New Roman" w:hAnsi="Times New Roman" w:cs="Times New Roman"/>
          <w:sz w:val="24"/>
          <w:szCs w:val="24"/>
        </w:rPr>
      </w:pPr>
    </w:p>
    <w:p w14:paraId="4237AC75">
      <w:pPr>
        <w:pStyle w:val="7"/>
        <w:adjustRightInd w:val="0"/>
        <w:snapToGrid w:val="0"/>
        <w:rPr>
          <w:rFonts w:ascii="Times New Roman" w:hAnsi="Times New Roman" w:cs="Times New Roman"/>
          <w:sz w:val="24"/>
          <w:szCs w:val="24"/>
        </w:rPr>
      </w:pPr>
    </w:p>
    <w:p w14:paraId="537F7790">
      <w:pPr>
        <w:widowControl/>
        <w:spacing w:line="360" w:lineRule="auto"/>
        <w:jc w:val="left"/>
        <w:outlineLvl w:val="0"/>
        <w:rPr>
          <w:rFonts w:cs="宋体"/>
          <w:kern w:val="0"/>
          <w:szCs w:val="21"/>
        </w:rPr>
      </w:pPr>
    </w:p>
    <w:p w14:paraId="0B541296">
      <w:pPr>
        <w:pStyle w:val="4"/>
        <w:jc w:val="center"/>
      </w:pPr>
    </w:p>
    <w:p w14:paraId="38208AAE">
      <w:pPr>
        <w:pStyle w:val="4"/>
        <w:jc w:val="both"/>
        <w:rPr>
          <w:rFonts w:hint="eastAsia"/>
        </w:rPr>
      </w:pPr>
    </w:p>
    <w:p w14:paraId="4F2A9671">
      <w:pPr>
        <w:rPr>
          <w:rFonts w:hint="eastAsia"/>
        </w:rPr>
      </w:pPr>
    </w:p>
    <w:p w14:paraId="0CE3043D">
      <w:pPr>
        <w:pStyle w:val="16"/>
        <w:rPr>
          <w:rFonts w:hint="eastAsia"/>
        </w:rPr>
      </w:pPr>
    </w:p>
    <w:p w14:paraId="37F669C3">
      <w:pPr>
        <w:pStyle w:val="16"/>
        <w:rPr>
          <w:rFonts w:hint="eastAsia"/>
        </w:rPr>
      </w:pPr>
    </w:p>
    <w:p w14:paraId="2662D8E8">
      <w:pPr>
        <w:pStyle w:val="16"/>
        <w:rPr>
          <w:rFonts w:hint="eastAsia"/>
        </w:rPr>
      </w:pPr>
    </w:p>
    <w:p w14:paraId="4B0DEEA5">
      <w:pPr>
        <w:pStyle w:val="16"/>
        <w:rPr>
          <w:rFonts w:hint="eastAsia"/>
        </w:rPr>
      </w:pPr>
    </w:p>
    <w:p w14:paraId="7EC27010">
      <w:pPr>
        <w:pStyle w:val="4"/>
        <w:jc w:val="both"/>
        <w:rPr>
          <w:rFonts w:hint="eastAsia"/>
        </w:rPr>
      </w:pPr>
    </w:p>
    <w:p w14:paraId="3321449C">
      <w:pPr>
        <w:pStyle w:val="4"/>
        <w:jc w:val="center"/>
        <w:rPr>
          <w:rFonts w:hint="eastAsia"/>
        </w:rPr>
      </w:pPr>
      <w:r>
        <w:rPr>
          <w:rFonts w:hint="eastAsia"/>
        </w:rPr>
        <w:t xml:space="preserve">第三部分 </w:t>
      </w:r>
      <w:r>
        <w:rPr>
          <w:rFonts w:hint="eastAsia"/>
          <w:lang w:val="en-US" w:eastAsia="zh-CN"/>
        </w:rPr>
        <w:t>报名</w:t>
      </w:r>
      <w:r>
        <w:rPr>
          <w:rFonts w:hint="eastAsia"/>
        </w:rPr>
        <w:t>格式文件模板</w:t>
      </w:r>
    </w:p>
    <w:p w14:paraId="1A18BDAE">
      <w:pPr>
        <w:pStyle w:val="20"/>
      </w:pPr>
    </w:p>
    <w:p w14:paraId="72715C20">
      <w:pPr>
        <w:pStyle w:val="20"/>
      </w:pPr>
    </w:p>
    <w:p w14:paraId="5617C7CD">
      <w:pPr>
        <w:pStyle w:val="20"/>
      </w:pPr>
    </w:p>
    <w:p w14:paraId="18EDB605">
      <w:pPr>
        <w:pStyle w:val="20"/>
      </w:pPr>
    </w:p>
    <w:p w14:paraId="09F3EC8D">
      <w:pPr>
        <w:pStyle w:val="20"/>
      </w:pPr>
    </w:p>
    <w:p w14:paraId="6F529507">
      <w:pPr>
        <w:pStyle w:val="20"/>
      </w:pPr>
    </w:p>
    <w:p w14:paraId="2847E8F9">
      <w:pPr>
        <w:pStyle w:val="20"/>
      </w:pPr>
    </w:p>
    <w:p w14:paraId="0EF52E3E">
      <w:pPr>
        <w:pStyle w:val="20"/>
      </w:pPr>
    </w:p>
    <w:p w14:paraId="7AE2905B">
      <w:pPr>
        <w:pStyle w:val="20"/>
      </w:pPr>
    </w:p>
    <w:p w14:paraId="2033824F">
      <w:pPr>
        <w:pStyle w:val="20"/>
      </w:pPr>
    </w:p>
    <w:p w14:paraId="76055442">
      <w:pPr>
        <w:pStyle w:val="20"/>
      </w:pPr>
    </w:p>
    <w:p w14:paraId="4BC3E661">
      <w:pPr>
        <w:pStyle w:val="20"/>
      </w:pPr>
    </w:p>
    <w:p w14:paraId="6D9DD6B4">
      <w:pPr>
        <w:pStyle w:val="20"/>
      </w:pPr>
    </w:p>
    <w:p w14:paraId="28F584EF">
      <w:pPr>
        <w:pStyle w:val="20"/>
      </w:pPr>
    </w:p>
    <w:p w14:paraId="3F459B4A">
      <w:pPr>
        <w:pStyle w:val="20"/>
      </w:pPr>
    </w:p>
    <w:p w14:paraId="15D5C92E">
      <w:pPr>
        <w:pStyle w:val="20"/>
      </w:pPr>
    </w:p>
    <w:p w14:paraId="182FF403">
      <w:pPr>
        <w:pStyle w:val="20"/>
      </w:pPr>
    </w:p>
    <w:p w14:paraId="16BE5D6A">
      <w:pPr>
        <w:widowControl/>
        <w:spacing w:line="360" w:lineRule="auto"/>
        <w:jc w:val="center"/>
        <w:outlineLvl w:val="0"/>
        <w:rPr>
          <w:rFonts w:ascii="宋体" w:hAnsi="宋体" w:cs="宋体"/>
          <w:b/>
          <w:kern w:val="0"/>
          <w:sz w:val="40"/>
          <w:szCs w:val="27"/>
        </w:rPr>
      </w:pPr>
      <w:bookmarkStart w:id="12" w:name="_Toc28528"/>
      <w:bookmarkStart w:id="13" w:name="_Toc17375"/>
      <w:bookmarkStart w:id="14" w:name="_Toc6151"/>
      <w:bookmarkStart w:id="15" w:name="_Toc31053"/>
      <w:bookmarkStart w:id="16" w:name="_Toc14488"/>
      <w:bookmarkStart w:id="17" w:name="_Toc24"/>
      <w:bookmarkStart w:id="18" w:name="_Toc6408"/>
      <w:bookmarkStart w:id="19" w:name="_Toc31740"/>
      <w:bookmarkStart w:id="20" w:name="_Toc25869"/>
    </w:p>
    <w:p w14:paraId="5A5FF411">
      <w:pPr>
        <w:widowControl/>
        <w:spacing w:line="360" w:lineRule="auto"/>
        <w:jc w:val="center"/>
        <w:outlineLvl w:val="0"/>
        <w:rPr>
          <w:rFonts w:ascii="宋体" w:hAnsi="宋体" w:cs="宋体"/>
          <w:b/>
          <w:kern w:val="0"/>
          <w:sz w:val="40"/>
          <w:szCs w:val="27"/>
        </w:rPr>
      </w:pPr>
    </w:p>
    <w:p w14:paraId="4DBA2F17">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03C34ED4">
      <w:pPr>
        <w:jc w:val="center"/>
        <w:rPr>
          <w:rFonts w:hint="eastAsia" w:ascii="宋体" w:hAnsi="宋体" w:cs="宋体"/>
          <w:b/>
          <w:kern w:val="0"/>
          <w:sz w:val="52"/>
          <w:szCs w:val="52"/>
          <w:lang w:val="en-US" w:eastAsia="zh-CN"/>
        </w:rPr>
      </w:pPr>
    </w:p>
    <w:p w14:paraId="0EBEE66E">
      <w:pPr>
        <w:jc w:val="center"/>
        <w:rPr>
          <w:rFonts w:hint="eastAsia" w:ascii="宋体" w:hAnsi="宋体" w:cs="宋体"/>
          <w:b/>
          <w:kern w:val="0"/>
          <w:sz w:val="52"/>
          <w:szCs w:val="52"/>
          <w:lang w:val="en-US" w:eastAsia="zh-CN"/>
        </w:rPr>
      </w:pPr>
    </w:p>
    <w:p w14:paraId="2A156E32">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中山大学附属仁济医院</w:t>
      </w:r>
    </w:p>
    <w:p w14:paraId="4FC30906">
      <w:pPr>
        <w:spacing w:line="480" w:lineRule="auto"/>
        <w:jc w:val="center"/>
        <w:rPr>
          <w:rFonts w:ascii="宋体" w:hAnsi="宋体"/>
          <w:b/>
          <w:bCs/>
          <w:sz w:val="72"/>
          <w:szCs w:val="72"/>
        </w:rPr>
      </w:pPr>
      <w:r>
        <w:rPr>
          <w:rFonts w:hint="eastAsia" w:ascii="仿宋" w:hAnsi="仿宋" w:eastAsia="仿宋" w:cs="仿宋"/>
          <w:b/>
          <w:color w:val="000000" w:themeColor="text1"/>
          <w:kern w:val="0"/>
          <w:sz w:val="52"/>
          <w:szCs w:val="52"/>
          <w14:textFill>
            <w14:solidFill>
              <w14:schemeClr w14:val="tx1"/>
            </w14:solidFill>
          </w14:textFill>
        </w:rPr>
        <w:t>固定电话运营服务采购项目</w:t>
      </w:r>
    </w:p>
    <w:p w14:paraId="066E8282">
      <w:pPr>
        <w:pStyle w:val="16"/>
      </w:pPr>
    </w:p>
    <w:p w14:paraId="6ED8259E">
      <w:pPr>
        <w:widowControl/>
        <w:spacing w:line="360" w:lineRule="auto"/>
        <w:jc w:val="both"/>
        <w:outlineLvl w:val="0"/>
        <w:rPr>
          <w:rFonts w:hint="eastAsia" w:ascii="仿宋" w:hAnsi="仿宋" w:eastAsia="仿宋" w:cs="仿宋"/>
          <w:b/>
          <w:bCs/>
          <w:sz w:val="72"/>
          <w:szCs w:val="72"/>
        </w:rPr>
      </w:pPr>
      <w:bookmarkStart w:id="21" w:name="_Toc40346216"/>
      <w:bookmarkStart w:id="22" w:name="_Toc435"/>
      <w:bookmarkStart w:id="23" w:name="_Toc7291"/>
      <w:bookmarkStart w:id="24" w:name="_Toc15870"/>
      <w:bookmarkStart w:id="25" w:name="_Toc1994"/>
      <w:bookmarkStart w:id="26" w:name="_Toc26267"/>
      <w:bookmarkStart w:id="27" w:name="_Toc40776111"/>
      <w:bookmarkStart w:id="28" w:name="_Toc3471"/>
      <w:bookmarkStart w:id="29" w:name="_Toc6547"/>
      <w:bookmarkStart w:id="30" w:name="_Toc40346375"/>
      <w:bookmarkStart w:id="31" w:name="_Toc28703"/>
      <w:bookmarkStart w:id="32" w:name="_Toc12520"/>
      <w:bookmarkStart w:id="33" w:name="_Toc11305"/>
      <w:bookmarkStart w:id="34" w:name="_Toc21249"/>
      <w:bookmarkStart w:id="35" w:name="_Toc8364"/>
      <w:bookmarkStart w:id="36" w:name="_Toc29113"/>
      <w:bookmarkStart w:id="37" w:name="_Toc11075"/>
    </w:p>
    <w:p w14:paraId="5681ED76">
      <w:pPr>
        <w:pStyle w:val="2"/>
        <w:rPr>
          <w:rFonts w:hint="eastAsia"/>
        </w:rPr>
      </w:pPr>
      <w:bookmarkStart w:id="134" w:name="_GoBack"/>
      <w:bookmarkEnd w:id="134"/>
    </w:p>
    <w:p w14:paraId="3CF36EA8">
      <w:pPr>
        <w:widowControl/>
        <w:spacing w:line="360" w:lineRule="auto"/>
        <w:jc w:val="center"/>
        <w:outlineLvl w:val="0"/>
        <w:rPr>
          <w:rFonts w:hint="eastAsia" w:ascii="仿宋" w:hAnsi="仿宋" w:eastAsia="仿宋" w:cs="仿宋"/>
          <w:kern w:val="0"/>
          <w:sz w:val="72"/>
          <w:szCs w:val="72"/>
        </w:rPr>
      </w:pPr>
      <w:r>
        <w:rPr>
          <w:rFonts w:hint="eastAsia" w:ascii="仿宋" w:hAnsi="仿宋" w:eastAsia="仿宋" w:cs="仿宋"/>
          <w:b/>
          <w:bCs/>
          <w:sz w:val="72"/>
          <w:szCs w:val="72"/>
        </w:rPr>
        <w:t>报名资料</w:t>
      </w:r>
    </w:p>
    <w:p w14:paraId="05B3D905">
      <w:pPr>
        <w:widowControl/>
        <w:spacing w:line="360" w:lineRule="auto"/>
        <w:ind w:firstLine="600"/>
        <w:outlineLvl w:val="0"/>
        <w:rPr>
          <w:rFonts w:hint="eastAsia" w:ascii="仿宋" w:hAnsi="仿宋" w:eastAsia="仿宋" w:cs="仿宋"/>
          <w:kern w:val="0"/>
          <w:sz w:val="30"/>
          <w:szCs w:val="30"/>
        </w:rPr>
      </w:pPr>
    </w:p>
    <w:p w14:paraId="2E033A7E">
      <w:pPr>
        <w:widowControl/>
        <w:spacing w:line="360" w:lineRule="auto"/>
        <w:ind w:firstLine="600"/>
        <w:outlineLvl w:val="0"/>
        <w:rPr>
          <w:rFonts w:hint="eastAsia" w:ascii="仿宋" w:hAnsi="仿宋" w:eastAsia="仿宋" w:cs="仿宋"/>
          <w:kern w:val="0"/>
          <w:sz w:val="30"/>
          <w:szCs w:val="30"/>
        </w:rPr>
      </w:pPr>
    </w:p>
    <w:p w14:paraId="5FBB9A3A">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7997"/>
      <w:bookmarkStart w:id="39" w:name="_Toc40346217"/>
      <w:bookmarkStart w:id="40" w:name="_Toc17709"/>
      <w:bookmarkStart w:id="41" w:name="_Toc40776112"/>
      <w:bookmarkStart w:id="42" w:name="_Toc2916"/>
      <w:bookmarkStart w:id="43" w:name="_Toc20884"/>
      <w:bookmarkStart w:id="44" w:name="_Toc1743"/>
      <w:bookmarkStart w:id="45" w:name="_Toc40346376"/>
    </w:p>
    <w:p w14:paraId="4F9DAA28">
      <w:pPr>
        <w:widowControl/>
        <w:spacing w:line="360" w:lineRule="auto"/>
        <w:ind w:firstLine="600"/>
        <w:outlineLvl w:val="0"/>
        <w:rPr>
          <w:rFonts w:hint="eastAsia" w:ascii="仿宋" w:hAnsi="仿宋" w:eastAsia="仿宋" w:cs="仿宋"/>
          <w:kern w:val="0"/>
          <w:sz w:val="30"/>
          <w:szCs w:val="30"/>
        </w:rPr>
      </w:pPr>
      <w:bookmarkStart w:id="46" w:name="_Toc30979"/>
      <w:bookmarkStart w:id="47" w:name="_Toc2012"/>
      <w:bookmarkStart w:id="48" w:name="_Toc31538"/>
      <w:bookmarkStart w:id="49" w:name="_Toc11485"/>
      <w:bookmarkStart w:id="50" w:name="_Toc19699"/>
      <w:bookmarkStart w:id="51" w:name="_Toc23097"/>
      <w:bookmarkStart w:id="52" w:name="_Toc5238"/>
      <w:bookmarkStart w:id="53" w:name="_Toc29102"/>
      <w:bookmarkStart w:id="54" w:name="_Toc202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042D233">
      <w:pPr>
        <w:widowControl/>
        <w:spacing w:line="360" w:lineRule="auto"/>
        <w:ind w:firstLine="600"/>
        <w:outlineLvl w:val="0"/>
        <w:rPr>
          <w:rFonts w:hint="eastAsia" w:ascii="仿宋" w:hAnsi="仿宋" w:eastAsia="仿宋" w:cs="仿宋"/>
          <w:kern w:val="0"/>
          <w:sz w:val="30"/>
          <w:szCs w:val="30"/>
        </w:rPr>
      </w:pPr>
      <w:bookmarkStart w:id="55" w:name="_Toc7052"/>
      <w:bookmarkStart w:id="56" w:name="_Toc40346377"/>
      <w:bookmarkStart w:id="57" w:name="_Toc24763"/>
      <w:bookmarkStart w:id="58" w:name="_Toc29767"/>
      <w:bookmarkStart w:id="59" w:name="_Toc28064"/>
      <w:bookmarkStart w:id="60" w:name="_Toc31993"/>
      <w:bookmarkStart w:id="61" w:name="_Toc11141"/>
      <w:bookmarkStart w:id="62" w:name="_Toc4013"/>
      <w:bookmarkStart w:id="63" w:name="_Toc17930"/>
      <w:bookmarkStart w:id="64" w:name="_Toc21483"/>
      <w:bookmarkStart w:id="65" w:name="_Toc14824"/>
      <w:bookmarkStart w:id="66" w:name="_Toc16794"/>
      <w:bookmarkStart w:id="67" w:name="_Toc40346218"/>
      <w:bookmarkStart w:id="68" w:name="_Toc40776113"/>
      <w:bookmarkStart w:id="69" w:name="_Toc27867"/>
      <w:bookmarkStart w:id="70" w:name="_Toc12645"/>
      <w:bookmarkStart w:id="71" w:name="_Toc11558"/>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002642B">
      <w:pPr>
        <w:widowControl/>
        <w:spacing w:line="360" w:lineRule="auto"/>
        <w:ind w:firstLine="600"/>
        <w:outlineLvl w:val="0"/>
        <w:rPr>
          <w:rFonts w:hint="eastAsia" w:ascii="仿宋" w:hAnsi="仿宋" w:eastAsia="仿宋" w:cs="仿宋"/>
          <w:kern w:val="0"/>
          <w:sz w:val="30"/>
          <w:szCs w:val="30"/>
        </w:rPr>
      </w:pPr>
      <w:bookmarkStart w:id="72" w:name="_Toc40346219"/>
      <w:bookmarkStart w:id="73" w:name="_Toc26029"/>
      <w:bookmarkStart w:id="74" w:name="_Toc14287"/>
      <w:bookmarkStart w:id="75" w:name="_Toc6438"/>
      <w:bookmarkStart w:id="76" w:name="_Toc16813"/>
      <w:bookmarkStart w:id="77" w:name="_Toc19831"/>
      <w:bookmarkStart w:id="78" w:name="_Toc11334"/>
      <w:bookmarkStart w:id="79" w:name="_Toc1324"/>
      <w:bookmarkStart w:id="80" w:name="_Toc9883"/>
      <w:bookmarkStart w:id="81" w:name="_Toc31197"/>
      <w:bookmarkStart w:id="82" w:name="_Toc17537"/>
      <w:bookmarkStart w:id="83" w:name="_Toc4563"/>
      <w:bookmarkStart w:id="84" w:name="_Toc40346378"/>
      <w:bookmarkStart w:id="85" w:name="_Toc27771"/>
      <w:bookmarkStart w:id="86" w:name="_Toc24651"/>
      <w:bookmarkStart w:id="87" w:name="_Toc32709"/>
      <w:bookmarkStart w:id="88" w:name="_Toc4077611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3D7814A">
      <w:pPr>
        <w:widowControl/>
        <w:spacing w:line="360" w:lineRule="auto"/>
        <w:ind w:firstLine="600"/>
        <w:outlineLvl w:val="0"/>
        <w:rPr>
          <w:rFonts w:hint="eastAsia" w:ascii="仿宋" w:hAnsi="仿宋" w:eastAsia="仿宋" w:cs="仿宋"/>
          <w:kern w:val="0"/>
          <w:sz w:val="30"/>
          <w:szCs w:val="30"/>
        </w:rPr>
      </w:pPr>
      <w:bookmarkStart w:id="89" w:name="_Toc14586"/>
      <w:bookmarkStart w:id="90" w:name="_Toc40346220"/>
      <w:bookmarkStart w:id="91" w:name="_Toc21940"/>
      <w:bookmarkStart w:id="92" w:name="_Toc30336"/>
      <w:bookmarkStart w:id="93" w:name="_Toc17483"/>
      <w:bookmarkStart w:id="94" w:name="_Toc18353"/>
      <w:bookmarkStart w:id="95" w:name="_Toc12650"/>
      <w:bookmarkStart w:id="96" w:name="_Toc13222"/>
      <w:bookmarkStart w:id="97" w:name="_Toc5634"/>
      <w:bookmarkStart w:id="98" w:name="_Toc27206"/>
      <w:bookmarkStart w:id="99" w:name="_Toc21686"/>
      <w:bookmarkStart w:id="100" w:name="_Toc20994"/>
      <w:bookmarkStart w:id="101" w:name="_Toc3895"/>
      <w:bookmarkStart w:id="102" w:name="_Toc27868"/>
      <w:bookmarkStart w:id="103" w:name="_Toc40346379"/>
      <w:bookmarkStart w:id="104" w:name="_Toc5189"/>
      <w:bookmarkStart w:id="105" w:name="_Toc40776115"/>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0246AFC">
      <w:pPr>
        <w:widowControl/>
        <w:spacing w:line="360" w:lineRule="auto"/>
        <w:ind w:firstLine="600"/>
        <w:outlineLvl w:val="0"/>
        <w:rPr>
          <w:rFonts w:hint="eastAsia" w:ascii="仿宋" w:hAnsi="仿宋" w:eastAsia="仿宋" w:cs="仿宋"/>
          <w:kern w:val="0"/>
          <w:sz w:val="30"/>
          <w:szCs w:val="30"/>
        </w:rPr>
      </w:pPr>
      <w:bookmarkStart w:id="106" w:name="_Toc9282"/>
      <w:bookmarkStart w:id="107" w:name="_Toc40346380"/>
      <w:bookmarkStart w:id="108" w:name="_Toc3498"/>
      <w:bookmarkStart w:id="109" w:name="_Toc5220"/>
      <w:bookmarkStart w:id="110" w:name="_Toc14462"/>
      <w:bookmarkStart w:id="111" w:name="_Toc30856"/>
      <w:bookmarkStart w:id="112" w:name="_Toc40776116"/>
      <w:bookmarkStart w:id="113" w:name="_Toc11547"/>
      <w:bookmarkStart w:id="114" w:name="_Toc21449"/>
      <w:bookmarkStart w:id="115" w:name="_Toc27646"/>
      <w:bookmarkStart w:id="116" w:name="_Toc40346221"/>
      <w:bookmarkStart w:id="117" w:name="_Toc8526"/>
      <w:bookmarkStart w:id="118" w:name="_Toc10454"/>
      <w:bookmarkStart w:id="119" w:name="_Toc30904"/>
      <w:bookmarkStart w:id="120" w:name="_Toc32371"/>
      <w:bookmarkStart w:id="121" w:name="_Toc27009"/>
      <w:bookmarkStart w:id="122" w:name="_Toc12127"/>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63BA71C">
      <w:pPr>
        <w:pStyle w:val="20"/>
      </w:pPr>
    </w:p>
    <w:p w14:paraId="00B03B32">
      <w:pPr>
        <w:pStyle w:val="20"/>
      </w:pPr>
    </w:p>
    <w:p w14:paraId="507CBC26">
      <w:pPr>
        <w:pStyle w:val="26"/>
        <w:spacing w:line="360" w:lineRule="auto"/>
        <w:ind w:firstLine="0" w:firstLineChars="0"/>
        <w:rPr>
          <w:rFonts w:ascii="宋体" w:hAnsi="宋体"/>
          <w:bCs/>
          <w:color w:val="FF0000"/>
          <w:sz w:val="24"/>
          <w:szCs w:val="24"/>
        </w:rPr>
      </w:pPr>
      <w:bookmarkStart w:id="123" w:name="_Toc9697"/>
      <w:bookmarkStart w:id="124" w:name="_Toc10399"/>
      <w:bookmarkStart w:id="125" w:name="_Toc28747"/>
      <w:bookmarkStart w:id="126" w:name="_Toc31077"/>
      <w:bookmarkStart w:id="127" w:name="_Toc16608"/>
      <w:bookmarkStart w:id="128" w:name="_Toc6691"/>
      <w:bookmarkStart w:id="129" w:name="_Toc16728"/>
      <w:bookmarkStart w:id="130" w:name="_Toc13184"/>
      <w:bookmarkStart w:id="131" w:name="_Toc21213"/>
      <w:bookmarkStart w:id="132" w:name="_Toc8637"/>
      <w:bookmarkStart w:id="133" w:name="_Toc15539"/>
    </w:p>
    <w:p w14:paraId="4164B799">
      <w:pPr>
        <w:pStyle w:val="26"/>
        <w:spacing w:line="360" w:lineRule="auto"/>
        <w:ind w:firstLine="0" w:firstLineChars="0"/>
        <w:rPr>
          <w:rFonts w:ascii="宋体" w:hAnsi="宋体"/>
          <w:bCs/>
          <w:color w:val="FF0000"/>
          <w:sz w:val="24"/>
          <w:szCs w:val="24"/>
        </w:rPr>
      </w:pPr>
    </w:p>
    <w:p w14:paraId="22A31C4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4454923">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7629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3E09A608">
      <w:pPr>
        <w:adjustRightInd w:val="0"/>
        <w:snapToGrid w:val="0"/>
        <w:spacing w:line="360" w:lineRule="auto"/>
        <w:ind w:firstLine="480" w:firstLineChars="200"/>
        <w:rPr>
          <w:rFonts w:hint="eastAsia" w:ascii="仿宋" w:hAnsi="仿宋" w:eastAsia="仿宋" w:cs="仿宋"/>
          <w:b/>
          <w:sz w:val="24"/>
        </w:rPr>
      </w:pPr>
      <w:r>
        <w:rPr>
          <w:rFonts w:hint="eastAsia" w:ascii="仿宋" w:hAnsi="仿宋" w:eastAsia="仿宋" w:cs="仿宋"/>
          <w:sz w:val="24"/>
        </w:rPr>
        <w:t>致：中山大学孙逸仙纪念医院、中山大学附属仁济医院</w:t>
      </w:r>
    </w:p>
    <w:p w14:paraId="7C09F881">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中山大学附属仁济医院</w:t>
      </w:r>
      <w:r>
        <w:rPr>
          <w:rFonts w:hint="eastAsia" w:ascii="仿宋" w:hAnsi="仿宋" w:eastAsia="仿宋" w:cs="仿宋"/>
          <w:sz w:val="24"/>
          <w:u w:val="single"/>
          <w:lang w:eastAsia="zh-CN"/>
        </w:rPr>
        <w:t>固定电话运营服务竞争性采购</w:t>
      </w:r>
      <w:r>
        <w:rPr>
          <w:rFonts w:hint="eastAsia" w:ascii="仿宋" w:hAnsi="仿宋" w:eastAsia="仿宋" w:cs="仿宋"/>
          <w:sz w:val="24"/>
          <w:u w:val="single"/>
        </w:rPr>
        <w:t xml:space="preserve"> </w:t>
      </w:r>
      <w:r>
        <w:rPr>
          <w:rFonts w:hint="eastAsia" w:ascii="仿宋" w:hAnsi="仿宋" w:eastAsia="仿宋" w:cs="仿宋"/>
          <w:sz w:val="24"/>
        </w:rPr>
        <w:t>项目的比选邀请，本单位（企业）自愿参加报名响应，现声明如下：</w:t>
      </w:r>
    </w:p>
    <w:p w14:paraId="732675BD">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(1)本单位（企业）已完全清楚本项目</w:t>
      </w:r>
      <w:r>
        <w:rPr>
          <w:rFonts w:hint="eastAsia" w:ascii="仿宋" w:hAnsi="仿宋" w:eastAsia="仿宋" w:cs="仿宋"/>
          <w:sz w:val="24"/>
          <w:lang w:eastAsia="zh-CN"/>
        </w:rPr>
        <w:t>竞争性谈判文件</w:t>
      </w:r>
      <w:r>
        <w:rPr>
          <w:rFonts w:hint="eastAsia" w:ascii="仿宋" w:hAnsi="仿宋" w:eastAsia="仿宋" w:cs="仿宋"/>
          <w:sz w:val="24"/>
        </w:rPr>
        <w:t>的内容和要求。</w:t>
      </w:r>
    </w:p>
    <w:p w14:paraId="54E52D0A">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(2)本单位（企业）具有履行合同所必需的设备和专业技术能力，且参加本次采购活动前</w:t>
      </w:r>
      <w:r>
        <w:rPr>
          <w:rFonts w:hint="eastAsia" w:ascii="仿宋" w:hAnsi="仿宋" w:eastAsia="仿宋" w:cs="仿宋"/>
          <w:sz w:val="24"/>
          <w:u w:val="single"/>
        </w:rPr>
        <w:t>三</w:t>
      </w:r>
      <w:r>
        <w:rPr>
          <w:rFonts w:hint="eastAsia" w:ascii="仿宋" w:hAnsi="仿宋" w:eastAsia="仿宋" w:cs="仿宋"/>
          <w:sz w:val="24"/>
        </w:rPr>
        <w:t>年内在经营活动中没有重大违法记录。否则，由此所造成的损失、不良后果及法律责任，一律由我单位承担。</w:t>
      </w:r>
    </w:p>
    <w:p w14:paraId="09BAF0AA">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(3)本公司（企业）具有良好的商业信誉和健全的财务会计制度、具有依法缴纳税收和社会保障资金的良好记录。</w:t>
      </w:r>
    </w:p>
    <w:p w14:paraId="11686FEB">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(4)本公司（企业）承诺绝不存在“法定代表人或单位负责人为同一人或者存在直接控股、管理关系的不同响应单位，参加同一合同项下的采购活动”的情况。</w:t>
      </w:r>
    </w:p>
    <w:p w14:paraId="4C71FB64">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(5)本公司（企业）参加本次采购活动，具备独立实施能力，属于非联合体响应。</w:t>
      </w:r>
    </w:p>
    <w:p w14:paraId="5B566CD7">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(6)本公司（企业）承诺绝不存在“为本采购项目提供过整体设计、规范编制或者项目管理、监理、检测等服务”的情况。</w:t>
      </w:r>
    </w:p>
    <w:p w14:paraId="2967BEDA">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(7)本公司（企业）承诺如若成交，绝不以任何方式转包或分包本项目。</w:t>
      </w:r>
    </w:p>
    <w:p w14:paraId="37C7D8CC">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15ED2D90">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 xml:space="preserve">(9)本次采购活动中，如有违法、违规、弄虚作假行为，所造成的损失、不良后果及法律责任，一律由我单位承担。 </w:t>
      </w:r>
    </w:p>
    <w:p w14:paraId="76FFA783">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14:paraId="6A22DE9A">
      <w:pPr>
        <w:adjustRightInd w:val="0"/>
        <w:snapToGrid w:val="0"/>
        <w:spacing w:line="360" w:lineRule="auto"/>
        <w:ind w:firstLine="480" w:firstLineChars="200"/>
        <w:rPr>
          <w:rFonts w:hint="eastAsia" w:ascii="仿宋" w:hAnsi="仿宋" w:eastAsia="仿宋" w:cs="仿宋"/>
        </w:rPr>
      </w:pPr>
      <w:r>
        <w:rPr>
          <w:rFonts w:hint="eastAsia" w:ascii="仿宋" w:hAnsi="仿宋" w:eastAsia="仿宋" w:cs="仿宋"/>
          <w:b/>
          <w:sz w:val="24"/>
        </w:rPr>
        <w:t>（注：本资格声明函内容不得擅自删改）</w:t>
      </w:r>
    </w:p>
    <w:p w14:paraId="253AB94F">
      <w:pPr>
        <w:spacing w:line="360" w:lineRule="auto"/>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74AF6554">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80D4029">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1509288">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9A7726D">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bookmarkEnd w:id="123"/>
    <w:bookmarkEnd w:id="124"/>
    <w:bookmarkEnd w:id="125"/>
    <w:bookmarkEnd w:id="126"/>
    <w:bookmarkEnd w:id="127"/>
    <w:bookmarkEnd w:id="128"/>
    <w:bookmarkEnd w:id="129"/>
    <w:bookmarkEnd w:id="130"/>
    <w:bookmarkEnd w:id="131"/>
    <w:bookmarkEnd w:id="132"/>
    <w:bookmarkEnd w:id="133"/>
    <w:p w14:paraId="5CD426A4">
      <w:pPr>
        <w:pStyle w:val="27"/>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p w14:paraId="2EC55005">
      <w:pPr>
        <w:rPr>
          <w:rFonts w:hint="eastAsia" w:ascii="仿宋" w:hAnsi="仿宋" w:eastAsia="仿宋" w:cs="仿宋"/>
          <w:bCs/>
          <w:color w:val="0070C0"/>
          <w:sz w:val="24"/>
          <w:szCs w:val="24"/>
        </w:rPr>
      </w:pPr>
      <w:r>
        <w:rPr>
          <w:rFonts w:hint="eastAsia" w:ascii="仿宋" w:hAnsi="仿宋" w:eastAsia="仿宋" w:cs="仿宋"/>
          <w:bCs/>
          <w:color w:val="0070C0"/>
          <w:sz w:val="24"/>
          <w:szCs w:val="24"/>
        </w:rPr>
        <w:br w:type="page"/>
      </w:r>
    </w:p>
    <w:p w14:paraId="543A4F4C">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三、《中华人民共和国基础电信业务经营许可证》复印件</w:t>
      </w:r>
    </w:p>
    <w:p w14:paraId="64414E96">
      <w:pP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br w:type="page"/>
      </w:r>
    </w:p>
    <w:p w14:paraId="74F87CB2">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四、供应商廉洁守约承诺书</w:t>
      </w:r>
    </w:p>
    <w:p w14:paraId="6C7904E9">
      <w:pPr>
        <w:snapToGrid w:val="0"/>
        <w:spacing w:before="156"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中山大学附属仁济医院</w:t>
      </w:r>
    </w:p>
    <w:p w14:paraId="4E4DF402">
      <w:pPr>
        <w:adjustRightInd w:val="0"/>
        <w:snapToGrid w:val="0"/>
        <w:spacing w:before="156" w:beforeLines="50"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廉洁守约承诺书</w:t>
      </w:r>
    </w:p>
    <w:p w14:paraId="58E280DA">
      <w:pPr>
        <w:adjustRightInd w:val="0"/>
        <w:snapToGrid w:val="0"/>
        <w:spacing w:line="360" w:lineRule="auto"/>
        <w:rPr>
          <w:rFonts w:hint="eastAsia" w:ascii="仿宋" w:hAnsi="仿宋" w:eastAsia="仿宋" w:cs="仿宋"/>
          <w:sz w:val="24"/>
          <w:lang w:eastAsia="zh-CN"/>
        </w:rPr>
      </w:pPr>
      <w:r>
        <w:rPr>
          <w:rFonts w:hint="eastAsia" w:ascii="仿宋" w:hAnsi="仿宋" w:eastAsia="仿宋" w:cs="仿宋"/>
          <w:sz w:val="24"/>
        </w:rPr>
        <w:t>项目名称：</w:t>
      </w:r>
      <w:r>
        <w:rPr>
          <w:rFonts w:hint="eastAsia" w:ascii="仿宋" w:hAnsi="仿宋" w:eastAsia="仿宋" w:cs="仿宋"/>
          <w:sz w:val="24"/>
          <w:lang w:eastAsia="zh-CN"/>
        </w:rPr>
        <w:t>中山大学附属仁济医院固定电话运营服务采购项目</w:t>
      </w:r>
    </w:p>
    <w:p w14:paraId="64AD962E">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附属仁济医院（下称医院）的规章制度，我公司特作出以下廉洁守约承诺：</w:t>
      </w:r>
    </w:p>
    <w:p w14:paraId="66E987B9">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100E7457">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前款所称“特殊关系人”，是指医院工作人员的近亲属、特殊利害关系人等 。</w:t>
      </w:r>
    </w:p>
    <w:p w14:paraId="3D45785A">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56536177">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三、我司承诺需要在医院进行货物宣传、推广工作时，一定向医院相关职能部门提出书面申请。经审批后，由医院有组织、有计划地予以安排。</w:t>
      </w:r>
    </w:p>
    <w:p w14:paraId="5734D27A">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四、我司承诺遵守国家有关招标采购法律法规规章，在参加医院招标采购活动时，保证诚信投标、不串标、不陪标，严格按照有关规定及合同执行。</w:t>
      </w:r>
    </w:p>
    <w:p w14:paraId="621A9DD4">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五、我司承诺</w:t>
      </w:r>
    </w:p>
    <w:p w14:paraId="788566A1">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不销售、不使用假冒伪劣以及无生产批准文号或无相关经营许可证、经营注册证的药品、试剂、医疗设备、医疗器械、医用耗材及其它货物。（药品、医疗设备、医用耗材及其他货物的生产和经营企业勾选此项）</w:t>
      </w:r>
    </w:p>
    <w:p w14:paraId="5500D0DD">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4CEADBBC">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六、我司承诺遵守《中华人民共和国政府采购法》第四十六条、《中华人民共和国招标投标法》第四十六条及医院招标采购相关规章制度的规定，在医院中标、成交通知书发出之日起三十日内，按照招标</w:t>
      </w:r>
      <w:r>
        <w:rPr>
          <w:rFonts w:hint="eastAsia" w:ascii="仿宋" w:hAnsi="仿宋" w:eastAsia="仿宋" w:cs="仿宋"/>
          <w:sz w:val="24"/>
          <w:lang w:eastAsia="zh-CN"/>
        </w:rPr>
        <w:t>竞争性谈判文件</w:t>
      </w:r>
      <w:r>
        <w:rPr>
          <w:rFonts w:hint="eastAsia" w:ascii="仿宋" w:hAnsi="仿宋" w:eastAsia="仿宋" w:cs="仿宋"/>
          <w:sz w:val="24"/>
        </w:rPr>
        <w:t>和成交供应商的响应文件或其他响应文件签订书面合同。</w:t>
      </w:r>
    </w:p>
    <w:p w14:paraId="1DA3E070">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若违反上述承诺，我司自愿接受中山大学附属仁济医院以下处理：医院将我司违规行为予以曝光；医院取消我司中标成交资格并不予退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34F5B368">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双方订立买卖合同、技术服务合同、建筑工程施工合同等合同以后，本承诺书同时作为双方合同的构成部分。</w:t>
      </w:r>
    </w:p>
    <w:p w14:paraId="05F4B4B5">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本承诺书一式两份，一份由医院相关职能部门保存，一份由经营单位保存。</w:t>
      </w:r>
    </w:p>
    <w:p w14:paraId="6FB5902C">
      <w:pPr>
        <w:adjustRightInd w:val="0"/>
        <w:snapToGrid w:val="0"/>
        <w:spacing w:line="336" w:lineRule="auto"/>
        <w:rPr>
          <w:rFonts w:hint="eastAsia" w:ascii="仿宋" w:hAnsi="仿宋" w:eastAsia="仿宋" w:cs="仿宋"/>
          <w:sz w:val="24"/>
        </w:rPr>
      </w:pPr>
      <w:r>
        <w:rPr>
          <w:rFonts w:hint="eastAsia" w:ascii="仿宋" w:hAnsi="仿宋" w:eastAsia="仿宋" w:cs="仿宋"/>
          <w:sz w:val="24"/>
        </w:rPr>
        <w:t xml:space="preserve">                        </w:t>
      </w:r>
    </w:p>
    <w:p w14:paraId="0FFC4681">
      <w:pPr>
        <w:adjustRightInd w:val="0"/>
        <w:snapToGrid w:val="0"/>
        <w:spacing w:line="336" w:lineRule="auto"/>
        <w:rPr>
          <w:rFonts w:hint="eastAsia" w:ascii="仿宋" w:hAnsi="仿宋" w:eastAsia="仿宋" w:cs="仿宋"/>
          <w:sz w:val="24"/>
        </w:rPr>
      </w:pPr>
      <w:r>
        <w:rPr>
          <w:rFonts w:hint="eastAsia" w:ascii="仿宋" w:hAnsi="仿宋" w:eastAsia="仿宋" w:cs="仿宋"/>
          <w:sz w:val="24"/>
        </w:rPr>
        <w:t xml:space="preserve">                         供货商名称：</w:t>
      </w:r>
    </w:p>
    <w:p w14:paraId="10C382AC">
      <w:pPr>
        <w:adjustRightInd w:val="0"/>
        <w:snapToGrid w:val="0"/>
        <w:spacing w:line="336" w:lineRule="auto"/>
        <w:ind w:firstLine="435"/>
        <w:rPr>
          <w:rFonts w:hint="eastAsia" w:ascii="仿宋" w:hAnsi="仿宋" w:eastAsia="仿宋" w:cs="仿宋"/>
          <w:sz w:val="24"/>
        </w:rPr>
      </w:pPr>
      <w:r>
        <w:rPr>
          <w:rFonts w:hint="eastAsia" w:ascii="仿宋" w:hAnsi="仿宋" w:eastAsia="仿宋" w:cs="仿宋"/>
          <w:sz w:val="24"/>
        </w:rPr>
        <w:t xml:space="preserve">                                      （盖章）</w:t>
      </w:r>
    </w:p>
    <w:p w14:paraId="1873D5F0">
      <w:pPr>
        <w:adjustRightInd w:val="0"/>
        <w:snapToGrid w:val="0"/>
        <w:spacing w:line="336" w:lineRule="auto"/>
        <w:rPr>
          <w:rFonts w:hint="eastAsia" w:ascii="仿宋" w:hAnsi="仿宋" w:eastAsia="仿宋" w:cs="仿宋"/>
          <w:sz w:val="24"/>
        </w:rPr>
      </w:pPr>
      <w:r>
        <w:rPr>
          <w:rFonts w:hint="eastAsia" w:ascii="仿宋" w:hAnsi="仿宋" w:eastAsia="仿宋" w:cs="仿宋"/>
          <w:sz w:val="24"/>
        </w:rPr>
        <w:t xml:space="preserve">                         单位负责人（法定代表人）：</w:t>
      </w:r>
    </w:p>
    <w:p w14:paraId="43A82550">
      <w:pPr>
        <w:adjustRightInd w:val="0"/>
        <w:snapToGrid w:val="0"/>
        <w:spacing w:line="336" w:lineRule="auto"/>
        <w:ind w:firstLine="1560" w:firstLineChars="650"/>
        <w:rPr>
          <w:rFonts w:hint="eastAsia" w:ascii="仿宋" w:hAnsi="仿宋" w:eastAsia="仿宋" w:cs="仿宋"/>
          <w:sz w:val="24"/>
        </w:rPr>
      </w:pPr>
      <w:r>
        <w:rPr>
          <w:rFonts w:hint="eastAsia" w:ascii="仿宋" w:hAnsi="仿宋" w:eastAsia="仿宋" w:cs="仿宋"/>
          <w:sz w:val="24"/>
        </w:rPr>
        <w:t xml:space="preserve">                            （签名）</w:t>
      </w:r>
    </w:p>
    <w:p w14:paraId="6A3490D8">
      <w:pPr>
        <w:adjustRightInd w:val="0"/>
        <w:snapToGrid w:val="0"/>
        <w:spacing w:line="336" w:lineRule="auto"/>
        <w:ind w:firstLine="1320" w:firstLineChars="550"/>
        <w:rPr>
          <w:rFonts w:hint="eastAsia" w:ascii="仿宋" w:hAnsi="仿宋" w:eastAsia="仿宋" w:cs="仿宋"/>
          <w:sz w:val="20"/>
          <w:szCs w:val="22"/>
        </w:rPr>
      </w:pPr>
      <w:r>
        <w:rPr>
          <w:rFonts w:hint="eastAsia" w:ascii="仿宋" w:hAnsi="仿宋" w:eastAsia="仿宋" w:cs="仿宋"/>
          <w:sz w:val="24"/>
        </w:rPr>
        <w:t xml:space="preserve">              日期：           年    月    日</w:t>
      </w:r>
    </w:p>
    <w:p w14:paraId="3AF9EFDA">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5719C1D4">
      <w:pPr>
        <w:widowControl/>
        <w:spacing w:line="360" w:lineRule="auto"/>
        <w:jc w:val="left"/>
        <w:outlineLvl w:val="0"/>
        <w:rPr>
          <w:rFonts w:ascii="宋体" w:hAnsi="宋体"/>
          <w:sz w:val="24"/>
        </w:rPr>
      </w:pPr>
    </w:p>
    <w:p w14:paraId="287BBAE9">
      <w:pPr>
        <w:pStyle w:val="2"/>
        <w:rPr>
          <w:rFonts w:ascii="宋体" w:hAnsi="宋体"/>
          <w:sz w:val="24"/>
        </w:rPr>
      </w:pPr>
    </w:p>
    <w:p w14:paraId="59B444FE">
      <w:pPr>
        <w:pStyle w:val="18"/>
        <w:rPr>
          <w:rFonts w:ascii="宋体" w:hAnsi="宋体"/>
          <w:sz w:val="24"/>
        </w:rPr>
      </w:pPr>
    </w:p>
    <w:p w14:paraId="09B31CF0">
      <w:pPr>
        <w:pStyle w:val="18"/>
        <w:rPr>
          <w:rFonts w:ascii="宋体" w:hAnsi="宋体"/>
          <w:sz w:val="24"/>
        </w:rPr>
      </w:pPr>
    </w:p>
    <w:p w14:paraId="769BE566">
      <w:pPr>
        <w:pStyle w:val="18"/>
        <w:rPr>
          <w:rFonts w:ascii="宋体" w:hAnsi="宋体"/>
          <w:sz w:val="24"/>
        </w:rPr>
      </w:pPr>
    </w:p>
    <w:p w14:paraId="38E81AD5">
      <w:pPr>
        <w:pStyle w:val="18"/>
        <w:rPr>
          <w:rFonts w:ascii="宋体" w:hAnsi="宋体"/>
          <w:sz w:val="24"/>
        </w:rPr>
      </w:pPr>
    </w:p>
    <w:p w14:paraId="2B4FC04B">
      <w:pPr>
        <w:pStyle w:val="18"/>
        <w:rPr>
          <w:rFonts w:hint="eastAsia" w:ascii="宋体" w:hAnsi="宋体"/>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8A1BB3-4528-40F8-9BC3-83A5429663A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895D22D-5E76-43C5-8324-5914F10BDD2B}"/>
  </w:font>
  <w:font w:name="微软雅黑">
    <w:panose1 w:val="020B0503020204020204"/>
    <w:charset w:val="86"/>
    <w:family w:val="auto"/>
    <w:pitch w:val="default"/>
    <w:sig w:usb0="80000287" w:usb1="280F3C52" w:usb2="00000016" w:usb3="00000000" w:csb0="0004001F" w:csb1="00000000"/>
    <w:embedRegular r:id="rId3" w:fontKey="{070DC624-EBDB-4186-B309-045609A9CA27}"/>
  </w:font>
  <w:font w:name="方正小标宋简体">
    <w:panose1 w:val="02000000000000000000"/>
    <w:charset w:val="86"/>
    <w:family w:val="script"/>
    <w:pitch w:val="default"/>
    <w:sig w:usb0="00000001" w:usb1="08000000" w:usb2="00000000" w:usb3="00000000" w:csb0="00040000" w:csb1="00000000"/>
    <w:embedRegular r:id="rId4" w:fontKey="{60F7FBC4-E5A8-4991-BB31-571EED78821A}"/>
  </w:font>
  <w:font w:name="仿宋">
    <w:panose1 w:val="02010609060101010101"/>
    <w:charset w:val="86"/>
    <w:family w:val="auto"/>
    <w:pitch w:val="default"/>
    <w:sig w:usb0="800002BF" w:usb1="38CF7CFA" w:usb2="00000016" w:usb3="00000000" w:csb0="00040001" w:csb1="00000000"/>
    <w:embedRegular r:id="rId5" w:fontKey="{E9365A82-1465-4B03-9742-F0A50F2B3CAE}"/>
  </w:font>
  <w:font w:name="仿宋_GB2312">
    <w:panose1 w:val="02010609030101010101"/>
    <w:charset w:val="86"/>
    <w:family w:val="modern"/>
    <w:pitch w:val="default"/>
    <w:sig w:usb0="00000001" w:usb1="080E0000" w:usb2="00000000" w:usb3="00000000" w:csb0="00040000" w:csb1="00000000"/>
    <w:embedRegular r:id="rId6" w:fontKey="{C1872B96-122A-43A3-B467-8DD8AB694BC0}"/>
  </w:font>
  <w:font w:name="Calibri Light">
    <w:panose1 w:val="020F0302020204030204"/>
    <w:charset w:val="00"/>
    <w:family w:val="swiss"/>
    <w:pitch w:val="default"/>
    <w:sig w:usb0="A00002EF" w:usb1="4000207B" w:usb2="00000000" w:usb3="00000000" w:csb0="2000019F" w:csb1="00000000"/>
    <w:embedRegular r:id="rId7" w:fontKey="{CD9FE801-851D-4C39-9277-950642E6AD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049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AD395">
    <w:pPr>
      <w:pStyle w:val="9"/>
      <w:framePr w:wrap="around" w:vAnchor="text" w:hAnchor="margin" w:xAlign="center" w:y="1"/>
      <w:rPr>
        <w:rStyle w:val="14"/>
      </w:rPr>
    </w:pPr>
    <w:r>
      <w:fldChar w:fldCharType="begin"/>
    </w:r>
    <w:r>
      <w:rPr>
        <w:rStyle w:val="14"/>
      </w:rPr>
      <w:instrText xml:space="preserve">PAGE  </w:instrText>
    </w:r>
    <w:r>
      <w:fldChar w:fldCharType="end"/>
    </w:r>
  </w:p>
  <w:p w14:paraId="76A9B623">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79527">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9DEB">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75A95A88">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75A95A88">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32CB2F47">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F8246">
    <w:pPr>
      <w:pStyle w:val="9"/>
      <w:framePr w:wrap="around" w:vAnchor="text" w:hAnchor="margin" w:xAlign="center" w:y="1"/>
      <w:rPr>
        <w:rStyle w:val="14"/>
      </w:rPr>
    </w:pPr>
    <w:r>
      <w:fldChar w:fldCharType="begin"/>
    </w:r>
    <w:r>
      <w:rPr>
        <w:rStyle w:val="14"/>
      </w:rPr>
      <w:instrText xml:space="preserve">PAGE  </w:instrText>
    </w:r>
    <w:r>
      <w:fldChar w:fldCharType="end"/>
    </w:r>
  </w:p>
  <w:p w14:paraId="32A4A53C">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7D431">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674E">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9857D">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6BEB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6ADC">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6E43">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wZDBhYzI3YzY1YzdiZTM3OTE2MDVhMzYzOTMzYjkifQ=="/>
  </w:docVars>
  <w:rsids>
    <w:rsidRoot w:val="00000000"/>
    <w:rsid w:val="024E2560"/>
    <w:rsid w:val="02B67AB8"/>
    <w:rsid w:val="03A441BF"/>
    <w:rsid w:val="03AC7D7B"/>
    <w:rsid w:val="03F144CF"/>
    <w:rsid w:val="0BF238BE"/>
    <w:rsid w:val="0FB24AB4"/>
    <w:rsid w:val="12F8758A"/>
    <w:rsid w:val="1943109C"/>
    <w:rsid w:val="1DE84704"/>
    <w:rsid w:val="20573B57"/>
    <w:rsid w:val="231E5CE9"/>
    <w:rsid w:val="2587134A"/>
    <w:rsid w:val="27CC1EEA"/>
    <w:rsid w:val="2E707062"/>
    <w:rsid w:val="333756F5"/>
    <w:rsid w:val="38B41B24"/>
    <w:rsid w:val="3BD10967"/>
    <w:rsid w:val="3D9523B5"/>
    <w:rsid w:val="3EA6712C"/>
    <w:rsid w:val="3F973797"/>
    <w:rsid w:val="45B5724A"/>
    <w:rsid w:val="461A26A9"/>
    <w:rsid w:val="4A467007"/>
    <w:rsid w:val="5411136C"/>
    <w:rsid w:val="5980324B"/>
    <w:rsid w:val="60914883"/>
    <w:rsid w:val="68844983"/>
    <w:rsid w:val="6AEF52A0"/>
    <w:rsid w:val="6DA01CC3"/>
    <w:rsid w:val="758B79F0"/>
    <w:rsid w:val="75B05044"/>
    <w:rsid w:val="7DA62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Normal Indent"/>
    <w:basedOn w:val="1"/>
    <w:link w:val="24"/>
    <w:qFormat/>
    <w:uiPriority w:val="0"/>
    <w:pPr>
      <w:ind w:firstLine="420"/>
    </w:pPr>
  </w:style>
  <w:style w:type="paragraph" w:styleId="6">
    <w:name w:val="List Bullet 2"/>
    <w:basedOn w:val="1"/>
    <w:qFormat/>
    <w:uiPriority w:val="99"/>
    <w:pPr>
      <w:numPr>
        <w:ilvl w:val="0"/>
        <w:numId w:val="1"/>
      </w:numPr>
    </w:pPr>
  </w:style>
  <w:style w:type="paragraph" w:styleId="7">
    <w:name w:val="Plain Text"/>
    <w:basedOn w:val="1"/>
    <w:link w:val="25"/>
    <w:qFormat/>
    <w:uiPriority w:val="0"/>
    <w:rPr>
      <w:rFonts w:ascii="宋体" w:hAnsi="Courier New" w:cs="Courier New"/>
      <w:szCs w:val="21"/>
    </w:rPr>
  </w:style>
  <w:style w:type="paragraph" w:styleId="8">
    <w:name w:val="Balloon Text"/>
    <w:basedOn w:val="1"/>
    <w:link w:val="29"/>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qFormat/>
    <w:uiPriority w:val="99"/>
    <w:rPr>
      <w:color w:val="0000FF"/>
      <w:u w:val="single"/>
    </w:rPr>
  </w:style>
  <w:style w:type="paragraph" w:customStyle="1" w:styleId="16">
    <w:name w:val="表格文字"/>
    <w:basedOn w:val="17"/>
    <w:autoRedefine/>
    <w:qFormat/>
    <w:uiPriority w:val="0"/>
    <w:pPr>
      <w:spacing w:before="25" w:after="25"/>
      <w:jc w:val="left"/>
    </w:pPr>
    <w:rPr>
      <w:bCs/>
      <w:spacing w:val="10"/>
      <w:kern w:val="0"/>
      <w:sz w:val="24"/>
      <w:szCs w:val="20"/>
    </w:rPr>
  </w:style>
  <w:style w:type="paragraph" w:customStyle="1" w:styleId="17">
    <w:name w:val="表格文字（两侧对齐）"/>
    <w:basedOn w:val="1"/>
    <w:autoRedefine/>
    <w:qFormat/>
    <w:uiPriority w:val="0"/>
    <w:pPr>
      <w:snapToGrid w:val="0"/>
    </w:pPr>
    <w:rPr>
      <w:kern w:val="0"/>
      <w:sz w:val="20"/>
    </w:rPr>
  </w:style>
  <w:style w:type="paragraph" w:customStyle="1" w:styleId="1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页眉 Char"/>
    <w:basedOn w:val="13"/>
    <w:link w:val="10"/>
    <w:qFormat/>
    <w:uiPriority w:val="99"/>
    <w:rPr>
      <w:sz w:val="18"/>
      <w:szCs w:val="18"/>
    </w:rPr>
  </w:style>
  <w:style w:type="character" w:customStyle="1" w:styleId="22">
    <w:name w:val="页脚 Char"/>
    <w:basedOn w:val="13"/>
    <w:link w:val="9"/>
    <w:qFormat/>
    <w:uiPriority w:val="99"/>
    <w:rPr>
      <w:sz w:val="18"/>
      <w:szCs w:val="18"/>
    </w:rPr>
  </w:style>
  <w:style w:type="character" w:customStyle="1" w:styleId="23">
    <w:name w:val="标题 2 Char"/>
    <w:basedOn w:val="13"/>
    <w:link w:val="4"/>
    <w:qFormat/>
    <w:uiPriority w:val="0"/>
    <w:rPr>
      <w:rFonts w:ascii="Arial" w:hAnsi="Arial" w:eastAsia="黑体" w:cs="Times New Roman"/>
      <w:b/>
      <w:bCs/>
      <w:sz w:val="32"/>
      <w:szCs w:val="32"/>
    </w:rPr>
  </w:style>
  <w:style w:type="character" w:customStyle="1" w:styleId="24">
    <w:name w:val="正文缩进 Char"/>
    <w:link w:val="5"/>
    <w:qFormat/>
    <w:uiPriority w:val="0"/>
    <w:rPr>
      <w:rFonts w:ascii="Times New Roman" w:hAnsi="Times New Roman" w:eastAsia="宋体" w:cs="Times New Roman"/>
      <w:szCs w:val="24"/>
    </w:rPr>
  </w:style>
  <w:style w:type="character" w:customStyle="1" w:styleId="25">
    <w:name w:val="纯文本 Char"/>
    <w:basedOn w:val="13"/>
    <w:link w:val="7"/>
    <w:qFormat/>
    <w:uiPriority w:val="0"/>
    <w:rPr>
      <w:rFonts w:ascii="宋体" w:hAnsi="Courier New" w:eastAsia="宋体" w:cs="Courier New"/>
      <w:szCs w:val="21"/>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character" w:customStyle="1" w:styleId="29">
    <w:name w:val="批注框文本 Char"/>
    <w:basedOn w:val="13"/>
    <w:link w:val="8"/>
    <w:qFormat/>
    <w:uiPriority w:val="99"/>
    <w:rPr>
      <w:rFonts w:ascii="Times New Roman" w:hAnsi="Times New Roman" w:eastAsia="宋体" w:cs="Times New Roman"/>
      <w:sz w:val="18"/>
      <w:szCs w:val="18"/>
    </w:rPr>
  </w:style>
  <w:style w:type="paragraph" w:customStyle="1" w:styleId="30">
    <w:name w:val="WPSOffice手动目录 1"/>
    <w:qFormat/>
    <w:uiPriority w:val="0"/>
    <w:rPr>
      <w:rFonts w:ascii="Calibri" w:hAnsi="Calibri" w:eastAsia="宋体" w:cs="宋体"/>
      <w:lang w:val="en-US" w:eastAsia="zh-CN" w:bidi="ar-SA"/>
    </w:rPr>
  </w:style>
  <w:style w:type="paragraph" w:customStyle="1" w:styleId="31">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1951</Words>
  <Characters>2064</Characters>
  <Paragraphs>196</Paragraphs>
  <TotalTime>0</TotalTime>
  <ScaleCrop>false</ScaleCrop>
  <LinksUpToDate>false</LinksUpToDate>
  <CharactersWithSpaces>2188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pa酸奶</cp:lastModifiedBy>
  <cp:lastPrinted>2022-08-23T03:15:00Z</cp:lastPrinted>
  <dcterms:modified xsi:type="dcterms:W3CDTF">2024-11-08T13:08:54Z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166C090F5F594C7E87577E737B94B29F</vt:lpwstr>
  </property>
</Properties>
</file>