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83ADF0">
      <w:pPr>
        <w:ind w:firstLine="0" w:firstLineChars="0"/>
        <w:jc w:val="distribute"/>
        <w:rPr>
          <w:rFonts w:ascii="宋体" w:hAnsi="宋体" w:cs="宋体"/>
          <w:b/>
          <w:bCs/>
          <w:sz w:val="36"/>
          <w:szCs w:val="36"/>
        </w:rPr>
      </w:pPr>
    </w:p>
    <w:p w14:paraId="7BCC863C">
      <w:pPr>
        <w:ind w:firstLine="0" w:firstLineChars="0"/>
        <w:jc w:val="distribute"/>
        <w:rPr>
          <w:rFonts w:ascii="宋体" w:hAnsi="宋体" w:cs="宋体"/>
          <w:b/>
          <w:bCs/>
          <w:sz w:val="36"/>
          <w:szCs w:val="36"/>
        </w:rPr>
      </w:pPr>
    </w:p>
    <w:p w14:paraId="1E27C80D">
      <w:pPr>
        <w:ind w:firstLine="0" w:firstLineChars="0"/>
        <w:jc w:val="distribute"/>
        <w:rPr>
          <w:rFonts w:ascii="宋体" w:hAnsi="宋体" w:cs="宋体"/>
          <w:b/>
          <w:bCs/>
          <w:sz w:val="36"/>
          <w:szCs w:val="36"/>
        </w:rPr>
      </w:pPr>
    </w:p>
    <w:p w14:paraId="3D11544B">
      <w:pPr>
        <w:ind w:firstLine="0" w:firstLineChars="0"/>
        <w:jc w:val="distribute"/>
        <w:rPr>
          <w:rFonts w:ascii="宋体" w:hAnsi="宋体" w:cs="宋体"/>
          <w:b/>
          <w:bCs/>
          <w:sz w:val="36"/>
          <w:szCs w:val="36"/>
        </w:rPr>
      </w:pPr>
    </w:p>
    <w:p w14:paraId="50F8769F">
      <w:pPr>
        <w:ind w:firstLine="0" w:firstLineChars="0"/>
        <w:jc w:val="center"/>
        <w:rPr>
          <w:rFonts w:hint="eastAsia" w:ascii="宋体" w:hAnsi="宋体" w:cs="宋体"/>
          <w:b/>
          <w:bCs/>
          <w:sz w:val="52"/>
          <w:szCs w:val="52"/>
        </w:rPr>
      </w:pPr>
      <w:r>
        <w:rPr>
          <w:rFonts w:hint="eastAsia" w:ascii="宋体" w:hAnsi="宋体" w:cs="宋体"/>
          <w:b/>
          <w:bCs/>
          <w:sz w:val="52"/>
          <w:szCs w:val="52"/>
        </w:rPr>
        <w:t>中山大学孙逸仙纪念医院出入口</w:t>
      </w:r>
    </w:p>
    <w:p w14:paraId="499D6F29">
      <w:pPr>
        <w:ind w:firstLine="0" w:firstLineChars="0"/>
        <w:jc w:val="center"/>
        <w:rPr>
          <w:rFonts w:hint="eastAsia" w:ascii="宋体" w:hAnsi="宋体" w:eastAsia="宋体" w:cs="宋体"/>
          <w:b/>
          <w:bCs/>
          <w:sz w:val="52"/>
          <w:szCs w:val="52"/>
          <w:lang w:eastAsia="zh-CN"/>
        </w:rPr>
      </w:pPr>
      <w:r>
        <w:rPr>
          <w:rFonts w:hint="eastAsia" w:ascii="宋体" w:hAnsi="宋体" w:cs="宋体"/>
          <w:b/>
          <w:bCs/>
          <w:sz w:val="52"/>
          <w:szCs w:val="52"/>
        </w:rPr>
        <w:t>反恐防撞升降柱安装</w:t>
      </w:r>
      <w:r>
        <w:rPr>
          <w:rFonts w:hint="eastAsia" w:ascii="宋体" w:hAnsi="宋体" w:cs="宋体"/>
          <w:b/>
          <w:bCs/>
          <w:sz w:val="52"/>
          <w:szCs w:val="52"/>
          <w:lang w:val="en-US" w:eastAsia="zh-CN"/>
        </w:rPr>
        <w:t>项目</w:t>
      </w:r>
    </w:p>
    <w:p w14:paraId="41D48636">
      <w:pPr>
        <w:ind w:firstLine="0" w:firstLineChars="0"/>
        <w:jc w:val="center"/>
        <w:rPr>
          <w:rFonts w:ascii="宋体" w:hAnsi="宋体" w:cs="宋体"/>
          <w:b/>
          <w:bCs/>
          <w:sz w:val="52"/>
          <w:szCs w:val="52"/>
        </w:rPr>
      </w:pPr>
      <w:r>
        <w:rPr>
          <w:rFonts w:hint="eastAsia" w:ascii="宋体" w:hAnsi="宋体" w:cs="宋体"/>
          <w:b/>
          <w:bCs/>
          <w:sz w:val="52"/>
          <w:szCs w:val="52"/>
          <w:lang w:val="en-US" w:eastAsia="zh-CN"/>
        </w:rPr>
        <w:t>需求书</w:t>
      </w:r>
    </w:p>
    <w:p w14:paraId="60AD81B2">
      <w:pPr>
        <w:ind w:firstLine="0" w:firstLineChars="0"/>
        <w:jc w:val="distribute"/>
        <w:rPr>
          <w:rFonts w:ascii="宋体" w:hAnsi="宋体" w:cs="宋体"/>
          <w:b/>
          <w:bCs/>
          <w:sz w:val="36"/>
          <w:szCs w:val="36"/>
        </w:rPr>
      </w:pPr>
    </w:p>
    <w:p w14:paraId="5604FAFF">
      <w:pPr>
        <w:ind w:firstLine="0" w:firstLineChars="0"/>
        <w:jc w:val="center"/>
        <w:rPr>
          <w:rFonts w:hint="eastAsia" w:ascii="宋体" w:hAnsi="宋体" w:eastAsia="宋体" w:cs="宋体"/>
          <w:lang w:eastAsia="zh-CN"/>
        </w:rPr>
        <w:sectPr>
          <w:pgSz w:w="11906" w:h="16838"/>
          <w:pgMar w:top="1440" w:right="1800" w:bottom="1440" w:left="1800" w:header="851" w:footer="992" w:gutter="0"/>
          <w:cols w:space="425" w:num="1"/>
          <w:docGrid w:type="lines" w:linePitch="312" w:charSpace="0"/>
        </w:sectPr>
      </w:pPr>
      <w:r>
        <w:rPr>
          <w:rFonts w:hint="eastAsia" w:ascii="宋体" w:hAnsi="宋体" w:eastAsia="宋体" w:cs="宋体"/>
          <w:lang w:eastAsia="zh-CN"/>
        </w:rPr>
        <w:drawing>
          <wp:anchor distT="0" distB="0" distL="114300" distR="114300" simplePos="0" relativeHeight="251660288" behindDoc="0" locked="0" layoutInCell="1" allowOverlap="1">
            <wp:simplePos x="0" y="0"/>
            <wp:positionH relativeFrom="column">
              <wp:posOffset>-267970</wp:posOffset>
            </wp:positionH>
            <wp:positionV relativeFrom="paragraph">
              <wp:posOffset>38100</wp:posOffset>
            </wp:positionV>
            <wp:extent cx="5810885" cy="3880485"/>
            <wp:effectExtent l="0" t="0" r="18415" b="5715"/>
            <wp:wrapSquare wrapText="bothSides"/>
            <wp:docPr id="5" name="图片 5" descr="C:/Users/admin/Desktop/2.南院区4_0.jpg2.南院区4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2.南院区4_0.jpg2.南院区4_0"/>
                    <pic:cNvPicPr>
                      <a:picLocks noChangeAspect="1"/>
                    </pic:cNvPicPr>
                  </pic:nvPicPr>
                  <pic:blipFill>
                    <a:blip r:embed="rId8"/>
                    <a:srcRect t="2076" b="2076"/>
                    <a:stretch>
                      <a:fillRect/>
                    </a:stretch>
                  </pic:blipFill>
                  <pic:spPr>
                    <a:xfrm>
                      <a:off x="0" y="0"/>
                      <a:ext cx="5810885" cy="3880485"/>
                    </a:xfrm>
                    <a:prstGeom prst="rect">
                      <a:avLst/>
                    </a:prstGeom>
                  </pic:spPr>
                </pic:pic>
              </a:graphicData>
            </a:graphic>
          </wp:anchor>
        </w:drawing>
      </w:r>
    </w:p>
    <w:p w14:paraId="3D26EDD8">
      <w:pPr>
        <w:pStyle w:val="15"/>
        <w:tabs>
          <w:tab w:val="right" w:leader="dot" w:pos="8306"/>
          <w:tab w:val="clear" w:pos="9072"/>
        </w:tabs>
        <w:ind w:firstLine="0" w:firstLineChars="0"/>
        <w:jc w:val="center"/>
        <w:rPr>
          <w:rFonts w:ascii="宋体" w:hAnsi="宋体" w:cs="宋体"/>
          <w:b/>
          <w:bCs/>
          <w:sz w:val="30"/>
          <w:szCs w:val="30"/>
        </w:rPr>
      </w:pPr>
      <w:r>
        <w:rPr>
          <w:rFonts w:hint="eastAsia" w:ascii="宋体" w:hAnsi="宋体" w:cs="宋体"/>
          <w:b/>
          <w:bCs/>
          <w:sz w:val="30"/>
          <w:szCs w:val="30"/>
        </w:rPr>
        <w:t>目</w:t>
      </w:r>
      <w:r>
        <w:rPr>
          <w:rFonts w:hint="eastAsia" w:cs="宋体"/>
          <w:b/>
          <w:bCs/>
          <w:sz w:val="30"/>
          <w:szCs w:val="30"/>
          <w:lang w:val="en-US" w:eastAsia="zh-CN"/>
        </w:rPr>
        <w:t xml:space="preserve">  </w:t>
      </w:r>
      <w:r>
        <w:rPr>
          <w:rFonts w:hint="eastAsia" w:ascii="宋体" w:hAnsi="宋体" w:cs="宋体"/>
          <w:b/>
          <w:bCs/>
          <w:sz w:val="30"/>
          <w:szCs w:val="30"/>
        </w:rPr>
        <w:t>录</w:t>
      </w:r>
      <w:bookmarkStart w:id="21" w:name="_GoBack"/>
      <w:bookmarkEnd w:id="21"/>
    </w:p>
    <w:p w14:paraId="7E51FB5F">
      <w:pPr>
        <w:pStyle w:val="15"/>
      </w:pPr>
      <w:r>
        <w:rPr>
          <w:rFonts w:hint="eastAsia" w:ascii="宋体" w:hAnsi="宋体" w:cs="宋体"/>
        </w:rPr>
        <w:fldChar w:fldCharType="begin"/>
      </w:r>
      <w:r>
        <w:rPr>
          <w:rFonts w:hint="eastAsia" w:ascii="宋体" w:hAnsi="宋体" w:cs="宋体"/>
        </w:rPr>
        <w:instrText xml:space="preserve">TOC \o "1-5" \h \u </w:instrText>
      </w:r>
      <w:r>
        <w:rPr>
          <w:rFonts w:hint="eastAsia" w:ascii="宋体" w:hAnsi="宋体" w:cs="宋体"/>
        </w:rPr>
        <w:fldChar w:fldCharType="separate"/>
      </w:r>
      <w:r>
        <w:rPr>
          <w:rFonts w:hint="eastAsia" w:ascii="宋体" w:hAnsi="宋体" w:cs="宋体"/>
        </w:rPr>
        <w:fldChar w:fldCharType="begin"/>
      </w:r>
      <w:r>
        <w:rPr>
          <w:rFonts w:hint="eastAsia" w:ascii="宋体" w:hAnsi="宋体" w:cs="宋体"/>
        </w:rPr>
        <w:instrText xml:space="preserve"> HYPERLINK \l _Toc11825 </w:instrText>
      </w:r>
      <w:r>
        <w:rPr>
          <w:rFonts w:hint="eastAsia" w:ascii="宋体" w:hAnsi="宋体" w:cs="宋体"/>
        </w:rPr>
        <w:fldChar w:fldCharType="separate"/>
      </w:r>
      <w:r>
        <w:rPr>
          <w:rFonts w:hint="default" w:ascii="宋体" w:hAnsi="宋体" w:cs="宋体"/>
        </w:rPr>
        <w:t xml:space="preserve">1. </w:t>
      </w:r>
      <w:r>
        <w:rPr>
          <w:rFonts w:hint="eastAsia" w:ascii="宋体" w:hAnsi="宋体" w:cs="宋体"/>
        </w:rPr>
        <w:t>项目背景</w:t>
      </w:r>
      <w:r>
        <w:tab/>
      </w:r>
      <w:r>
        <w:fldChar w:fldCharType="begin"/>
      </w:r>
      <w:r>
        <w:instrText xml:space="preserve"> PAGEREF _Toc11825 \h </w:instrText>
      </w:r>
      <w:r>
        <w:fldChar w:fldCharType="separate"/>
      </w:r>
      <w:r>
        <w:t>1</w:t>
      </w:r>
      <w:r>
        <w:fldChar w:fldCharType="end"/>
      </w:r>
      <w:r>
        <w:rPr>
          <w:rFonts w:hint="eastAsia" w:ascii="宋体" w:hAnsi="宋体" w:cs="宋体"/>
        </w:rPr>
        <w:fldChar w:fldCharType="end"/>
      </w:r>
    </w:p>
    <w:p w14:paraId="43C315AA">
      <w:pPr>
        <w:pStyle w:val="15"/>
      </w:pPr>
      <w:r>
        <w:rPr>
          <w:rFonts w:hint="eastAsia" w:ascii="宋体" w:hAnsi="宋体" w:cs="宋体"/>
        </w:rPr>
        <w:fldChar w:fldCharType="begin"/>
      </w:r>
      <w:r>
        <w:rPr>
          <w:rFonts w:hint="eastAsia" w:ascii="宋体" w:hAnsi="宋体" w:cs="宋体"/>
        </w:rPr>
        <w:instrText xml:space="preserve"> HYPERLINK \l _Toc2165 </w:instrText>
      </w:r>
      <w:r>
        <w:rPr>
          <w:rFonts w:hint="eastAsia" w:ascii="宋体" w:hAnsi="宋体" w:cs="宋体"/>
        </w:rPr>
        <w:fldChar w:fldCharType="separate"/>
      </w:r>
      <w:r>
        <w:rPr>
          <w:rFonts w:hint="default" w:ascii="宋体" w:hAnsi="宋体" w:cs="宋体"/>
        </w:rPr>
        <w:t xml:space="preserve">2. </w:t>
      </w:r>
      <w:r>
        <w:rPr>
          <w:rFonts w:hint="eastAsia" w:ascii="宋体" w:hAnsi="宋体" w:cs="宋体"/>
        </w:rPr>
        <w:t>设计方案</w:t>
      </w:r>
      <w:r>
        <w:tab/>
      </w:r>
      <w:r>
        <w:fldChar w:fldCharType="begin"/>
      </w:r>
      <w:r>
        <w:instrText xml:space="preserve"> PAGEREF _Toc2165 \h </w:instrText>
      </w:r>
      <w:r>
        <w:fldChar w:fldCharType="separate"/>
      </w:r>
      <w:r>
        <w:t>1</w:t>
      </w:r>
      <w:r>
        <w:fldChar w:fldCharType="end"/>
      </w:r>
      <w:r>
        <w:rPr>
          <w:rFonts w:hint="eastAsia" w:ascii="宋体" w:hAnsi="宋体" w:cs="宋体"/>
        </w:rPr>
        <w:fldChar w:fldCharType="end"/>
      </w:r>
    </w:p>
    <w:p w14:paraId="5E74553F">
      <w:pPr>
        <w:pStyle w:val="17"/>
      </w:pPr>
      <w:r>
        <w:rPr>
          <w:rFonts w:hint="eastAsia" w:ascii="宋体" w:hAnsi="宋体" w:cs="宋体"/>
        </w:rPr>
        <w:fldChar w:fldCharType="begin"/>
      </w:r>
      <w:r>
        <w:rPr>
          <w:rFonts w:hint="eastAsia" w:ascii="宋体" w:hAnsi="宋体" w:cs="宋体"/>
        </w:rPr>
        <w:instrText xml:space="preserve"> HYPERLINK \l _Toc21009 </w:instrText>
      </w:r>
      <w:r>
        <w:rPr>
          <w:rFonts w:hint="eastAsia" w:ascii="宋体" w:hAnsi="宋体" w:cs="宋体"/>
        </w:rPr>
        <w:fldChar w:fldCharType="separate"/>
      </w:r>
      <w:r>
        <w:rPr>
          <w:rFonts w:hint="default" w:ascii="宋体" w:hAnsi="宋体" w:cs="宋体"/>
        </w:rPr>
        <w:t xml:space="preserve">2.1. </w:t>
      </w:r>
      <w:r>
        <w:rPr>
          <w:rFonts w:hint="eastAsia" w:ascii="宋体" w:hAnsi="宋体" w:cs="宋体"/>
        </w:rPr>
        <w:t>系统组成</w:t>
      </w:r>
      <w:r>
        <w:tab/>
      </w:r>
      <w:r>
        <w:fldChar w:fldCharType="begin"/>
      </w:r>
      <w:r>
        <w:instrText xml:space="preserve"> PAGEREF _Toc21009 \h </w:instrText>
      </w:r>
      <w:r>
        <w:fldChar w:fldCharType="separate"/>
      </w:r>
      <w:r>
        <w:t>1</w:t>
      </w:r>
      <w:r>
        <w:fldChar w:fldCharType="end"/>
      </w:r>
      <w:r>
        <w:rPr>
          <w:rFonts w:hint="eastAsia" w:ascii="宋体" w:hAnsi="宋体" w:cs="宋体"/>
        </w:rPr>
        <w:fldChar w:fldCharType="end"/>
      </w:r>
    </w:p>
    <w:p w14:paraId="5AB94896">
      <w:pPr>
        <w:pStyle w:val="17"/>
      </w:pPr>
      <w:r>
        <w:rPr>
          <w:rFonts w:hint="eastAsia" w:ascii="宋体" w:hAnsi="宋体" w:cs="宋体"/>
        </w:rPr>
        <w:fldChar w:fldCharType="begin"/>
      </w:r>
      <w:r>
        <w:rPr>
          <w:rFonts w:hint="eastAsia" w:ascii="宋体" w:hAnsi="宋体" w:cs="宋体"/>
        </w:rPr>
        <w:instrText xml:space="preserve"> HYPERLINK \l _Toc16437 </w:instrText>
      </w:r>
      <w:r>
        <w:rPr>
          <w:rFonts w:hint="eastAsia" w:ascii="宋体" w:hAnsi="宋体" w:cs="宋体"/>
        </w:rPr>
        <w:fldChar w:fldCharType="separate"/>
      </w:r>
      <w:r>
        <w:rPr>
          <w:rFonts w:hint="default" w:ascii="宋体" w:hAnsi="宋体" w:cs="宋体"/>
        </w:rPr>
        <w:t xml:space="preserve">2.2. </w:t>
      </w:r>
      <w:r>
        <w:rPr>
          <w:rFonts w:hint="eastAsia" w:ascii="宋体" w:hAnsi="宋体" w:cs="宋体"/>
        </w:rPr>
        <w:t>升降柱简介</w:t>
      </w:r>
      <w:r>
        <w:tab/>
      </w:r>
      <w:r>
        <w:fldChar w:fldCharType="begin"/>
      </w:r>
      <w:r>
        <w:instrText xml:space="preserve"> PAGEREF _Toc16437 \h </w:instrText>
      </w:r>
      <w:r>
        <w:fldChar w:fldCharType="separate"/>
      </w:r>
      <w:r>
        <w:t>2</w:t>
      </w:r>
      <w:r>
        <w:fldChar w:fldCharType="end"/>
      </w:r>
      <w:r>
        <w:rPr>
          <w:rFonts w:hint="eastAsia" w:ascii="宋体" w:hAnsi="宋体" w:cs="宋体"/>
        </w:rPr>
        <w:fldChar w:fldCharType="end"/>
      </w:r>
    </w:p>
    <w:p w14:paraId="2303AB39">
      <w:pPr>
        <w:pStyle w:val="17"/>
      </w:pPr>
      <w:r>
        <w:rPr>
          <w:rFonts w:hint="eastAsia" w:ascii="宋体" w:hAnsi="宋体" w:cs="宋体"/>
        </w:rPr>
        <w:fldChar w:fldCharType="begin"/>
      </w:r>
      <w:r>
        <w:rPr>
          <w:rFonts w:hint="eastAsia" w:ascii="宋体" w:hAnsi="宋体" w:cs="宋体"/>
        </w:rPr>
        <w:instrText xml:space="preserve"> HYPERLINK \l _Toc22604 </w:instrText>
      </w:r>
      <w:r>
        <w:rPr>
          <w:rFonts w:hint="eastAsia" w:ascii="宋体" w:hAnsi="宋体" w:cs="宋体"/>
        </w:rPr>
        <w:fldChar w:fldCharType="separate"/>
      </w:r>
      <w:r>
        <w:rPr>
          <w:rFonts w:hint="default" w:ascii="宋体" w:hAnsi="宋体" w:cs="宋体"/>
        </w:rPr>
        <w:t xml:space="preserve">2.3. </w:t>
      </w:r>
      <w:r>
        <w:rPr>
          <w:rFonts w:hint="eastAsia" w:ascii="宋体" w:hAnsi="宋体" w:cs="宋体"/>
        </w:rPr>
        <w:t>产品展示</w:t>
      </w:r>
      <w:r>
        <w:tab/>
      </w:r>
      <w:r>
        <w:fldChar w:fldCharType="begin"/>
      </w:r>
      <w:r>
        <w:instrText xml:space="preserve"> PAGEREF _Toc22604 \h </w:instrText>
      </w:r>
      <w:r>
        <w:fldChar w:fldCharType="separate"/>
      </w:r>
      <w:r>
        <w:t>2</w:t>
      </w:r>
      <w:r>
        <w:fldChar w:fldCharType="end"/>
      </w:r>
      <w:r>
        <w:rPr>
          <w:rFonts w:hint="eastAsia" w:ascii="宋体" w:hAnsi="宋体" w:cs="宋体"/>
        </w:rPr>
        <w:fldChar w:fldCharType="end"/>
      </w:r>
    </w:p>
    <w:p w14:paraId="103C0BF2">
      <w:pPr>
        <w:pStyle w:val="17"/>
      </w:pPr>
      <w:r>
        <w:rPr>
          <w:rFonts w:hint="eastAsia" w:ascii="宋体" w:hAnsi="宋体" w:cs="宋体"/>
        </w:rPr>
        <w:fldChar w:fldCharType="begin"/>
      </w:r>
      <w:r>
        <w:rPr>
          <w:rFonts w:hint="eastAsia" w:ascii="宋体" w:hAnsi="宋体" w:cs="宋体"/>
        </w:rPr>
        <w:instrText xml:space="preserve"> HYPERLINK \l _Toc24114 </w:instrText>
      </w:r>
      <w:r>
        <w:rPr>
          <w:rFonts w:hint="eastAsia" w:ascii="宋体" w:hAnsi="宋体" w:cs="宋体"/>
        </w:rPr>
        <w:fldChar w:fldCharType="separate"/>
      </w:r>
      <w:r>
        <w:rPr>
          <w:rFonts w:hint="default" w:ascii="宋体" w:hAnsi="宋体" w:cs="宋体"/>
        </w:rPr>
        <w:t xml:space="preserve">2.4. </w:t>
      </w:r>
      <w:r>
        <w:rPr>
          <w:rFonts w:hint="eastAsia" w:ascii="宋体" w:hAnsi="宋体" w:cs="宋体"/>
        </w:rPr>
        <w:t>产品参数与特点介绍</w:t>
      </w:r>
      <w:r>
        <w:tab/>
      </w:r>
      <w:r>
        <w:fldChar w:fldCharType="begin"/>
      </w:r>
      <w:r>
        <w:instrText xml:space="preserve"> PAGEREF _Toc24114 \h </w:instrText>
      </w:r>
      <w:r>
        <w:fldChar w:fldCharType="separate"/>
      </w:r>
      <w:r>
        <w:t>4</w:t>
      </w:r>
      <w:r>
        <w:fldChar w:fldCharType="end"/>
      </w:r>
      <w:r>
        <w:rPr>
          <w:rFonts w:hint="eastAsia" w:ascii="宋体" w:hAnsi="宋体" w:cs="宋体"/>
        </w:rPr>
        <w:fldChar w:fldCharType="end"/>
      </w:r>
    </w:p>
    <w:p w14:paraId="3334D7DB">
      <w:pPr>
        <w:pStyle w:val="12"/>
      </w:pPr>
      <w:r>
        <w:rPr>
          <w:rFonts w:hint="eastAsia" w:ascii="宋体" w:hAnsi="宋体" w:cs="宋体"/>
        </w:rPr>
        <w:fldChar w:fldCharType="begin"/>
      </w:r>
      <w:r>
        <w:rPr>
          <w:rFonts w:hint="eastAsia" w:ascii="宋体" w:hAnsi="宋体" w:cs="宋体"/>
        </w:rPr>
        <w:instrText xml:space="preserve"> HYPERLINK \l _Toc16625 </w:instrText>
      </w:r>
      <w:r>
        <w:rPr>
          <w:rFonts w:hint="eastAsia" w:ascii="宋体" w:hAnsi="宋体" w:cs="宋体"/>
        </w:rPr>
        <w:fldChar w:fldCharType="separate"/>
      </w:r>
      <w:r>
        <w:rPr>
          <w:rFonts w:hint="default" w:ascii="宋体" w:hAnsi="宋体" w:cs="宋体"/>
        </w:rPr>
        <w:t xml:space="preserve">2.4.1. </w:t>
      </w:r>
      <w:r>
        <w:rPr>
          <w:rFonts w:hint="eastAsia" w:ascii="宋体" w:hAnsi="宋体" w:cs="宋体"/>
        </w:rPr>
        <w:t>全自动升降柱</w:t>
      </w:r>
      <w:r>
        <w:tab/>
      </w:r>
      <w:r>
        <w:fldChar w:fldCharType="begin"/>
      </w:r>
      <w:r>
        <w:instrText xml:space="preserve"> PAGEREF _Toc16625 \h </w:instrText>
      </w:r>
      <w:r>
        <w:fldChar w:fldCharType="separate"/>
      </w:r>
      <w:r>
        <w:t>4</w:t>
      </w:r>
      <w:r>
        <w:fldChar w:fldCharType="end"/>
      </w:r>
      <w:r>
        <w:rPr>
          <w:rFonts w:hint="eastAsia" w:ascii="宋体" w:hAnsi="宋体" w:cs="宋体"/>
        </w:rPr>
        <w:fldChar w:fldCharType="end"/>
      </w:r>
    </w:p>
    <w:p w14:paraId="6557491E">
      <w:pPr>
        <w:pStyle w:val="12"/>
      </w:pPr>
      <w:r>
        <w:rPr>
          <w:rFonts w:hint="eastAsia" w:ascii="宋体" w:hAnsi="宋体" w:cs="宋体"/>
        </w:rPr>
        <w:fldChar w:fldCharType="begin"/>
      </w:r>
      <w:r>
        <w:rPr>
          <w:rFonts w:hint="eastAsia" w:ascii="宋体" w:hAnsi="宋体" w:cs="宋体"/>
        </w:rPr>
        <w:instrText xml:space="preserve"> HYPERLINK \l _Toc24214 </w:instrText>
      </w:r>
      <w:r>
        <w:rPr>
          <w:rFonts w:hint="eastAsia" w:ascii="宋体" w:hAnsi="宋体" w:cs="宋体"/>
        </w:rPr>
        <w:fldChar w:fldCharType="separate"/>
      </w:r>
      <w:r>
        <w:rPr>
          <w:rFonts w:hint="default" w:ascii="宋体" w:hAnsi="宋体" w:cs="宋体"/>
        </w:rPr>
        <w:t xml:space="preserve">2.4.2. </w:t>
      </w:r>
      <w:r>
        <w:rPr>
          <w:rFonts w:hint="eastAsia" w:ascii="宋体" w:hAnsi="宋体" w:cs="宋体"/>
        </w:rPr>
        <w:t>控制系统</w:t>
      </w:r>
      <w:r>
        <w:tab/>
      </w:r>
      <w:r>
        <w:fldChar w:fldCharType="begin"/>
      </w:r>
      <w:r>
        <w:instrText xml:space="preserve"> PAGEREF _Toc24214 \h </w:instrText>
      </w:r>
      <w:r>
        <w:fldChar w:fldCharType="separate"/>
      </w:r>
      <w:r>
        <w:t>5</w:t>
      </w:r>
      <w:r>
        <w:fldChar w:fldCharType="end"/>
      </w:r>
      <w:r>
        <w:rPr>
          <w:rFonts w:hint="eastAsia" w:ascii="宋体" w:hAnsi="宋体" w:cs="宋体"/>
        </w:rPr>
        <w:fldChar w:fldCharType="end"/>
      </w:r>
    </w:p>
    <w:p w14:paraId="08AC0AE0">
      <w:pPr>
        <w:pStyle w:val="17"/>
      </w:pPr>
      <w:r>
        <w:rPr>
          <w:rFonts w:hint="eastAsia" w:ascii="宋体" w:hAnsi="宋体" w:cs="宋体"/>
        </w:rPr>
        <w:fldChar w:fldCharType="begin"/>
      </w:r>
      <w:r>
        <w:rPr>
          <w:rFonts w:hint="eastAsia" w:ascii="宋体" w:hAnsi="宋体" w:cs="宋体"/>
        </w:rPr>
        <w:instrText xml:space="preserve"> HYPERLINK \l _Toc2668 </w:instrText>
      </w:r>
      <w:r>
        <w:rPr>
          <w:rFonts w:hint="eastAsia" w:ascii="宋体" w:hAnsi="宋体" w:cs="宋体"/>
        </w:rPr>
        <w:fldChar w:fldCharType="separate"/>
      </w:r>
      <w:r>
        <w:rPr>
          <w:rFonts w:hint="default" w:ascii="宋体" w:hAnsi="宋体" w:cs="宋体"/>
        </w:rPr>
        <w:t xml:space="preserve">2.5. </w:t>
      </w:r>
      <w:r>
        <w:rPr>
          <w:rFonts w:hint="eastAsia" w:ascii="宋体" w:hAnsi="宋体" w:cs="宋体"/>
        </w:rPr>
        <w:t>设备清单</w:t>
      </w:r>
      <w:r>
        <w:tab/>
      </w:r>
      <w:r>
        <w:fldChar w:fldCharType="begin"/>
      </w:r>
      <w:r>
        <w:instrText xml:space="preserve"> PAGEREF _Toc2668 \h </w:instrText>
      </w:r>
      <w:r>
        <w:fldChar w:fldCharType="separate"/>
      </w:r>
      <w:r>
        <w:t>5</w:t>
      </w:r>
      <w:r>
        <w:fldChar w:fldCharType="end"/>
      </w:r>
      <w:r>
        <w:rPr>
          <w:rFonts w:hint="eastAsia" w:ascii="宋体" w:hAnsi="宋体" w:cs="宋体"/>
        </w:rPr>
        <w:fldChar w:fldCharType="end"/>
      </w:r>
    </w:p>
    <w:p w14:paraId="007A013B">
      <w:pPr>
        <w:pStyle w:val="17"/>
      </w:pPr>
      <w:r>
        <w:rPr>
          <w:rFonts w:hint="eastAsia" w:ascii="宋体" w:hAnsi="宋体" w:cs="宋体"/>
        </w:rPr>
        <w:fldChar w:fldCharType="begin"/>
      </w:r>
      <w:r>
        <w:rPr>
          <w:rFonts w:hint="eastAsia" w:ascii="宋体" w:hAnsi="宋体" w:cs="宋体"/>
        </w:rPr>
        <w:instrText xml:space="preserve"> HYPERLINK \l _Toc13636 </w:instrText>
      </w:r>
      <w:r>
        <w:rPr>
          <w:rFonts w:hint="eastAsia" w:ascii="宋体" w:hAnsi="宋体" w:cs="宋体"/>
        </w:rPr>
        <w:fldChar w:fldCharType="separate"/>
      </w:r>
      <w:r>
        <w:rPr>
          <w:rFonts w:hint="default" w:ascii="宋体" w:hAnsi="宋体" w:cs="宋体"/>
        </w:rPr>
        <w:t xml:space="preserve">2.6. </w:t>
      </w:r>
      <w:r>
        <w:rPr>
          <w:rFonts w:hint="eastAsia" w:ascii="宋体" w:hAnsi="宋体" w:cs="宋体"/>
        </w:rPr>
        <w:t>安装示意图与效果图展示</w:t>
      </w:r>
      <w:r>
        <w:tab/>
      </w:r>
      <w:r>
        <w:fldChar w:fldCharType="begin"/>
      </w:r>
      <w:r>
        <w:instrText xml:space="preserve"> PAGEREF _Toc13636 \h </w:instrText>
      </w:r>
      <w:r>
        <w:fldChar w:fldCharType="separate"/>
      </w:r>
      <w:r>
        <w:t>11</w:t>
      </w:r>
      <w:r>
        <w:fldChar w:fldCharType="end"/>
      </w:r>
      <w:r>
        <w:rPr>
          <w:rFonts w:hint="eastAsia" w:ascii="宋体" w:hAnsi="宋体" w:cs="宋体"/>
        </w:rPr>
        <w:fldChar w:fldCharType="end"/>
      </w:r>
    </w:p>
    <w:p w14:paraId="5B636FFB">
      <w:pPr>
        <w:pStyle w:val="12"/>
      </w:pPr>
      <w:r>
        <w:rPr>
          <w:rFonts w:hint="eastAsia" w:ascii="宋体" w:hAnsi="宋体" w:cs="宋体"/>
        </w:rPr>
        <w:fldChar w:fldCharType="begin"/>
      </w:r>
      <w:r>
        <w:rPr>
          <w:rFonts w:hint="eastAsia" w:ascii="宋体" w:hAnsi="宋体" w:cs="宋体"/>
        </w:rPr>
        <w:instrText xml:space="preserve"> HYPERLINK \l _Toc13215 </w:instrText>
      </w:r>
      <w:r>
        <w:rPr>
          <w:rFonts w:hint="eastAsia" w:ascii="宋体" w:hAnsi="宋体" w:cs="宋体"/>
        </w:rPr>
        <w:fldChar w:fldCharType="separate"/>
      </w:r>
      <w:r>
        <w:rPr>
          <w:rFonts w:hint="default" w:ascii="宋体" w:hAnsi="宋体" w:cs="宋体"/>
        </w:rPr>
        <w:t xml:space="preserve">2.6.1. </w:t>
      </w:r>
      <w:r>
        <w:rPr>
          <w:rFonts w:hint="eastAsia" w:ascii="宋体" w:hAnsi="宋体" w:cs="宋体"/>
        </w:rPr>
        <w:t>安装示意图</w:t>
      </w:r>
      <w:r>
        <w:tab/>
      </w:r>
      <w:r>
        <w:fldChar w:fldCharType="begin"/>
      </w:r>
      <w:r>
        <w:instrText xml:space="preserve"> PAGEREF _Toc13215 \h </w:instrText>
      </w:r>
      <w:r>
        <w:fldChar w:fldCharType="separate"/>
      </w:r>
      <w:r>
        <w:t>11</w:t>
      </w:r>
      <w:r>
        <w:fldChar w:fldCharType="end"/>
      </w:r>
      <w:r>
        <w:rPr>
          <w:rFonts w:hint="eastAsia" w:ascii="宋体" w:hAnsi="宋体" w:cs="宋体"/>
        </w:rPr>
        <w:fldChar w:fldCharType="end"/>
      </w:r>
    </w:p>
    <w:p w14:paraId="075B5C40">
      <w:pPr>
        <w:pStyle w:val="12"/>
      </w:pPr>
      <w:r>
        <w:rPr>
          <w:rFonts w:hint="eastAsia" w:ascii="宋体" w:hAnsi="宋体" w:cs="宋体"/>
        </w:rPr>
        <w:fldChar w:fldCharType="begin"/>
      </w:r>
      <w:r>
        <w:rPr>
          <w:rFonts w:hint="eastAsia" w:ascii="宋体" w:hAnsi="宋体" w:cs="宋体"/>
        </w:rPr>
        <w:instrText xml:space="preserve"> HYPERLINK \l _Toc24086 </w:instrText>
      </w:r>
      <w:r>
        <w:rPr>
          <w:rFonts w:hint="eastAsia" w:ascii="宋体" w:hAnsi="宋体" w:cs="宋体"/>
        </w:rPr>
        <w:fldChar w:fldCharType="separate"/>
      </w:r>
      <w:r>
        <w:rPr>
          <w:rFonts w:hint="default" w:ascii="宋体" w:hAnsi="宋体" w:cs="宋体"/>
        </w:rPr>
        <w:t xml:space="preserve">2.6.2. </w:t>
      </w:r>
      <w:r>
        <w:rPr>
          <w:rFonts w:hint="eastAsia" w:ascii="宋体" w:hAnsi="宋体" w:cs="宋体"/>
        </w:rPr>
        <w:t>效果图展示</w:t>
      </w:r>
      <w:r>
        <w:tab/>
      </w:r>
      <w:r>
        <w:fldChar w:fldCharType="begin"/>
      </w:r>
      <w:r>
        <w:instrText xml:space="preserve"> PAGEREF _Toc24086 \h </w:instrText>
      </w:r>
      <w:r>
        <w:fldChar w:fldCharType="separate"/>
      </w:r>
      <w:r>
        <w:t>12</w:t>
      </w:r>
      <w:r>
        <w:fldChar w:fldCharType="end"/>
      </w:r>
      <w:r>
        <w:rPr>
          <w:rFonts w:hint="eastAsia" w:ascii="宋体" w:hAnsi="宋体" w:cs="宋体"/>
        </w:rPr>
        <w:fldChar w:fldCharType="end"/>
      </w:r>
    </w:p>
    <w:p w14:paraId="4E5B84EF">
      <w:pPr>
        <w:pStyle w:val="16"/>
      </w:pPr>
      <w:r>
        <w:rPr>
          <w:rFonts w:hint="eastAsia" w:ascii="宋体" w:hAnsi="宋体" w:cs="宋体"/>
        </w:rPr>
        <w:fldChar w:fldCharType="begin"/>
      </w:r>
      <w:r>
        <w:rPr>
          <w:rFonts w:hint="eastAsia" w:ascii="宋体" w:hAnsi="宋体" w:cs="宋体"/>
        </w:rPr>
        <w:instrText xml:space="preserve"> HYPERLINK \l _Toc18316 </w:instrText>
      </w:r>
      <w:r>
        <w:rPr>
          <w:rFonts w:hint="eastAsia" w:ascii="宋体" w:hAnsi="宋体" w:cs="宋体"/>
        </w:rPr>
        <w:fldChar w:fldCharType="separate"/>
      </w:r>
      <w:r>
        <w:rPr>
          <w:rFonts w:hint="default"/>
        </w:rPr>
        <w:t xml:space="preserve">2.6.2.1. </w:t>
      </w:r>
      <w:r>
        <w:rPr>
          <w:rFonts w:hint="eastAsia"/>
        </w:rPr>
        <w:t>北院急诊</w:t>
      </w:r>
      <w:r>
        <w:rPr>
          <w:rFonts w:hint="eastAsia"/>
          <w:lang w:val="en-US" w:eastAsia="zh-CN"/>
        </w:rPr>
        <w:t>效果图</w:t>
      </w:r>
      <w:r>
        <w:tab/>
      </w:r>
      <w:r>
        <w:fldChar w:fldCharType="begin"/>
      </w:r>
      <w:r>
        <w:instrText xml:space="preserve"> PAGEREF _Toc18316 \h </w:instrText>
      </w:r>
      <w:r>
        <w:fldChar w:fldCharType="separate"/>
      </w:r>
      <w:r>
        <w:t>12</w:t>
      </w:r>
      <w:r>
        <w:fldChar w:fldCharType="end"/>
      </w:r>
      <w:r>
        <w:rPr>
          <w:rFonts w:hint="eastAsia" w:ascii="宋体" w:hAnsi="宋体" w:cs="宋体"/>
        </w:rPr>
        <w:fldChar w:fldCharType="end"/>
      </w:r>
    </w:p>
    <w:p w14:paraId="106CAA1E">
      <w:pPr>
        <w:pStyle w:val="16"/>
      </w:pPr>
      <w:r>
        <w:rPr>
          <w:rFonts w:hint="eastAsia" w:ascii="宋体" w:hAnsi="宋体" w:cs="宋体"/>
        </w:rPr>
        <w:fldChar w:fldCharType="begin"/>
      </w:r>
      <w:r>
        <w:rPr>
          <w:rFonts w:hint="eastAsia" w:ascii="宋体" w:hAnsi="宋体" w:cs="宋体"/>
        </w:rPr>
        <w:instrText xml:space="preserve"> HYPERLINK \l _Toc1101 </w:instrText>
      </w:r>
      <w:r>
        <w:rPr>
          <w:rFonts w:hint="eastAsia" w:ascii="宋体" w:hAnsi="宋体" w:cs="宋体"/>
        </w:rPr>
        <w:fldChar w:fldCharType="separate"/>
      </w:r>
      <w:r>
        <w:rPr>
          <w:rFonts w:hint="default"/>
          <w:lang w:eastAsia="zh-CN"/>
        </w:rPr>
        <w:t xml:space="preserve">2.6.2.2. </w:t>
      </w:r>
      <w:r>
        <w:rPr>
          <w:rFonts w:hint="eastAsia"/>
          <w:lang w:eastAsia="zh-CN"/>
        </w:rPr>
        <w:t>北院大门</w:t>
      </w:r>
      <w:r>
        <w:rPr>
          <w:rFonts w:hint="eastAsia"/>
          <w:lang w:val="en-US" w:eastAsia="zh-CN"/>
        </w:rPr>
        <w:t>效果图</w:t>
      </w:r>
      <w:r>
        <w:tab/>
      </w:r>
      <w:r>
        <w:fldChar w:fldCharType="begin"/>
      </w:r>
      <w:r>
        <w:instrText xml:space="preserve"> PAGEREF _Toc1101 \h </w:instrText>
      </w:r>
      <w:r>
        <w:fldChar w:fldCharType="separate"/>
      </w:r>
      <w:r>
        <w:t>13</w:t>
      </w:r>
      <w:r>
        <w:fldChar w:fldCharType="end"/>
      </w:r>
      <w:r>
        <w:rPr>
          <w:rFonts w:hint="eastAsia" w:ascii="宋体" w:hAnsi="宋体" w:cs="宋体"/>
        </w:rPr>
        <w:fldChar w:fldCharType="end"/>
      </w:r>
    </w:p>
    <w:p w14:paraId="23272A4B">
      <w:pPr>
        <w:pStyle w:val="16"/>
      </w:pPr>
      <w:r>
        <w:rPr>
          <w:rFonts w:hint="eastAsia" w:ascii="宋体" w:hAnsi="宋体" w:cs="宋体"/>
        </w:rPr>
        <w:fldChar w:fldCharType="begin"/>
      </w:r>
      <w:r>
        <w:rPr>
          <w:rFonts w:hint="eastAsia" w:ascii="宋体" w:hAnsi="宋体" w:cs="宋体"/>
        </w:rPr>
        <w:instrText xml:space="preserve"> HYPERLINK \l _Toc1934 </w:instrText>
      </w:r>
      <w:r>
        <w:rPr>
          <w:rFonts w:hint="eastAsia" w:ascii="宋体" w:hAnsi="宋体" w:cs="宋体"/>
        </w:rPr>
        <w:fldChar w:fldCharType="separate"/>
      </w:r>
      <w:r>
        <w:rPr>
          <w:rFonts w:hint="default"/>
          <w:lang w:eastAsia="zh-CN"/>
        </w:rPr>
        <w:t xml:space="preserve">2.6.2.3. </w:t>
      </w:r>
      <w:r>
        <w:rPr>
          <w:rFonts w:hint="eastAsia"/>
          <w:lang w:val="en-US" w:eastAsia="zh-CN"/>
        </w:rPr>
        <w:t>北</w:t>
      </w:r>
      <w:r>
        <w:rPr>
          <w:rFonts w:hint="eastAsia"/>
          <w:lang w:eastAsia="zh-CN"/>
        </w:rPr>
        <w:t>院北门</w:t>
      </w:r>
      <w:r>
        <w:rPr>
          <w:rFonts w:hint="eastAsia"/>
          <w:lang w:val="en-US" w:eastAsia="zh-CN"/>
        </w:rPr>
        <w:t>效果图</w:t>
      </w:r>
      <w:r>
        <w:tab/>
      </w:r>
      <w:r>
        <w:fldChar w:fldCharType="begin"/>
      </w:r>
      <w:r>
        <w:instrText xml:space="preserve"> PAGEREF _Toc1934 \h </w:instrText>
      </w:r>
      <w:r>
        <w:fldChar w:fldCharType="separate"/>
      </w:r>
      <w:r>
        <w:t>14</w:t>
      </w:r>
      <w:r>
        <w:fldChar w:fldCharType="end"/>
      </w:r>
      <w:r>
        <w:rPr>
          <w:rFonts w:hint="eastAsia" w:ascii="宋体" w:hAnsi="宋体" w:cs="宋体"/>
        </w:rPr>
        <w:fldChar w:fldCharType="end"/>
      </w:r>
    </w:p>
    <w:p w14:paraId="09F23220">
      <w:pPr>
        <w:pStyle w:val="16"/>
      </w:pPr>
      <w:r>
        <w:rPr>
          <w:rFonts w:hint="eastAsia" w:ascii="宋体" w:hAnsi="宋体" w:cs="宋体"/>
        </w:rPr>
        <w:fldChar w:fldCharType="begin"/>
      </w:r>
      <w:r>
        <w:rPr>
          <w:rFonts w:hint="eastAsia" w:ascii="宋体" w:hAnsi="宋体" w:cs="宋体"/>
        </w:rPr>
        <w:instrText xml:space="preserve"> HYPERLINK \l _Toc8819 </w:instrText>
      </w:r>
      <w:r>
        <w:rPr>
          <w:rFonts w:hint="eastAsia" w:ascii="宋体" w:hAnsi="宋体" w:cs="宋体"/>
        </w:rPr>
        <w:fldChar w:fldCharType="separate"/>
      </w:r>
      <w:r>
        <w:rPr>
          <w:rFonts w:hint="default"/>
          <w:lang w:eastAsia="zh-CN"/>
        </w:rPr>
        <w:t xml:space="preserve">2.6.2.4. </w:t>
      </w:r>
      <w:r>
        <w:rPr>
          <w:rFonts w:hint="eastAsia"/>
          <w:lang w:eastAsia="zh-CN"/>
        </w:rPr>
        <w:t>南院北门</w:t>
      </w:r>
      <w:r>
        <w:rPr>
          <w:rFonts w:hint="eastAsia"/>
          <w:lang w:val="en-US" w:eastAsia="zh-CN"/>
        </w:rPr>
        <w:t>效果图</w:t>
      </w:r>
      <w:r>
        <w:tab/>
      </w:r>
      <w:r>
        <w:fldChar w:fldCharType="begin"/>
      </w:r>
      <w:r>
        <w:instrText xml:space="preserve"> PAGEREF _Toc8819 \h </w:instrText>
      </w:r>
      <w:r>
        <w:fldChar w:fldCharType="separate"/>
      </w:r>
      <w:r>
        <w:t>15</w:t>
      </w:r>
      <w:r>
        <w:fldChar w:fldCharType="end"/>
      </w:r>
      <w:r>
        <w:rPr>
          <w:rFonts w:hint="eastAsia" w:ascii="宋体" w:hAnsi="宋体" w:cs="宋体"/>
        </w:rPr>
        <w:fldChar w:fldCharType="end"/>
      </w:r>
    </w:p>
    <w:p w14:paraId="066D9ED0">
      <w:pPr>
        <w:pStyle w:val="16"/>
      </w:pPr>
      <w:r>
        <w:rPr>
          <w:rFonts w:hint="eastAsia" w:ascii="宋体" w:hAnsi="宋体" w:cs="宋体"/>
        </w:rPr>
        <w:fldChar w:fldCharType="begin"/>
      </w:r>
      <w:r>
        <w:rPr>
          <w:rFonts w:hint="eastAsia" w:ascii="宋体" w:hAnsi="宋体" w:cs="宋体"/>
        </w:rPr>
        <w:instrText xml:space="preserve"> HYPERLINK \l _Toc12346 </w:instrText>
      </w:r>
      <w:r>
        <w:rPr>
          <w:rFonts w:hint="eastAsia" w:ascii="宋体" w:hAnsi="宋体" w:cs="宋体"/>
        </w:rPr>
        <w:fldChar w:fldCharType="separate"/>
      </w:r>
      <w:r>
        <w:rPr>
          <w:rFonts w:hint="default"/>
          <w:lang w:eastAsia="zh-CN"/>
        </w:rPr>
        <w:t xml:space="preserve">2.6.2.5. </w:t>
      </w:r>
      <w:r>
        <w:rPr>
          <w:rFonts w:hint="eastAsia"/>
          <w:lang w:eastAsia="zh-CN"/>
        </w:rPr>
        <w:t>南院西门</w:t>
      </w:r>
      <w:r>
        <w:rPr>
          <w:rFonts w:hint="eastAsia"/>
          <w:lang w:val="en-US" w:eastAsia="zh-CN"/>
        </w:rPr>
        <w:t>效果图</w:t>
      </w:r>
      <w:r>
        <w:tab/>
      </w:r>
      <w:r>
        <w:fldChar w:fldCharType="begin"/>
      </w:r>
      <w:r>
        <w:instrText xml:space="preserve"> PAGEREF _Toc12346 \h </w:instrText>
      </w:r>
      <w:r>
        <w:fldChar w:fldCharType="separate"/>
      </w:r>
      <w:r>
        <w:t>16</w:t>
      </w:r>
      <w:r>
        <w:fldChar w:fldCharType="end"/>
      </w:r>
      <w:r>
        <w:rPr>
          <w:rFonts w:hint="eastAsia" w:ascii="宋体" w:hAnsi="宋体" w:cs="宋体"/>
        </w:rPr>
        <w:fldChar w:fldCharType="end"/>
      </w:r>
    </w:p>
    <w:p w14:paraId="6B3A77B9">
      <w:pPr>
        <w:pStyle w:val="2"/>
        <w:spacing w:line="360" w:lineRule="exact"/>
        <w:rPr>
          <w:rFonts w:ascii="宋体" w:hAnsi="宋体" w:cs="宋体"/>
        </w:rPr>
        <w:sectPr>
          <w:pgSz w:w="11906" w:h="16838"/>
          <w:pgMar w:top="1417" w:right="1417" w:bottom="1417" w:left="1417" w:header="851" w:footer="992" w:gutter="0"/>
          <w:cols w:space="425" w:num="1"/>
          <w:docGrid w:type="lines" w:linePitch="312" w:charSpace="0"/>
        </w:sectPr>
      </w:pPr>
      <w:r>
        <w:rPr>
          <w:rFonts w:hint="eastAsia" w:ascii="宋体" w:hAnsi="宋体" w:cs="宋体"/>
        </w:rPr>
        <w:fldChar w:fldCharType="end"/>
      </w:r>
    </w:p>
    <w:p w14:paraId="7F200BB2">
      <w:pPr>
        <w:pStyle w:val="3"/>
        <w:rPr>
          <w:rFonts w:ascii="宋体" w:hAnsi="宋体" w:cs="宋体"/>
        </w:rPr>
        <w:sectPr>
          <w:footerReference r:id="rId5" w:type="default"/>
          <w:type w:val="continuous"/>
          <w:pgSz w:w="11906" w:h="16838"/>
          <w:pgMar w:top="1417" w:right="1417" w:bottom="1417" w:left="1417" w:header="851" w:footer="992" w:gutter="0"/>
          <w:pgNumType w:fmt="decimal"/>
          <w:cols w:space="425" w:num="1"/>
          <w:docGrid w:type="lines" w:linePitch="312" w:charSpace="0"/>
        </w:sectPr>
      </w:pPr>
    </w:p>
    <w:p w14:paraId="094A3E60">
      <w:pPr>
        <w:pStyle w:val="3"/>
        <w:rPr>
          <w:rFonts w:ascii="宋体" w:hAnsi="宋体" w:cs="宋体"/>
        </w:rPr>
      </w:pPr>
      <w:bookmarkStart w:id="0" w:name="_Toc11825"/>
      <w:r>
        <w:rPr>
          <w:rFonts w:hint="eastAsia" w:ascii="宋体" w:hAnsi="宋体" w:cs="宋体"/>
        </w:rPr>
        <w:t>项目背景</w:t>
      </w:r>
      <w:bookmarkEnd w:id="0"/>
    </w:p>
    <w:p w14:paraId="548C6A0A">
      <w:r>
        <w:rPr>
          <w:rFonts w:hint="eastAsia"/>
        </w:rPr>
        <w:t>中山大学孙逸仙纪念医院（中山大学附属第二医院）为国家卫生健康委属（管）医院，创建于1835年，是我国第一家西医医院，中国西医学和西医教育的发源地，至今已有189年历史。伟大的革命先驱孙中山先生曾以“逸仙”之名在此学医并从事革命运动。医院屡创祖国西医史上多个第一，如：第一例眼疾手术、卵巢切除术、膀胱取石术、乙醚麻醉术、病理解剖术，第一张X光片，第一本中国医学杂志，第一间西医学堂，第一位中国医学留学生等。解放后，一批全国著名的医学家、医学教育家如林树模、陈耀真、谢志光、钟世藩、秦光煜、陈心陶、周寿恺、毛文书、陈国桢等投身这里，培养了大批医学人才，使其成为祖国西医学的人才摇篮，为中国医学事业作出了巨大的贡献。</w:t>
      </w:r>
    </w:p>
    <w:p w14:paraId="2DFA3166">
      <w:pPr>
        <w:ind w:firstLine="480"/>
        <w:rPr>
          <w:rFonts w:hint="eastAsia" w:ascii="宋体" w:hAnsi="宋体" w:cs="宋体"/>
        </w:rPr>
      </w:pPr>
      <w:r>
        <w:rPr>
          <w:rFonts w:hint="eastAsia" w:ascii="宋体" w:hAnsi="宋体" w:cs="宋体"/>
        </w:rPr>
        <w:t>近年来</w:t>
      </w:r>
      <w:r>
        <w:rPr>
          <w:rFonts w:hint="eastAsia" w:ascii="宋体" w:hAnsi="宋体" w:cs="宋体"/>
          <w:lang w:val="en-US" w:eastAsia="zh-CN"/>
        </w:rPr>
        <w:t>随</w:t>
      </w:r>
      <w:r>
        <w:rPr>
          <w:rFonts w:hint="eastAsia" w:ascii="宋体" w:hAnsi="宋体" w:cs="宋体"/>
        </w:rPr>
        <w:t>着经济的展开，人们的安全防范认识也越来越高，</w:t>
      </w:r>
      <w:r>
        <w:rPr>
          <w:rFonts w:hint="eastAsia" w:ascii="宋体" w:hAnsi="宋体" w:cs="宋体"/>
          <w:lang w:val="en-US" w:eastAsia="zh-CN"/>
        </w:rPr>
        <w:t>医院</w:t>
      </w:r>
      <w:r>
        <w:rPr>
          <w:rFonts w:hint="eastAsia" w:ascii="宋体" w:hAnsi="宋体" w:cs="宋体"/>
        </w:rPr>
        <w:t>出入口人流日渐增多，导致出入口经常性堵塞，车流量过大，给</w:t>
      </w:r>
      <w:r>
        <w:rPr>
          <w:rFonts w:hint="eastAsia" w:ascii="宋体" w:hAnsi="宋体" w:cs="宋体"/>
          <w:lang w:val="en-US" w:eastAsia="zh-CN"/>
        </w:rPr>
        <w:t>医院门口</w:t>
      </w:r>
      <w:r>
        <w:rPr>
          <w:rFonts w:hint="eastAsia" w:ascii="宋体" w:hAnsi="宋体" w:cs="宋体"/>
        </w:rPr>
        <w:t>区域带来了严重安全压力</w:t>
      </w:r>
      <w:r>
        <w:rPr>
          <w:rFonts w:hint="eastAsia" w:ascii="宋体" w:hAnsi="宋体" w:cs="宋体"/>
          <w:lang w:eastAsia="zh-CN"/>
        </w:rPr>
        <w:t>，</w:t>
      </w:r>
      <w:r>
        <w:rPr>
          <w:rFonts w:hint="eastAsia" w:ascii="宋体" w:hAnsi="宋体" w:cs="宋体"/>
        </w:rPr>
        <w:t>特别是中国进入轿车时期，如何防范轿车撞击事情变得颇为重要。</w:t>
      </w:r>
    </w:p>
    <w:p w14:paraId="1B858818">
      <w:pPr>
        <w:ind w:firstLine="480"/>
        <w:rPr>
          <w:rFonts w:hint="eastAsia" w:ascii="宋体" w:hAnsi="宋体" w:cs="宋体"/>
        </w:rPr>
      </w:pPr>
      <w:r>
        <w:rPr>
          <w:rFonts w:hint="eastAsia"/>
        </w:rPr>
        <w:t>然而，目前不少</w:t>
      </w:r>
      <w:r>
        <w:rPr>
          <w:rFonts w:hint="eastAsia"/>
          <w:lang w:val="en-US" w:eastAsia="zh-CN"/>
        </w:rPr>
        <w:t>医院</w:t>
      </w:r>
      <w:r>
        <w:rPr>
          <w:rFonts w:hint="eastAsia"/>
        </w:rPr>
        <w:t>的周界、出入口普遍存在“人车不分流”、“区域不隔离”、“拦截管制能力差”的问题。大多</w:t>
      </w:r>
      <w:r>
        <w:rPr>
          <w:rFonts w:hint="eastAsia"/>
          <w:lang w:val="en-US" w:eastAsia="zh-CN"/>
        </w:rPr>
        <w:t>医院</w:t>
      </w:r>
      <w:r>
        <w:rPr>
          <w:rFonts w:hint="eastAsia"/>
        </w:rPr>
        <w:t>通道口用伸缩门或道闸进行车辆的日常管制，防撞设备基本以警示为主，在面临车辆失控，甚至恶性冲撞时，不能及时响应与强制阻截，具有较高的安防隐患。</w:t>
      </w:r>
      <w:r>
        <w:rPr>
          <w:rFonts w:hint="eastAsia" w:ascii="宋体" w:hAnsi="宋体" w:cs="宋体"/>
          <w:lang w:val="en-US" w:eastAsia="zh-CN"/>
        </w:rPr>
        <w:t>医院</w:t>
      </w:r>
      <w:r>
        <w:rPr>
          <w:rFonts w:hint="eastAsia" w:ascii="宋体" w:hAnsi="宋体" w:cs="宋体"/>
        </w:rPr>
        <w:t>主要通道路口设计的伸缩门等设备并不具有实际意义上的车辆防冲撞功能，急需对现有的出入口进行防冲撞设施升级设计，以便有效阻截车辆对附近行人和设施的恶意冲撞，尽可能避免极端暴力冲撞事件的发生。根据目前周界出入口大致情况，制定了在</w:t>
      </w:r>
      <w:r>
        <w:rPr>
          <w:rFonts w:hint="eastAsia" w:ascii="宋体" w:hAnsi="宋体" w:cs="宋体"/>
          <w:lang w:val="en-US" w:eastAsia="zh-CN"/>
        </w:rPr>
        <w:t>医院</w:t>
      </w:r>
      <w:r>
        <w:rPr>
          <w:rFonts w:hint="eastAsia" w:ascii="宋体" w:hAnsi="宋体" w:cs="宋体"/>
        </w:rPr>
        <w:t>周界出入口安装升降路桩隔离物防设备设计方案。</w:t>
      </w:r>
    </w:p>
    <w:p w14:paraId="47225787">
      <w:pPr>
        <w:bidi w:val="0"/>
      </w:pPr>
      <w:r>
        <w:rPr>
          <w:rFonts w:hint="eastAsia"/>
          <w:lang w:val="en-US" w:eastAsia="zh-CN"/>
        </w:rPr>
        <w:t>反恐防撞升降柱由预埋箱体、护柱、操控系统等组成，合适装置在敏感地址的安防及出入口，操控</w:t>
      </w:r>
      <w:r>
        <w:rPr>
          <w:rFonts w:hint="eastAsia"/>
        </w:rPr>
        <w:t>行人区域和城市交通，平常护柱呈收缩状态，不影响正常通行，通过对过往车辆的限制，</w:t>
      </w:r>
      <w:r>
        <w:rPr>
          <w:rFonts w:hint="eastAsia"/>
          <w:lang w:val="en-US" w:eastAsia="zh-CN"/>
        </w:rPr>
        <w:t>能</w:t>
      </w:r>
      <w:r>
        <w:rPr>
          <w:rFonts w:hint="eastAsia"/>
        </w:rPr>
        <w:t>有</w:t>
      </w:r>
      <w:r>
        <w:rPr>
          <w:rFonts w:hint="eastAsia"/>
          <w:lang w:val="en-US" w:eastAsia="zh-CN"/>
        </w:rPr>
        <w:t>效</w:t>
      </w:r>
      <w:r>
        <w:rPr>
          <w:rFonts w:hint="eastAsia"/>
        </w:rPr>
        <w:t>避免车辆强行冲卡的意图</w:t>
      </w:r>
      <w:r>
        <w:rPr>
          <w:rFonts w:hint="eastAsia"/>
          <w:lang w:eastAsia="zh-CN"/>
        </w:rPr>
        <w:t>，</w:t>
      </w:r>
      <w:r>
        <w:rPr>
          <w:rFonts w:hint="eastAsia"/>
          <w:lang w:val="en-US" w:eastAsia="zh-CN"/>
        </w:rPr>
        <w:t>并</w:t>
      </w:r>
      <w:r>
        <w:rPr>
          <w:rFonts w:hint="eastAsia"/>
        </w:rPr>
        <w:t>确保主要设备和场所的安全。装置反恐防撞升降柱，操控方法可电动、遥控或刷卡等方法操控升降，有</w:t>
      </w:r>
      <w:r>
        <w:rPr>
          <w:rFonts w:hint="eastAsia"/>
          <w:lang w:val="en-US" w:eastAsia="zh-CN"/>
        </w:rPr>
        <w:t>效</w:t>
      </w:r>
      <w:r>
        <w:rPr>
          <w:rFonts w:hint="eastAsia"/>
        </w:rPr>
        <w:t>阻挠外</w:t>
      </w:r>
      <w:r>
        <w:rPr>
          <w:rFonts w:hint="eastAsia"/>
          <w:lang w:val="en-US" w:eastAsia="zh-CN"/>
        </w:rPr>
        <w:t>来</w:t>
      </w:r>
      <w:r>
        <w:rPr>
          <w:rFonts w:hint="eastAsia"/>
        </w:rPr>
        <w:t>单位车辆进入和不法车辆闯入。</w:t>
      </w:r>
    </w:p>
    <w:p w14:paraId="04530C8F">
      <w:pPr>
        <w:pStyle w:val="3"/>
        <w:rPr>
          <w:rFonts w:ascii="宋体" w:hAnsi="宋体" w:cs="宋体"/>
        </w:rPr>
      </w:pPr>
      <w:bookmarkStart w:id="1" w:name="_Toc2165"/>
      <w:r>
        <w:rPr>
          <w:rFonts w:hint="eastAsia" w:ascii="宋体" w:hAnsi="宋体" w:cs="宋体"/>
        </w:rPr>
        <w:t>设计方案</w:t>
      </w:r>
      <w:bookmarkEnd w:id="1"/>
    </w:p>
    <w:p w14:paraId="0156F9BF">
      <w:pPr>
        <w:pStyle w:val="4"/>
        <w:rPr>
          <w:rFonts w:ascii="宋体" w:hAnsi="宋体" w:cs="宋体"/>
        </w:rPr>
      </w:pPr>
      <w:bookmarkStart w:id="2" w:name="_Toc21009"/>
      <w:r>
        <w:rPr>
          <w:rFonts w:hint="eastAsia" w:ascii="宋体" w:hAnsi="宋体" w:cs="宋体"/>
        </w:rPr>
        <w:t>系统组成</w:t>
      </w:r>
      <w:bookmarkEnd w:id="2"/>
    </w:p>
    <w:p w14:paraId="416EDCCC">
      <w:pPr>
        <w:numPr>
          <w:ilvl w:val="0"/>
          <w:numId w:val="2"/>
        </w:numPr>
        <w:ind w:firstLineChars="0"/>
        <w:rPr>
          <w:rFonts w:ascii="宋体" w:hAnsi="宋体" w:cs="宋体"/>
        </w:rPr>
      </w:pPr>
      <w:r>
        <w:rPr>
          <w:rFonts w:hint="eastAsia" w:ascii="宋体" w:hAnsi="宋体" w:cs="宋体"/>
        </w:rPr>
        <w:t>升降柱——采用国际领先的低压液压驱动技术，整个系统安全性高，可靠稳定，安装在道路中，可为1根或者多根。</w:t>
      </w:r>
    </w:p>
    <w:p w14:paraId="637792F2">
      <w:pPr>
        <w:numPr>
          <w:ilvl w:val="0"/>
          <w:numId w:val="2"/>
        </w:numPr>
        <w:ind w:firstLineChars="0"/>
        <w:rPr>
          <w:rFonts w:ascii="宋体" w:hAnsi="宋体" w:cs="宋体"/>
        </w:rPr>
      </w:pPr>
      <w:r>
        <w:rPr>
          <w:rFonts w:hint="eastAsia" w:ascii="宋体" w:hAnsi="宋体" w:cs="宋体"/>
        </w:rPr>
        <w:t>控制系统——采取PLC控制，支持外接开关设备，与道闸等其它设备进行联动控制，也可以与其他控制设备组合。</w:t>
      </w:r>
    </w:p>
    <w:p w14:paraId="54BA65EE">
      <w:pPr>
        <w:numPr>
          <w:ilvl w:val="0"/>
          <w:numId w:val="2"/>
        </w:numPr>
        <w:ind w:firstLineChars="0"/>
        <w:rPr>
          <w:rFonts w:ascii="宋体" w:hAnsi="宋体" w:cs="宋体"/>
        </w:rPr>
      </w:pPr>
      <w:r>
        <w:rPr>
          <w:rFonts w:hint="eastAsia" w:ascii="宋体" w:hAnsi="宋体" w:cs="宋体"/>
        </w:rPr>
        <w:t>遥控器——通过无线遥控的方式，可在控制器周围30米范围内。</w:t>
      </w:r>
    </w:p>
    <w:p w14:paraId="02226A00">
      <w:pPr>
        <w:pStyle w:val="4"/>
        <w:rPr>
          <w:rFonts w:ascii="宋体" w:hAnsi="宋体" w:cs="宋体"/>
        </w:rPr>
      </w:pPr>
      <w:bookmarkStart w:id="3" w:name="_Toc16437"/>
      <w:r>
        <w:rPr>
          <w:rFonts w:hint="eastAsia" w:ascii="宋体" w:hAnsi="宋体" w:cs="宋体"/>
        </w:rPr>
        <w:t>升降柱简介</w:t>
      </w:r>
      <w:bookmarkEnd w:id="3"/>
    </w:p>
    <w:p w14:paraId="7140B8A3">
      <w:pPr>
        <w:ind w:firstLine="480"/>
        <w:rPr>
          <w:rFonts w:ascii="宋体" w:hAnsi="宋体" w:cs="宋体"/>
        </w:rPr>
      </w:pPr>
      <w:r>
        <w:rPr>
          <w:rFonts w:hint="eastAsia" w:ascii="宋体" w:hAnsi="宋体" w:cs="宋体"/>
        </w:rPr>
        <w:t>全自动升降柱(本文简称升降柱)，采用国际领先的低压液压驱动技术，整个系统安全性高，可靠稳定。系统采取PLC控制，系统运行性能稳定可靠，便于集成。系统是采用微型电机通过一个集成阀件的连接块与齿轮泵和油箱连接，然后与一体化液压缸装配而构成一个完整的微型液压系统，通过结构件将该系统安装于路障主体的内部，完成了电能→机械能→液压能的完整转化过程，真正实现了微型机、电、液一体化。升降柱升降时间不大于5秒，并具有良好的温度适应性能，系统配以停电应急装置，在停电的情况下或出现故障时，如升降柱处于升起状态需要下降时，可以通过储备电量操作将升起的柱子回落到与地水平位置以让车辆通行。控制方式灵活机动，除常规的遥控器控制外，还可通过按钮线控/车牌识别/蓝牙感应/手机APP远程控制等控制。</w:t>
      </w:r>
    </w:p>
    <w:p w14:paraId="5B114F07">
      <w:pPr>
        <w:pStyle w:val="4"/>
        <w:rPr>
          <w:rFonts w:ascii="宋体" w:hAnsi="宋体" w:cs="宋体"/>
        </w:rPr>
      </w:pPr>
      <w:bookmarkStart w:id="4" w:name="_Toc22604"/>
      <w:r>
        <w:rPr>
          <w:rFonts w:hint="eastAsia" w:ascii="宋体" w:hAnsi="宋体" w:cs="宋体"/>
        </w:rPr>
        <w:t>产品展示</w:t>
      </w:r>
      <w:bookmarkEnd w:id="4"/>
    </w:p>
    <w:p w14:paraId="64C96A04">
      <w:pPr>
        <w:ind w:firstLine="0" w:firstLineChars="0"/>
        <w:jc w:val="center"/>
        <w:rPr>
          <w:rFonts w:ascii="宋体" w:hAnsi="宋体" w:cs="宋体"/>
        </w:rPr>
      </w:pPr>
      <w:r>
        <w:rPr>
          <w:rFonts w:hint="eastAsia" w:ascii="宋体" w:hAnsi="宋体" w:cs="宋体"/>
        </w:rPr>
        <w:drawing>
          <wp:inline distT="0" distB="0" distL="114300" distR="114300">
            <wp:extent cx="4410710" cy="4543425"/>
            <wp:effectExtent l="12700" t="12700" r="15240" b="15875"/>
            <wp:docPr id="2" name="图片 2" descr="C:\Users\admin\Desktop\图片1副本.png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图片1副本.png图片1副本"/>
                    <pic:cNvPicPr>
                      <a:picLocks noChangeAspect="1"/>
                    </pic:cNvPicPr>
                  </pic:nvPicPr>
                  <pic:blipFill>
                    <a:blip r:embed="rId9"/>
                    <a:srcRect/>
                    <a:stretch>
                      <a:fillRect/>
                    </a:stretch>
                  </pic:blipFill>
                  <pic:spPr>
                    <a:xfrm>
                      <a:off x="0" y="0"/>
                      <a:ext cx="4410710" cy="4543425"/>
                    </a:xfrm>
                    <a:prstGeom prst="rect">
                      <a:avLst/>
                    </a:prstGeom>
                    <a:noFill/>
                    <a:ln w="12700" cmpd="sng">
                      <a:solidFill>
                        <a:schemeClr val="tx1"/>
                      </a:solidFill>
                      <a:prstDash val="solid"/>
                    </a:ln>
                  </pic:spPr>
                </pic:pic>
              </a:graphicData>
            </a:graphic>
          </wp:inline>
        </w:drawing>
      </w:r>
      <w:r>
        <w:rPr>
          <w:rFonts w:hint="eastAsia" w:ascii="宋体" w:hAnsi="宋体" w:cs="宋体"/>
        </w:rPr>
        <w:drawing>
          <wp:inline distT="0" distB="0" distL="114300" distR="114300">
            <wp:extent cx="5703570" cy="5155565"/>
            <wp:effectExtent l="0" t="0" r="11430" b="6985"/>
            <wp:docPr id="3" name="图片 3" descr="C:\Users\admin\Desktop\图片1.jp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图片1.jpg图片1"/>
                    <pic:cNvPicPr>
                      <a:picLocks noChangeAspect="1"/>
                    </pic:cNvPicPr>
                  </pic:nvPicPr>
                  <pic:blipFill>
                    <a:blip r:embed="rId10"/>
                    <a:srcRect t="6247" b="5993"/>
                    <a:stretch>
                      <a:fillRect/>
                    </a:stretch>
                  </pic:blipFill>
                  <pic:spPr>
                    <a:xfrm>
                      <a:off x="0" y="0"/>
                      <a:ext cx="5703570" cy="5155565"/>
                    </a:xfrm>
                    <a:prstGeom prst="rect">
                      <a:avLst/>
                    </a:prstGeom>
                    <a:noFill/>
                    <a:ln>
                      <a:noFill/>
                    </a:ln>
                  </pic:spPr>
                </pic:pic>
              </a:graphicData>
            </a:graphic>
          </wp:inline>
        </w:drawing>
      </w:r>
    </w:p>
    <w:p w14:paraId="0BD736F1">
      <w:pPr>
        <w:ind w:firstLine="0" w:firstLineChars="0"/>
        <w:jc w:val="center"/>
        <w:rPr>
          <w:rFonts w:ascii="宋体" w:hAnsi="宋体" w:cs="宋体"/>
        </w:rPr>
      </w:pPr>
      <w:r>
        <w:rPr>
          <w:rFonts w:hint="eastAsia" w:ascii="宋体" w:hAnsi="宋体" w:cs="宋体"/>
        </w:rPr>
        <w:drawing>
          <wp:inline distT="0" distB="0" distL="114300" distR="114300">
            <wp:extent cx="2983230" cy="2879725"/>
            <wp:effectExtent l="0" t="0" r="7620" b="15875"/>
            <wp:docPr id="36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9" name="图片 1"/>
                    <pic:cNvPicPr>
                      <a:picLocks noChangeAspect="1"/>
                    </pic:cNvPicPr>
                  </pic:nvPicPr>
                  <pic:blipFill>
                    <a:blip r:embed="rId11"/>
                    <a:stretch>
                      <a:fillRect/>
                    </a:stretch>
                  </pic:blipFill>
                  <pic:spPr>
                    <a:xfrm>
                      <a:off x="0" y="0"/>
                      <a:ext cx="2983230" cy="2879725"/>
                    </a:xfrm>
                    <a:prstGeom prst="rect">
                      <a:avLst/>
                    </a:prstGeom>
                    <a:noFill/>
                    <a:ln w="9525">
                      <a:noFill/>
                    </a:ln>
                  </pic:spPr>
                </pic:pic>
              </a:graphicData>
            </a:graphic>
          </wp:inline>
        </w:drawing>
      </w:r>
      <w:r>
        <w:rPr>
          <w:rFonts w:hint="eastAsia" w:ascii="宋体" w:hAnsi="宋体" w:cs="宋体"/>
        </w:rPr>
        <w:drawing>
          <wp:inline distT="0" distB="0" distL="114300" distR="114300">
            <wp:extent cx="2715260" cy="2879725"/>
            <wp:effectExtent l="0" t="0" r="8890" b="15875"/>
            <wp:docPr id="367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4" name="图片 3"/>
                    <pic:cNvPicPr>
                      <a:picLocks noChangeAspect="1"/>
                    </pic:cNvPicPr>
                  </pic:nvPicPr>
                  <pic:blipFill>
                    <a:blip r:embed="rId12"/>
                    <a:stretch>
                      <a:fillRect/>
                    </a:stretch>
                  </pic:blipFill>
                  <pic:spPr>
                    <a:xfrm>
                      <a:off x="0" y="0"/>
                      <a:ext cx="2715260" cy="2879725"/>
                    </a:xfrm>
                    <a:prstGeom prst="rect">
                      <a:avLst/>
                    </a:prstGeom>
                    <a:noFill/>
                    <a:ln w="9525">
                      <a:noFill/>
                    </a:ln>
                  </pic:spPr>
                </pic:pic>
              </a:graphicData>
            </a:graphic>
          </wp:inline>
        </w:drawing>
      </w:r>
    </w:p>
    <w:p w14:paraId="22F94CCA">
      <w:pPr>
        <w:pStyle w:val="4"/>
        <w:rPr>
          <w:rFonts w:ascii="宋体" w:hAnsi="宋体" w:cs="宋体"/>
        </w:rPr>
      </w:pPr>
      <w:bookmarkStart w:id="5" w:name="_Toc24114"/>
      <w:r>
        <w:rPr>
          <w:rFonts w:hint="eastAsia" w:ascii="宋体" w:hAnsi="宋体" w:cs="宋体"/>
        </w:rPr>
        <w:t>产品参数与特点介绍</w:t>
      </w:r>
      <w:bookmarkEnd w:id="5"/>
    </w:p>
    <w:p w14:paraId="2CBE8F47">
      <w:pPr>
        <w:pStyle w:val="5"/>
        <w:rPr>
          <w:rFonts w:ascii="宋体" w:hAnsi="宋体" w:cs="宋体"/>
        </w:rPr>
      </w:pPr>
      <w:bookmarkStart w:id="6" w:name="_Toc16625"/>
      <w:r>
        <w:rPr>
          <w:rFonts w:hint="eastAsia" w:ascii="宋体" w:hAnsi="宋体" w:cs="宋体"/>
        </w:rPr>
        <w:t>全自动升降柱</w:t>
      </w:r>
      <w:bookmarkEnd w:id="6"/>
    </w:p>
    <w:p w14:paraId="3155BDB8">
      <w:pPr>
        <w:ind w:firstLine="480"/>
        <w:rPr>
          <w:rFonts w:ascii="宋体" w:hAnsi="宋体" w:cs="宋体"/>
        </w:rPr>
      </w:pPr>
      <w:r>
        <w:rPr>
          <w:rFonts w:hint="eastAsia" w:ascii="宋体" w:hAnsi="宋体" w:cs="宋体"/>
        </w:rPr>
        <w:t>1、技术参数：</w:t>
      </w:r>
    </w:p>
    <w:p w14:paraId="71151980">
      <w:pPr>
        <w:numPr>
          <w:ilvl w:val="0"/>
          <w:numId w:val="3"/>
        </w:numPr>
        <w:ind w:firstLineChars="0"/>
        <w:rPr>
          <w:rFonts w:hint="eastAsia" w:ascii="宋体" w:hAnsi="宋体" w:cs="宋体"/>
        </w:rPr>
      </w:pPr>
      <w:r>
        <w:rPr>
          <w:rFonts w:hint="eastAsia" w:ascii="宋体" w:hAnsi="宋体" w:cs="宋体"/>
        </w:rPr>
        <w:t>柱体材质：SUS304不锈钢</w:t>
      </w:r>
    </w:p>
    <w:p w14:paraId="0E01D13F">
      <w:pPr>
        <w:numPr>
          <w:ilvl w:val="0"/>
          <w:numId w:val="3"/>
        </w:numPr>
        <w:ind w:firstLineChars="0"/>
        <w:rPr>
          <w:rFonts w:hint="eastAsia" w:ascii="宋体" w:hAnsi="宋体" w:cs="宋体"/>
        </w:rPr>
      </w:pPr>
      <w:r>
        <w:rPr>
          <w:rFonts w:hint="eastAsia" w:ascii="宋体" w:hAnsi="宋体" w:cs="宋体"/>
        </w:rPr>
        <w:t>柱体厚度：6MM</w:t>
      </w:r>
    </w:p>
    <w:p w14:paraId="61A3B3E9">
      <w:pPr>
        <w:numPr>
          <w:ilvl w:val="0"/>
          <w:numId w:val="3"/>
        </w:numPr>
        <w:ind w:firstLineChars="0"/>
        <w:rPr>
          <w:rFonts w:hint="eastAsia" w:ascii="宋体" w:hAnsi="宋体" w:cs="宋体"/>
        </w:rPr>
      </w:pPr>
      <w:r>
        <w:rPr>
          <w:rFonts w:hint="eastAsia" w:ascii="宋体" w:hAnsi="宋体" w:cs="宋体"/>
        </w:rPr>
        <w:t>柱体直径：219mm</w:t>
      </w:r>
    </w:p>
    <w:p w14:paraId="7A54F100">
      <w:pPr>
        <w:numPr>
          <w:ilvl w:val="0"/>
          <w:numId w:val="3"/>
        </w:numPr>
        <w:ind w:firstLineChars="0"/>
        <w:rPr>
          <w:rFonts w:hint="eastAsia" w:ascii="宋体" w:hAnsi="宋体" w:cs="宋体"/>
        </w:rPr>
      </w:pPr>
      <w:r>
        <w:rPr>
          <w:rFonts w:hint="eastAsia" w:ascii="宋体" w:hAnsi="宋体" w:cs="宋体"/>
        </w:rPr>
        <w:t>升起高度：600MM</w:t>
      </w:r>
    </w:p>
    <w:p w14:paraId="6FBD0E03">
      <w:pPr>
        <w:numPr>
          <w:ilvl w:val="0"/>
          <w:numId w:val="3"/>
        </w:numPr>
        <w:ind w:firstLineChars="0"/>
        <w:rPr>
          <w:rFonts w:hint="eastAsia" w:ascii="宋体" w:hAnsi="宋体" w:cs="宋体"/>
        </w:rPr>
      </w:pPr>
      <w:r>
        <w:rPr>
          <w:rFonts w:hint="eastAsia" w:ascii="宋体" w:hAnsi="宋体" w:cs="宋体"/>
        </w:rPr>
        <w:t>驱动方式：一体式驱动</w:t>
      </w:r>
    </w:p>
    <w:p w14:paraId="54045B94">
      <w:pPr>
        <w:numPr>
          <w:ilvl w:val="0"/>
          <w:numId w:val="3"/>
        </w:numPr>
        <w:ind w:firstLineChars="0"/>
        <w:rPr>
          <w:rFonts w:hint="eastAsia" w:ascii="宋体" w:hAnsi="宋体" w:cs="宋体"/>
        </w:rPr>
      </w:pPr>
      <w:r>
        <w:rPr>
          <w:rFonts w:hint="eastAsia" w:ascii="宋体" w:hAnsi="宋体" w:cs="宋体"/>
        </w:rPr>
        <w:t>输入电压：AC220V</w:t>
      </w:r>
    </w:p>
    <w:p w14:paraId="2153292B">
      <w:pPr>
        <w:numPr>
          <w:ilvl w:val="0"/>
          <w:numId w:val="3"/>
        </w:numPr>
        <w:ind w:firstLineChars="0"/>
        <w:rPr>
          <w:rFonts w:hint="eastAsia" w:ascii="宋体" w:hAnsi="宋体" w:cs="宋体"/>
        </w:rPr>
      </w:pPr>
      <w:r>
        <w:rPr>
          <w:rFonts w:hint="eastAsia" w:ascii="宋体" w:hAnsi="宋体" w:cs="宋体"/>
        </w:rPr>
        <w:t>机芯功率：300W</w:t>
      </w:r>
    </w:p>
    <w:p w14:paraId="773361E4">
      <w:pPr>
        <w:numPr>
          <w:ilvl w:val="0"/>
          <w:numId w:val="3"/>
        </w:numPr>
        <w:ind w:firstLineChars="0"/>
        <w:rPr>
          <w:rFonts w:hint="eastAsia" w:ascii="宋体" w:hAnsi="宋体" w:cs="宋体"/>
        </w:rPr>
      </w:pPr>
      <w:r>
        <w:rPr>
          <w:rFonts w:hint="eastAsia" w:ascii="宋体" w:hAnsi="宋体" w:cs="宋体"/>
        </w:rPr>
        <w:t>控制方式：遥控器/按钮线控/车牌识别/蓝牙感应/手机APP远程控制（可选）</w:t>
      </w:r>
    </w:p>
    <w:p w14:paraId="4BE432A2">
      <w:pPr>
        <w:numPr>
          <w:ilvl w:val="0"/>
          <w:numId w:val="3"/>
        </w:numPr>
        <w:ind w:firstLineChars="0"/>
        <w:rPr>
          <w:rFonts w:hint="eastAsia" w:ascii="宋体" w:hAnsi="宋体" w:cs="宋体"/>
        </w:rPr>
      </w:pPr>
      <w:r>
        <w:rPr>
          <w:rFonts w:hint="eastAsia" w:ascii="宋体" w:hAnsi="宋体" w:cs="宋体"/>
        </w:rPr>
        <w:t>环境温度：-30~+70度</w:t>
      </w:r>
    </w:p>
    <w:p w14:paraId="54B09C0C">
      <w:pPr>
        <w:numPr>
          <w:ilvl w:val="0"/>
          <w:numId w:val="3"/>
        </w:numPr>
        <w:ind w:firstLineChars="0"/>
        <w:rPr>
          <w:rFonts w:hint="eastAsia" w:ascii="宋体" w:hAnsi="宋体" w:cs="宋体"/>
        </w:rPr>
      </w:pPr>
      <w:r>
        <w:rPr>
          <w:rFonts w:hint="eastAsia" w:ascii="宋体" w:hAnsi="宋体" w:cs="宋体"/>
        </w:rPr>
        <w:t>表面处理：不锈钢表面抛光处理（可根据客户要求处理）</w:t>
      </w:r>
    </w:p>
    <w:p w14:paraId="00316974">
      <w:pPr>
        <w:numPr>
          <w:ilvl w:val="0"/>
          <w:numId w:val="3"/>
        </w:numPr>
        <w:ind w:firstLineChars="0"/>
        <w:rPr>
          <w:rFonts w:hint="eastAsia" w:ascii="宋体" w:hAnsi="宋体" w:cs="宋体"/>
        </w:rPr>
      </w:pPr>
      <w:r>
        <w:rPr>
          <w:rFonts w:hint="eastAsia" w:ascii="宋体" w:hAnsi="宋体" w:cs="宋体"/>
        </w:rPr>
        <w:t>防护等级：机芯IP68（潜水级），浸泡在水里可以支持工作</w:t>
      </w:r>
    </w:p>
    <w:p w14:paraId="0B399880">
      <w:pPr>
        <w:numPr>
          <w:ilvl w:val="0"/>
          <w:numId w:val="3"/>
        </w:numPr>
        <w:ind w:firstLineChars="0"/>
        <w:rPr>
          <w:rFonts w:hint="eastAsia" w:ascii="宋体" w:hAnsi="宋体" w:cs="宋体"/>
        </w:rPr>
      </w:pPr>
      <w:r>
        <w:rPr>
          <w:rFonts w:hint="eastAsia" w:ascii="宋体" w:hAnsi="宋体" w:cs="宋体"/>
        </w:rPr>
        <w:t>抗破坏等级：M30~M50</w:t>
      </w:r>
    </w:p>
    <w:p w14:paraId="1DA07A50">
      <w:pPr>
        <w:numPr>
          <w:ilvl w:val="0"/>
          <w:numId w:val="3"/>
        </w:numPr>
        <w:ind w:firstLineChars="0"/>
        <w:rPr>
          <w:rFonts w:hint="eastAsia" w:ascii="宋体" w:hAnsi="宋体" w:cs="宋体"/>
        </w:rPr>
      </w:pPr>
      <w:r>
        <w:rPr>
          <w:rFonts w:hint="eastAsia" w:ascii="宋体" w:hAnsi="宋体" w:cs="宋体"/>
        </w:rPr>
        <w:t>安装尺寸：柱体中心间距1.2-1.5米，预埋0.76米</w:t>
      </w:r>
    </w:p>
    <w:p w14:paraId="50903560">
      <w:pPr>
        <w:numPr>
          <w:ilvl w:val="0"/>
          <w:numId w:val="3"/>
        </w:numPr>
        <w:ind w:firstLineChars="0"/>
        <w:rPr>
          <w:rFonts w:hint="eastAsia" w:ascii="宋体" w:hAnsi="宋体" w:cs="宋体"/>
        </w:rPr>
      </w:pPr>
      <w:r>
        <w:rPr>
          <w:rFonts w:hint="eastAsia" w:ascii="宋体" w:hAnsi="宋体" w:cs="宋体"/>
        </w:rPr>
        <w:t>警示方式：360度可视LED警示灯（标配）</w:t>
      </w:r>
    </w:p>
    <w:p w14:paraId="2541F53F">
      <w:pPr>
        <w:numPr>
          <w:ilvl w:val="0"/>
          <w:numId w:val="3"/>
        </w:numPr>
        <w:ind w:firstLineChars="0"/>
        <w:rPr>
          <w:rFonts w:hint="eastAsia" w:ascii="宋体" w:hAnsi="宋体" w:cs="宋体"/>
        </w:rPr>
      </w:pPr>
      <w:r>
        <w:rPr>
          <w:rFonts w:hint="eastAsia" w:ascii="宋体" w:hAnsi="宋体" w:cs="宋体"/>
        </w:rPr>
        <w:t>停电应急：储备电池，停电可遥控下降</w:t>
      </w:r>
    </w:p>
    <w:p w14:paraId="7E799BEF">
      <w:pPr>
        <w:numPr>
          <w:ilvl w:val="0"/>
          <w:numId w:val="3"/>
        </w:numPr>
        <w:ind w:firstLineChars="0"/>
        <w:rPr>
          <w:rFonts w:hint="eastAsia" w:ascii="宋体" w:hAnsi="宋体" w:cs="宋体"/>
        </w:rPr>
      </w:pPr>
      <w:r>
        <w:rPr>
          <w:rFonts w:hint="eastAsia" w:ascii="宋体" w:hAnsi="宋体" w:cs="宋体"/>
        </w:rPr>
        <w:t>外界设备：红绿灯/语音提示通行（可选）</w:t>
      </w:r>
    </w:p>
    <w:p w14:paraId="6D2B8643">
      <w:pPr>
        <w:numPr>
          <w:ilvl w:val="0"/>
          <w:numId w:val="3"/>
        </w:numPr>
        <w:ind w:firstLineChars="0"/>
        <w:rPr>
          <w:rFonts w:hint="eastAsia" w:ascii="宋体" w:hAnsi="宋体" w:cs="宋体"/>
        </w:rPr>
      </w:pPr>
      <w:r>
        <w:rPr>
          <w:rFonts w:hint="eastAsia" w:ascii="宋体" w:hAnsi="宋体" w:cs="宋体"/>
        </w:rPr>
        <w:t>电源（V）：220±10% 50Hz</w:t>
      </w:r>
    </w:p>
    <w:p w14:paraId="357D94BF">
      <w:pPr>
        <w:numPr>
          <w:ilvl w:val="0"/>
          <w:numId w:val="3"/>
        </w:numPr>
        <w:ind w:firstLineChars="0"/>
        <w:rPr>
          <w:rFonts w:hint="eastAsia" w:ascii="宋体" w:hAnsi="宋体" w:cs="宋体"/>
        </w:rPr>
      </w:pPr>
      <w:r>
        <w:rPr>
          <w:rFonts w:hint="eastAsia" w:ascii="宋体" w:hAnsi="宋体" w:cs="宋体"/>
        </w:rPr>
        <w:t>升降时间（秒）：升3-5秒，降2-3秒</w:t>
      </w:r>
    </w:p>
    <w:p w14:paraId="0CF3809B">
      <w:pPr>
        <w:ind w:firstLine="480"/>
        <w:rPr>
          <w:rFonts w:ascii="宋体" w:hAnsi="宋体" w:cs="宋体"/>
        </w:rPr>
      </w:pPr>
      <w:r>
        <w:rPr>
          <w:rFonts w:hint="eastAsia" w:ascii="宋体" w:hAnsi="宋体" w:cs="宋体"/>
        </w:rPr>
        <w:t>2、机芯特点</w:t>
      </w:r>
    </w:p>
    <w:p w14:paraId="66027C55">
      <w:pPr>
        <w:numPr>
          <w:ilvl w:val="0"/>
          <w:numId w:val="4"/>
        </w:numPr>
        <w:ind w:firstLineChars="0"/>
        <w:rPr>
          <w:rFonts w:ascii="宋体" w:hAnsi="宋体" w:cs="宋体"/>
        </w:rPr>
      </w:pPr>
      <w:r>
        <w:rPr>
          <w:rFonts w:hint="eastAsia" w:ascii="宋体" w:hAnsi="宋体" w:cs="宋体"/>
        </w:rPr>
        <w:t>采用国际领先的低压液压驱动技术，整个系统安全性高，可靠稳定。</w:t>
      </w:r>
    </w:p>
    <w:p w14:paraId="71070861">
      <w:pPr>
        <w:numPr>
          <w:ilvl w:val="0"/>
          <w:numId w:val="4"/>
        </w:numPr>
        <w:ind w:firstLineChars="0"/>
        <w:rPr>
          <w:rFonts w:ascii="宋体" w:hAnsi="宋体" w:cs="宋体"/>
        </w:rPr>
      </w:pPr>
      <w:r>
        <w:rPr>
          <w:rFonts w:hint="eastAsia" w:ascii="宋体" w:hAnsi="宋体" w:cs="宋体"/>
        </w:rPr>
        <w:t>采用防水电机，IP68级防水检验，全泡水测试出货，适用于埋地等环境安装，机芯全铜，寿命更长，动力更强劲。</w:t>
      </w:r>
    </w:p>
    <w:p w14:paraId="0C21444D">
      <w:pPr>
        <w:numPr>
          <w:ilvl w:val="0"/>
          <w:numId w:val="4"/>
        </w:numPr>
        <w:ind w:firstLineChars="0"/>
        <w:rPr>
          <w:rFonts w:ascii="宋体" w:hAnsi="宋体" w:cs="宋体"/>
        </w:rPr>
      </w:pPr>
      <w:r>
        <w:rPr>
          <w:rFonts w:hint="eastAsia" w:ascii="宋体" w:hAnsi="宋体" w:cs="宋体"/>
        </w:rPr>
        <w:t>机芯采用铝镁合金材质，液压泵采用工业级设计，效能高，噪音小，使用寿命更长。</w:t>
      </w:r>
    </w:p>
    <w:p w14:paraId="1FF7FF9C">
      <w:pPr>
        <w:ind w:firstLine="480"/>
        <w:rPr>
          <w:rFonts w:ascii="宋体" w:hAnsi="宋体" w:cs="宋体"/>
        </w:rPr>
      </w:pPr>
      <w:r>
        <w:rPr>
          <w:rFonts w:hint="eastAsia" w:ascii="宋体" w:hAnsi="宋体" w:cs="宋体"/>
        </w:rPr>
        <w:t>3、结构特点</w:t>
      </w:r>
    </w:p>
    <w:p w14:paraId="1174839A">
      <w:pPr>
        <w:numPr>
          <w:ilvl w:val="0"/>
          <w:numId w:val="4"/>
        </w:numPr>
        <w:ind w:firstLineChars="0"/>
        <w:rPr>
          <w:rFonts w:ascii="宋体" w:hAnsi="宋体" w:cs="宋体"/>
        </w:rPr>
      </w:pPr>
      <w:r>
        <w:rPr>
          <w:rFonts w:hint="eastAsia" w:ascii="宋体" w:hAnsi="宋体" w:cs="宋体"/>
        </w:rPr>
        <w:t>承受100吨的车辆通行后，能正常使用。</w:t>
      </w:r>
    </w:p>
    <w:p w14:paraId="6D2AB9B2">
      <w:pPr>
        <w:numPr>
          <w:ilvl w:val="0"/>
          <w:numId w:val="4"/>
        </w:numPr>
        <w:ind w:firstLineChars="0"/>
        <w:rPr>
          <w:rFonts w:ascii="宋体" w:hAnsi="宋体" w:cs="宋体"/>
        </w:rPr>
      </w:pPr>
      <w:r>
        <w:rPr>
          <w:rFonts w:hint="eastAsia" w:ascii="宋体" w:hAnsi="宋体" w:cs="宋体"/>
        </w:rPr>
        <w:t>通过公安部撞击检验，结构坚固耐用，承载负荷大，动作平稳，噪声低。</w:t>
      </w:r>
    </w:p>
    <w:p w14:paraId="770F754C">
      <w:pPr>
        <w:numPr>
          <w:ilvl w:val="0"/>
          <w:numId w:val="4"/>
        </w:numPr>
        <w:ind w:firstLineChars="0"/>
        <w:rPr>
          <w:rFonts w:ascii="宋体" w:hAnsi="宋体" w:cs="宋体"/>
        </w:rPr>
      </w:pPr>
      <w:r>
        <w:rPr>
          <w:rFonts w:hint="eastAsia" w:ascii="宋体" w:hAnsi="宋体" w:cs="宋体"/>
        </w:rPr>
        <w:t>采用304不锈钢及高温烤漆表面处理，防止因地下潮湿导致的结构不稳定，从而确保使用寿命和稳定性。</w:t>
      </w:r>
    </w:p>
    <w:p w14:paraId="3B2E188B">
      <w:pPr>
        <w:ind w:firstLine="480"/>
        <w:rPr>
          <w:rFonts w:ascii="宋体" w:hAnsi="宋体" w:cs="宋体"/>
        </w:rPr>
      </w:pPr>
      <w:r>
        <w:rPr>
          <w:rFonts w:hint="eastAsia" w:ascii="宋体" w:hAnsi="宋体" w:cs="宋体"/>
        </w:rPr>
        <w:t>4、控制特点</w:t>
      </w:r>
    </w:p>
    <w:p w14:paraId="1D64CED7">
      <w:pPr>
        <w:numPr>
          <w:ilvl w:val="0"/>
          <w:numId w:val="4"/>
        </w:numPr>
        <w:ind w:firstLineChars="0"/>
        <w:rPr>
          <w:rFonts w:ascii="宋体" w:hAnsi="宋体" w:cs="宋体"/>
        </w:rPr>
      </w:pPr>
      <w:r>
        <w:rPr>
          <w:rFonts w:hint="eastAsia" w:ascii="宋体" w:hAnsi="宋体" w:cs="宋体"/>
        </w:rPr>
        <w:t>遥控装置：通过无线遥控的方式，可在控制器周围30米范围内，可根据用户场地选择定制远程控制遥控。</w:t>
      </w:r>
    </w:p>
    <w:p w14:paraId="4568D447">
      <w:pPr>
        <w:numPr>
          <w:ilvl w:val="0"/>
          <w:numId w:val="4"/>
        </w:numPr>
        <w:ind w:firstLineChars="0"/>
        <w:rPr>
          <w:rFonts w:ascii="宋体" w:hAnsi="宋体" w:cs="宋体"/>
        </w:rPr>
      </w:pPr>
      <w:r>
        <w:rPr>
          <w:rFonts w:hint="eastAsia" w:ascii="宋体" w:hAnsi="宋体" w:cs="宋体"/>
        </w:rPr>
        <w:t>智能化系统控制，支持外接开关设备，与道闸等其它设备进行联动控制，也可以与其他控制设备组合。</w:t>
      </w:r>
    </w:p>
    <w:p w14:paraId="2F2E19F3">
      <w:pPr>
        <w:numPr>
          <w:ilvl w:val="0"/>
          <w:numId w:val="4"/>
        </w:numPr>
        <w:ind w:firstLineChars="0"/>
        <w:rPr>
          <w:rFonts w:ascii="宋体" w:hAnsi="宋体" w:cs="宋体"/>
        </w:rPr>
      </w:pPr>
      <w:r>
        <w:rPr>
          <w:rFonts w:hint="eastAsia" w:ascii="宋体" w:hAnsi="宋体" w:cs="宋体"/>
        </w:rPr>
        <w:t>停电应急装置，在停电的情况下或出现故障时，如升降柱处于升起状态需要下降时，可以通过储备电量操作将升起的柱子回落到与地水平位置以让车辆通行。</w:t>
      </w:r>
    </w:p>
    <w:p w14:paraId="3CADEDFD">
      <w:pPr>
        <w:pStyle w:val="5"/>
        <w:rPr>
          <w:rFonts w:ascii="宋体" w:hAnsi="宋体" w:cs="宋体"/>
        </w:rPr>
      </w:pPr>
      <w:bookmarkStart w:id="7" w:name="_Toc24214"/>
      <w:r>
        <w:rPr>
          <w:rFonts w:hint="eastAsia" w:ascii="宋体" w:hAnsi="宋体" w:cs="宋体"/>
        </w:rPr>
        <w:t>控制系统</w:t>
      </w:r>
      <w:bookmarkEnd w:id="7"/>
    </w:p>
    <w:p w14:paraId="34E88F57">
      <w:pPr>
        <w:numPr>
          <w:ilvl w:val="0"/>
          <w:numId w:val="5"/>
        </w:numPr>
        <w:ind w:firstLineChars="0"/>
        <w:rPr>
          <w:rFonts w:ascii="宋体" w:hAnsi="宋体" w:cs="宋体"/>
        </w:rPr>
      </w:pPr>
      <w:r>
        <w:rPr>
          <w:rFonts w:hint="eastAsia" w:ascii="宋体" w:hAnsi="宋体" w:cs="宋体"/>
        </w:rPr>
        <w:t>采取PLC控制，系统运行性能稳定可靠，便于集成。</w:t>
      </w:r>
    </w:p>
    <w:p w14:paraId="3C3F4E1A">
      <w:pPr>
        <w:numPr>
          <w:ilvl w:val="0"/>
          <w:numId w:val="5"/>
        </w:numPr>
        <w:ind w:firstLineChars="0"/>
        <w:rPr>
          <w:rFonts w:ascii="宋体" w:hAnsi="宋体" w:cs="宋体"/>
        </w:rPr>
      </w:pPr>
      <w:r>
        <w:rPr>
          <w:rFonts w:hint="eastAsia" w:ascii="宋体" w:hAnsi="宋体" w:cs="宋体"/>
        </w:rPr>
        <w:t>智能编程控制：一个控制器可以同时控制1-</w:t>
      </w:r>
      <w:r>
        <w:rPr>
          <w:rFonts w:hint="eastAsia" w:ascii="宋体" w:hAnsi="宋体" w:cs="宋体"/>
          <w:lang w:val="en-US" w:eastAsia="zh-CN"/>
        </w:rPr>
        <w:t>12</w:t>
      </w:r>
      <w:r>
        <w:rPr>
          <w:rFonts w:hint="eastAsia" w:ascii="宋体" w:hAnsi="宋体" w:cs="宋体"/>
        </w:rPr>
        <w:t>个升降柱升降，也可以分开控制某一条或几条升降。</w:t>
      </w:r>
    </w:p>
    <w:p w14:paraId="1B2CEC38">
      <w:pPr>
        <w:numPr>
          <w:ilvl w:val="0"/>
          <w:numId w:val="5"/>
        </w:numPr>
        <w:ind w:firstLineChars="0"/>
        <w:rPr>
          <w:rFonts w:ascii="宋体" w:hAnsi="宋体" w:cs="宋体"/>
        </w:rPr>
      </w:pPr>
      <w:r>
        <w:rPr>
          <w:rFonts w:hint="eastAsia" w:ascii="宋体" w:hAnsi="宋体" w:cs="宋体"/>
        </w:rPr>
        <w:t>智能化系统控制，支持外接开关设备，与道闸等其它设备进行联动控制，也可以与其他控制设备组合。</w:t>
      </w:r>
    </w:p>
    <w:p w14:paraId="06701DBF">
      <w:pPr>
        <w:numPr>
          <w:ilvl w:val="0"/>
          <w:numId w:val="5"/>
        </w:numPr>
        <w:ind w:firstLineChars="0"/>
        <w:rPr>
          <w:rFonts w:ascii="宋体" w:hAnsi="宋体" w:cs="宋体"/>
        </w:rPr>
      </w:pPr>
      <w:r>
        <w:rPr>
          <w:rFonts w:hint="eastAsia" w:ascii="宋体" w:hAnsi="宋体" w:cs="宋体"/>
        </w:rPr>
        <w:t>停电应急装置，在停电的情况下或出现故障时，如升降柱处于升起状态需要下降时，可以通过储备电量操作将升起的柱子回落到与地水平位置以让车辆通行。</w:t>
      </w:r>
    </w:p>
    <w:p w14:paraId="026303A6">
      <w:pPr>
        <w:bidi w:val="0"/>
      </w:pPr>
    </w:p>
    <w:p w14:paraId="2EF16BDD">
      <w:pPr>
        <w:pStyle w:val="4"/>
        <w:rPr>
          <w:rFonts w:ascii="宋体" w:hAnsi="宋体" w:cs="宋体"/>
        </w:rPr>
      </w:pPr>
      <w:bookmarkStart w:id="8" w:name="_Toc2668"/>
      <w:r>
        <w:rPr>
          <w:rFonts w:hint="eastAsia" w:ascii="宋体" w:hAnsi="宋体" w:cs="宋体"/>
        </w:rPr>
        <w:t>设备清单</w:t>
      </w:r>
      <w:bookmarkEnd w:id="8"/>
    </w:p>
    <w:tbl>
      <w:tblPr>
        <w:tblStyle w:val="19"/>
        <w:tblW w:w="9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30"/>
        <w:gridCol w:w="1044"/>
        <w:gridCol w:w="6816"/>
        <w:gridCol w:w="420"/>
        <w:gridCol w:w="627"/>
      </w:tblGrid>
      <w:tr w14:paraId="732F4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000000" w:fill="D9D9D9"/>
            <w:noWrap/>
            <w:vAlign w:val="center"/>
          </w:tcPr>
          <w:p w14:paraId="7CB6CCB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044" w:type="dxa"/>
            <w:shd w:val="clear" w:color="000000" w:fill="D9D9D9"/>
            <w:noWrap/>
            <w:vAlign w:val="center"/>
          </w:tcPr>
          <w:p w14:paraId="211E92A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6816" w:type="dxa"/>
            <w:shd w:val="clear" w:color="000000" w:fill="D9D9D9"/>
            <w:noWrap/>
            <w:vAlign w:val="center"/>
          </w:tcPr>
          <w:p w14:paraId="7B9587D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设备参数</w:t>
            </w:r>
          </w:p>
        </w:tc>
        <w:tc>
          <w:tcPr>
            <w:tcW w:w="420" w:type="dxa"/>
            <w:shd w:val="clear" w:color="000000" w:fill="D9D9D9"/>
            <w:vAlign w:val="center"/>
          </w:tcPr>
          <w:p w14:paraId="035917A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627" w:type="dxa"/>
            <w:shd w:val="clear" w:color="000000" w:fill="D9D9D9"/>
            <w:vAlign w:val="center"/>
          </w:tcPr>
          <w:p w14:paraId="0F1F745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r>
      <w:tr w14:paraId="48EDF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2B2CA78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一、北院急诊</w:t>
            </w:r>
          </w:p>
        </w:tc>
      </w:tr>
      <w:tr w14:paraId="53A87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65ABAF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24D04ED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219固定桩</w:t>
            </w:r>
          </w:p>
        </w:tc>
        <w:tc>
          <w:tcPr>
            <w:tcW w:w="6816" w:type="dxa"/>
            <w:shd w:val="clear" w:color="auto" w:fill="auto"/>
            <w:vAlign w:val="center"/>
          </w:tcPr>
          <w:p w14:paraId="19D0713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固定桩（直径219mm、管厚4.8mm、地面高度60cm、预埋深度40cm）</w:t>
            </w:r>
          </w:p>
        </w:tc>
        <w:tc>
          <w:tcPr>
            <w:tcW w:w="420" w:type="dxa"/>
            <w:shd w:val="clear" w:color="auto" w:fill="auto"/>
            <w:vAlign w:val="center"/>
          </w:tcPr>
          <w:p w14:paraId="07178AB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17D37B5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579D2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627C71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33A7159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液压一体机全自动升降柱</w:t>
            </w:r>
          </w:p>
        </w:tc>
        <w:tc>
          <w:tcPr>
            <w:tcW w:w="6816" w:type="dxa"/>
            <w:shd w:val="clear" w:color="auto" w:fill="auto"/>
            <w:vAlign w:val="center"/>
          </w:tcPr>
          <w:p w14:paraId="5A3BB52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柱体材质：SUS304不锈钢</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柱体厚度：6MM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柱体直径：219mm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升起高度：600MM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驱动方式：一体式驱动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输入电压：AC220V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机芯功率：300W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控制方式：遥控器/按钮线控/车牌识别/蓝牙感应/手机APP远程控制（可选）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环境温度：-30~+70度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表面处理：不锈钢表面抛光处理（可根据客户要求处理）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防护等级：机芯IP68（潜水级），浸泡在水里可以支持工作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抗破坏等级：M30~M50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安装尺寸：柱体中心间距1.2-1.5米，预埋0.76米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警示方式：360度可视LED警示灯（标配）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停电应急：储备电池，停电可遥控下降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外界设备：红绿灯/语音提示通行（可选）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电源（V）：220±10% 50Hz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升降时间（秒）：升3-5秒，降2-3秒</w:t>
            </w:r>
          </w:p>
        </w:tc>
        <w:tc>
          <w:tcPr>
            <w:tcW w:w="420" w:type="dxa"/>
            <w:shd w:val="clear" w:color="auto" w:fill="auto"/>
            <w:vAlign w:val="center"/>
          </w:tcPr>
          <w:p w14:paraId="089642A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641D8C7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2486A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384A85A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60B62F2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控制器</w:t>
            </w:r>
          </w:p>
        </w:tc>
        <w:tc>
          <w:tcPr>
            <w:tcW w:w="6816" w:type="dxa"/>
            <w:shd w:val="clear" w:color="auto" w:fill="auto"/>
            <w:vAlign w:val="center"/>
          </w:tcPr>
          <w:p w14:paraId="1CFF362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豪华防水升降柱控制箱</w:t>
            </w:r>
          </w:p>
        </w:tc>
        <w:tc>
          <w:tcPr>
            <w:tcW w:w="420" w:type="dxa"/>
            <w:shd w:val="clear" w:color="auto" w:fill="auto"/>
            <w:vAlign w:val="center"/>
          </w:tcPr>
          <w:p w14:paraId="7A0FEF6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5B2D9C8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4BD5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38D05F9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044" w:type="dxa"/>
            <w:shd w:val="clear" w:color="auto" w:fill="auto"/>
            <w:noWrap/>
            <w:vAlign w:val="center"/>
          </w:tcPr>
          <w:p w14:paraId="5AA479B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遥控器</w:t>
            </w:r>
          </w:p>
        </w:tc>
        <w:tc>
          <w:tcPr>
            <w:tcW w:w="6816" w:type="dxa"/>
            <w:shd w:val="clear" w:color="auto" w:fill="auto"/>
            <w:noWrap/>
            <w:vAlign w:val="center"/>
          </w:tcPr>
          <w:p w14:paraId="2709A26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遥控装置：通过无线遥控的方式，可在控制器周围30米范围内，可根据用户场地选择定制远程控制遥控。</w:t>
            </w:r>
          </w:p>
        </w:tc>
        <w:tc>
          <w:tcPr>
            <w:tcW w:w="420" w:type="dxa"/>
            <w:shd w:val="clear" w:color="auto" w:fill="auto"/>
            <w:vAlign w:val="center"/>
          </w:tcPr>
          <w:p w14:paraId="7938589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188CB81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41FBF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3019A57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7860" w:type="dxa"/>
            <w:gridSpan w:val="2"/>
            <w:shd w:val="clear" w:color="auto" w:fill="auto"/>
            <w:vAlign w:val="center"/>
          </w:tcPr>
          <w:p w14:paraId="16A8DD3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施工费（测量、挖槽、机械、硬化、排水井铺设、排水电机以及排水管、储水槽、辅料、线材（线材只含每个升降柱40米）接线、调试、回填、沥青恢复、清理现场垃圾）</w:t>
            </w:r>
          </w:p>
        </w:tc>
        <w:tc>
          <w:tcPr>
            <w:tcW w:w="420" w:type="dxa"/>
            <w:shd w:val="clear" w:color="auto" w:fill="auto"/>
            <w:vAlign w:val="center"/>
          </w:tcPr>
          <w:p w14:paraId="0D27F5F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3BE5604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r>
      <w:tr w14:paraId="013D5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36C4FFF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二、北院大门</w:t>
            </w:r>
          </w:p>
        </w:tc>
      </w:tr>
      <w:tr w14:paraId="5AB05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FE425E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15E5D86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液压一体机全自动升降柱</w:t>
            </w:r>
          </w:p>
        </w:tc>
        <w:tc>
          <w:tcPr>
            <w:tcW w:w="6816" w:type="dxa"/>
            <w:shd w:val="clear" w:color="auto" w:fill="auto"/>
            <w:vAlign w:val="center"/>
          </w:tcPr>
          <w:p w14:paraId="043EB9B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柱体材质：SUS304不锈钢</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柱体厚度：6MM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柱体直径：219mm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升起高度：600MM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驱动方式：一体式驱动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输入电压：AC220V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机芯功率：300W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控制方式：遥控器/按钮线控/车牌识别/蓝牙感应/手机APP远程控制（可选）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环境温度：-30~+70度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表面处理：不锈钢表面抛光处理（可根据客户要求处理）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防护等级：机芯IP68（潜水级），浸泡在水里可以支持工作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抗破坏等级：M30~M50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安装尺寸：柱体中心间距1.2-1.5米，预埋0.76米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警示方式：360度可视LED警示灯（标配）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停电应急：储备电池，停电可遥控下降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外界设备：红绿灯/语音提示通行（可选）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电源（V）：220±10% 50Hz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升降时间（秒）：升3-5秒，降2-3秒</w:t>
            </w:r>
          </w:p>
        </w:tc>
        <w:tc>
          <w:tcPr>
            <w:tcW w:w="420" w:type="dxa"/>
            <w:shd w:val="clear" w:color="auto" w:fill="auto"/>
            <w:vAlign w:val="center"/>
          </w:tcPr>
          <w:p w14:paraId="6B36052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4407EC2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52EA7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6651C3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6FC2EE0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控制器</w:t>
            </w:r>
          </w:p>
        </w:tc>
        <w:tc>
          <w:tcPr>
            <w:tcW w:w="6816" w:type="dxa"/>
            <w:shd w:val="clear" w:color="auto" w:fill="auto"/>
            <w:vAlign w:val="center"/>
          </w:tcPr>
          <w:p w14:paraId="538C1E3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豪华防水升降柱控制箱</w:t>
            </w:r>
          </w:p>
        </w:tc>
        <w:tc>
          <w:tcPr>
            <w:tcW w:w="420" w:type="dxa"/>
            <w:shd w:val="clear" w:color="auto" w:fill="auto"/>
            <w:vAlign w:val="center"/>
          </w:tcPr>
          <w:p w14:paraId="1339295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2B4C7D8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42EC3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178468B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0C40445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遥控器</w:t>
            </w:r>
          </w:p>
        </w:tc>
        <w:tc>
          <w:tcPr>
            <w:tcW w:w="6816" w:type="dxa"/>
            <w:shd w:val="clear" w:color="auto" w:fill="auto"/>
            <w:noWrap/>
            <w:vAlign w:val="center"/>
          </w:tcPr>
          <w:p w14:paraId="251CA45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遥控装置：通过无线遥控的方式，可在控制器周围30米范围内，可根据用户场地选择定制远程控制遥控。</w:t>
            </w:r>
          </w:p>
        </w:tc>
        <w:tc>
          <w:tcPr>
            <w:tcW w:w="420" w:type="dxa"/>
            <w:shd w:val="clear" w:color="auto" w:fill="auto"/>
            <w:vAlign w:val="center"/>
          </w:tcPr>
          <w:p w14:paraId="72524D7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37EB46A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BC30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3358D1B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860" w:type="dxa"/>
            <w:gridSpan w:val="2"/>
            <w:shd w:val="clear" w:color="auto" w:fill="auto"/>
            <w:vAlign w:val="center"/>
          </w:tcPr>
          <w:p w14:paraId="37DD17A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施工费（测量、挖槽、机械、硬化、排水井铺设、排水电机以及排水管、储水槽、辅料、线材（线材只含每个升降柱40米）接线、调试、回填、沥青恢复、清理现场垃圾）</w:t>
            </w:r>
          </w:p>
        </w:tc>
        <w:tc>
          <w:tcPr>
            <w:tcW w:w="420" w:type="dxa"/>
            <w:shd w:val="clear" w:color="auto" w:fill="auto"/>
            <w:vAlign w:val="center"/>
          </w:tcPr>
          <w:p w14:paraId="29FAF99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1A92228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55170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4236D7A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三、北院北门</w:t>
            </w:r>
          </w:p>
        </w:tc>
      </w:tr>
      <w:tr w14:paraId="30F0D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81D2DB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783A056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液压一体机全自动升降柱</w:t>
            </w:r>
          </w:p>
        </w:tc>
        <w:tc>
          <w:tcPr>
            <w:tcW w:w="6816" w:type="dxa"/>
            <w:shd w:val="clear" w:color="auto" w:fill="auto"/>
            <w:vAlign w:val="center"/>
          </w:tcPr>
          <w:p w14:paraId="2436963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柱体材质：SUS304不锈钢</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柱体厚度：6MM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柱体直径：219mm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升起高度：600MM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驱动方式：一体式驱动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输入电压：AC220V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机芯功率：300W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控制方式：遥控器/按钮线控/车牌识别/蓝牙感应/手机APP远程控制（可选）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环境温度：-30~+70度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表面处理：不锈钢表面抛光处理（可根据客户要求处理）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防护等级：机芯IP68（潜水级），浸泡在水里可以支持工作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抗破坏等级：M30~M50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安装尺寸：柱体中心间距1.2-1.5米，预埋0.76米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警示方式：360度可视LED警示灯（标配）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停电应急：储备电池，停电可遥控下降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外界设备：红绿灯/语音提示通行（可选）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电源（V）：220±10% 50Hz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升降时间（秒）：升3-5秒，降2-3秒</w:t>
            </w:r>
          </w:p>
        </w:tc>
        <w:tc>
          <w:tcPr>
            <w:tcW w:w="420" w:type="dxa"/>
            <w:shd w:val="clear" w:color="auto" w:fill="auto"/>
            <w:vAlign w:val="center"/>
          </w:tcPr>
          <w:p w14:paraId="6178427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69FE463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138E1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483CC14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720C0A0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控制器</w:t>
            </w:r>
          </w:p>
        </w:tc>
        <w:tc>
          <w:tcPr>
            <w:tcW w:w="6816" w:type="dxa"/>
            <w:shd w:val="clear" w:color="auto" w:fill="auto"/>
            <w:vAlign w:val="center"/>
          </w:tcPr>
          <w:p w14:paraId="3238FF7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豪华防水升降柱控制箱</w:t>
            </w:r>
          </w:p>
        </w:tc>
        <w:tc>
          <w:tcPr>
            <w:tcW w:w="420" w:type="dxa"/>
            <w:shd w:val="clear" w:color="auto" w:fill="auto"/>
            <w:vAlign w:val="center"/>
          </w:tcPr>
          <w:p w14:paraId="0E9A3DF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2BAB875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2FD18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475D369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4477C0E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遥控器</w:t>
            </w:r>
          </w:p>
        </w:tc>
        <w:tc>
          <w:tcPr>
            <w:tcW w:w="6816" w:type="dxa"/>
            <w:shd w:val="clear" w:color="auto" w:fill="auto"/>
            <w:noWrap/>
            <w:vAlign w:val="center"/>
          </w:tcPr>
          <w:p w14:paraId="7D72A40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遥控装置：通过无线遥控的方式，可在控制器周围30米范围内，可根据用户场地选择定制远程控制遥控。</w:t>
            </w:r>
          </w:p>
        </w:tc>
        <w:tc>
          <w:tcPr>
            <w:tcW w:w="420" w:type="dxa"/>
            <w:shd w:val="clear" w:color="auto" w:fill="auto"/>
            <w:vAlign w:val="center"/>
          </w:tcPr>
          <w:p w14:paraId="25FF3D0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3EAAC9E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77231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791D9C5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860" w:type="dxa"/>
            <w:gridSpan w:val="2"/>
            <w:shd w:val="clear" w:color="auto" w:fill="auto"/>
            <w:vAlign w:val="center"/>
          </w:tcPr>
          <w:p w14:paraId="5778450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施工费（测量、挖槽、机械、硬化、排水井铺设、排水电机以及排水管、储水槽、辅料、线材（线材只含每个升降柱40米）接线、调试、回填、沥青恢复、清理现场垃圾）</w:t>
            </w:r>
          </w:p>
        </w:tc>
        <w:tc>
          <w:tcPr>
            <w:tcW w:w="420" w:type="dxa"/>
            <w:shd w:val="clear" w:color="auto" w:fill="auto"/>
            <w:vAlign w:val="center"/>
          </w:tcPr>
          <w:p w14:paraId="51FF8D5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6C4731B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0D506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3BD8139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四、南院北门</w:t>
            </w:r>
          </w:p>
        </w:tc>
      </w:tr>
      <w:tr w14:paraId="06C2F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1FD821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7664F99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液压一体机全自动升降柱</w:t>
            </w:r>
          </w:p>
        </w:tc>
        <w:tc>
          <w:tcPr>
            <w:tcW w:w="6816" w:type="dxa"/>
            <w:shd w:val="clear" w:color="auto" w:fill="auto"/>
            <w:vAlign w:val="center"/>
          </w:tcPr>
          <w:p w14:paraId="0D02638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柱体材质：SUS304不锈钢</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柱体厚度：6MM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柱体直径：219mm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升起高度：600MM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驱动方式：一体式驱动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输入电压：AC220V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机芯功率：300W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控制方式：遥控器/按钮线控/车牌识别/蓝牙感应/手机APP远程控制（可选）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环境温度：-30~+70度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表面处理：不锈钢表面抛光处理（可根据客户要求处理）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防护等级：机芯IP68（潜水级），浸泡在水里可以支持工作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抗破坏等级：M30~M50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安装尺寸：柱体中心间距1.2-1.5米，预埋0.76米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警示方式：360度可视LED警示灯（标配）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停电应急：储备电池，停电可遥控下降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外界设备：红绿灯/语音提示通行（可选）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电源（V）：220±10% 50Hz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升降时间（秒）：升3-5秒，降2-3秒</w:t>
            </w:r>
          </w:p>
        </w:tc>
        <w:tc>
          <w:tcPr>
            <w:tcW w:w="420" w:type="dxa"/>
            <w:shd w:val="clear" w:color="auto" w:fill="auto"/>
            <w:vAlign w:val="center"/>
          </w:tcPr>
          <w:p w14:paraId="3185FE6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2CAB037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4AD64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1D520A6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36A47BB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控制器</w:t>
            </w:r>
          </w:p>
        </w:tc>
        <w:tc>
          <w:tcPr>
            <w:tcW w:w="6816" w:type="dxa"/>
            <w:shd w:val="clear" w:color="auto" w:fill="auto"/>
            <w:vAlign w:val="center"/>
          </w:tcPr>
          <w:p w14:paraId="112EF3A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豪华防水升降柱控制箱</w:t>
            </w:r>
          </w:p>
        </w:tc>
        <w:tc>
          <w:tcPr>
            <w:tcW w:w="420" w:type="dxa"/>
            <w:shd w:val="clear" w:color="auto" w:fill="auto"/>
            <w:vAlign w:val="center"/>
          </w:tcPr>
          <w:p w14:paraId="7642904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2F16A5B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E39A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0314F32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315B5F1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遥控器</w:t>
            </w:r>
          </w:p>
        </w:tc>
        <w:tc>
          <w:tcPr>
            <w:tcW w:w="6816" w:type="dxa"/>
            <w:shd w:val="clear" w:color="auto" w:fill="auto"/>
            <w:noWrap/>
            <w:vAlign w:val="center"/>
          </w:tcPr>
          <w:p w14:paraId="304AC6C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遥控装置：通过无线遥控的方式，可在控制器周围30米范围内，可根据用户场地选择定制远程控制遥控。</w:t>
            </w:r>
          </w:p>
        </w:tc>
        <w:tc>
          <w:tcPr>
            <w:tcW w:w="420" w:type="dxa"/>
            <w:shd w:val="clear" w:color="auto" w:fill="auto"/>
            <w:vAlign w:val="center"/>
          </w:tcPr>
          <w:p w14:paraId="48F5DC2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4398086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3CA4C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76048AC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860" w:type="dxa"/>
            <w:gridSpan w:val="2"/>
            <w:shd w:val="clear" w:color="auto" w:fill="auto"/>
            <w:vAlign w:val="center"/>
          </w:tcPr>
          <w:p w14:paraId="5F36B46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施工费（测量、挖槽、机械、硬化、排水井铺设、排水电机以及排水管、储水槽、辅料、线材（线材只含每个升降柱40米）接线、调试、回填、沥青恢复、清理现场垃圾）</w:t>
            </w:r>
          </w:p>
        </w:tc>
        <w:tc>
          <w:tcPr>
            <w:tcW w:w="420" w:type="dxa"/>
            <w:shd w:val="clear" w:color="auto" w:fill="auto"/>
            <w:vAlign w:val="center"/>
          </w:tcPr>
          <w:p w14:paraId="6DCFC9C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0869901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28788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3916978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五、南院西门</w:t>
            </w:r>
          </w:p>
        </w:tc>
      </w:tr>
      <w:tr w14:paraId="07E26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1F16B28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64E8C7D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液压一体机全自动升降柱</w:t>
            </w:r>
          </w:p>
        </w:tc>
        <w:tc>
          <w:tcPr>
            <w:tcW w:w="6816" w:type="dxa"/>
            <w:shd w:val="clear" w:color="auto" w:fill="auto"/>
            <w:vAlign w:val="center"/>
          </w:tcPr>
          <w:p w14:paraId="148CED2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柱体材质：SUS304不锈钢</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柱体厚度：6MM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柱体直径：219mm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升起高度：600MM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驱动方式：一体式驱动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输入电压：AC220V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机芯功率：300W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控制方式：遥控器/按钮线控/车牌识别/蓝牙感应/手机APP远程控制（可选）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环境温度：-30~+70度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表面处理：不锈钢表面抛光处理（可根据客户要求处理）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防护等级：机芯IP68（潜水级），浸泡在水里可以支持工作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抗破坏等级：M30~M50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安装尺寸：柱体中心间距1.2-1.5米，预埋0.76米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警示方式：360度可视LED警示灯（标配）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停电应急：储备电池，停电可遥控下降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外界设备：红绿灯/语音提示通行（可选）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电源（V）：220±10% 50Hz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升降时间（秒）：升3-5秒，降2-3秒</w:t>
            </w:r>
          </w:p>
        </w:tc>
        <w:tc>
          <w:tcPr>
            <w:tcW w:w="420" w:type="dxa"/>
            <w:shd w:val="clear" w:color="auto" w:fill="auto"/>
            <w:vAlign w:val="center"/>
          </w:tcPr>
          <w:p w14:paraId="4B6CCB0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07729C4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r>
      <w:tr w14:paraId="00B85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20E0986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6613561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控制器</w:t>
            </w:r>
          </w:p>
        </w:tc>
        <w:tc>
          <w:tcPr>
            <w:tcW w:w="6816" w:type="dxa"/>
            <w:shd w:val="clear" w:color="auto" w:fill="auto"/>
            <w:vAlign w:val="center"/>
          </w:tcPr>
          <w:p w14:paraId="21026BF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豪华防水升降柱控制箱</w:t>
            </w:r>
          </w:p>
        </w:tc>
        <w:tc>
          <w:tcPr>
            <w:tcW w:w="420" w:type="dxa"/>
            <w:shd w:val="clear" w:color="auto" w:fill="auto"/>
            <w:vAlign w:val="center"/>
          </w:tcPr>
          <w:p w14:paraId="7945190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6EFFBDD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1B55A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0488F39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34FC589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遥控器</w:t>
            </w:r>
          </w:p>
        </w:tc>
        <w:tc>
          <w:tcPr>
            <w:tcW w:w="6816" w:type="dxa"/>
            <w:shd w:val="clear" w:color="auto" w:fill="auto"/>
            <w:noWrap/>
            <w:vAlign w:val="center"/>
          </w:tcPr>
          <w:p w14:paraId="6C3E545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遥控装置：通过无线遥控的方式，可在控制器周围30米范围内，可根据用户场地选择定制远程控制遥控。</w:t>
            </w:r>
          </w:p>
        </w:tc>
        <w:tc>
          <w:tcPr>
            <w:tcW w:w="420" w:type="dxa"/>
            <w:shd w:val="clear" w:color="auto" w:fill="auto"/>
            <w:vAlign w:val="center"/>
          </w:tcPr>
          <w:p w14:paraId="0AA43AD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02CE50C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1F14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2FFAF88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860" w:type="dxa"/>
            <w:gridSpan w:val="2"/>
            <w:shd w:val="clear" w:color="auto" w:fill="auto"/>
            <w:vAlign w:val="center"/>
          </w:tcPr>
          <w:p w14:paraId="2BBE5C2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施工费（测量、挖槽、机械、硬化、排水井铺设、排水电机以及排水管、储水槽、辅料、线材（线材只含每个升降柱40米）接线、调试、回填、沥青恢复、清理现场垃圾）</w:t>
            </w:r>
          </w:p>
        </w:tc>
        <w:tc>
          <w:tcPr>
            <w:tcW w:w="420" w:type="dxa"/>
            <w:shd w:val="clear" w:color="auto" w:fill="auto"/>
            <w:vAlign w:val="center"/>
          </w:tcPr>
          <w:p w14:paraId="78A33A7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0A6B3E4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r>
      <w:tr w14:paraId="781CC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9437" w:type="dxa"/>
            <w:gridSpan w:val="5"/>
            <w:shd w:val="clear" w:color="auto" w:fill="auto"/>
            <w:noWrap/>
            <w:vAlign w:val="center"/>
          </w:tcPr>
          <w:p w14:paraId="3DBD4A8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六、配套设施</w:t>
            </w:r>
          </w:p>
        </w:tc>
      </w:tr>
      <w:tr w14:paraId="67869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1EE6EBC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4" w:type="dxa"/>
            <w:shd w:val="clear" w:color="auto" w:fill="auto"/>
            <w:noWrap/>
            <w:vAlign w:val="center"/>
          </w:tcPr>
          <w:p w14:paraId="4C6F5B8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网络摄像机</w:t>
            </w:r>
          </w:p>
        </w:tc>
        <w:tc>
          <w:tcPr>
            <w:tcW w:w="6816" w:type="dxa"/>
            <w:shd w:val="clear" w:color="auto" w:fill="auto"/>
            <w:vAlign w:val="center"/>
          </w:tcPr>
          <w:p w14:paraId="375892A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400万像素</w:t>
            </w:r>
          </w:p>
        </w:tc>
        <w:tc>
          <w:tcPr>
            <w:tcW w:w="420" w:type="dxa"/>
            <w:shd w:val="clear" w:color="auto" w:fill="auto"/>
            <w:vAlign w:val="center"/>
          </w:tcPr>
          <w:p w14:paraId="0C9EAB8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45ED13B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r>
      <w:tr w14:paraId="17341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22D0881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shd w:val="clear" w:color="auto" w:fill="auto"/>
            <w:noWrap/>
            <w:vAlign w:val="center"/>
          </w:tcPr>
          <w:p w14:paraId="524AF7C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支架</w:t>
            </w:r>
          </w:p>
        </w:tc>
        <w:tc>
          <w:tcPr>
            <w:tcW w:w="6816" w:type="dxa"/>
            <w:shd w:val="clear" w:color="auto" w:fill="auto"/>
            <w:vAlign w:val="center"/>
          </w:tcPr>
          <w:p w14:paraId="78A2074E">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壁装</w:t>
            </w:r>
          </w:p>
        </w:tc>
        <w:tc>
          <w:tcPr>
            <w:tcW w:w="420" w:type="dxa"/>
            <w:shd w:val="clear" w:color="auto" w:fill="auto"/>
            <w:vAlign w:val="center"/>
          </w:tcPr>
          <w:p w14:paraId="48506A8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27" w:type="dxa"/>
            <w:shd w:val="clear" w:color="auto" w:fill="auto"/>
            <w:vAlign w:val="center"/>
          </w:tcPr>
          <w:p w14:paraId="454DEA8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r>
      <w:tr w14:paraId="409EA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671F82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4" w:type="dxa"/>
            <w:shd w:val="clear" w:color="auto" w:fill="auto"/>
            <w:noWrap/>
            <w:vAlign w:val="center"/>
          </w:tcPr>
          <w:p w14:paraId="0D288F3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24口网络交换机</w:t>
            </w:r>
          </w:p>
        </w:tc>
        <w:tc>
          <w:tcPr>
            <w:tcW w:w="6816" w:type="dxa"/>
            <w:shd w:val="clear" w:color="auto" w:fill="auto"/>
            <w:vAlign w:val="center"/>
          </w:tcPr>
          <w:p w14:paraId="10E544A3">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（1）交换容量≥336Gbps，包转发率≥42Mpps；</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（2）实配24个千兆电口，4个千兆 SFP；</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（3）无风扇，自然散热；</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（4）支持 MAC 地址≥16K，支持 4K VLAN；</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（5）支持 IPv4、IPv6 静态路由；</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（6）MTBF（平均无故障时间）超过 40 年 ，可用度满足 99.999%的电信级可靠性要求；</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（7）业务口防雷可达≥10KV；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（8）使用非工业级光模块情况下的长期工作环境温度范围：-5℃~45℃，长期工作环境相对湿度为 5%~95%，非凝露；</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（9）支持 802.3az 能效以太网 EEE，节能环保；</w:t>
            </w:r>
          </w:p>
        </w:tc>
        <w:tc>
          <w:tcPr>
            <w:tcW w:w="420" w:type="dxa"/>
            <w:shd w:val="clear" w:color="auto" w:fill="auto"/>
            <w:vAlign w:val="center"/>
          </w:tcPr>
          <w:p w14:paraId="041A8BC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627" w:type="dxa"/>
            <w:shd w:val="clear" w:color="auto" w:fill="auto"/>
            <w:vAlign w:val="center"/>
          </w:tcPr>
          <w:p w14:paraId="2DFA23E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64078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440F3B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044" w:type="dxa"/>
            <w:shd w:val="clear" w:color="auto" w:fill="auto"/>
            <w:noWrap/>
            <w:vAlign w:val="center"/>
          </w:tcPr>
          <w:p w14:paraId="1A83FB4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收发器</w:t>
            </w:r>
          </w:p>
        </w:tc>
        <w:tc>
          <w:tcPr>
            <w:tcW w:w="6816" w:type="dxa"/>
            <w:shd w:val="clear" w:color="auto" w:fill="auto"/>
            <w:vAlign w:val="center"/>
          </w:tcPr>
          <w:p w14:paraId="48C5697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(1)至少具备4个千兆电口+1个千兆光口（含光模块，SC接口，单模单纤20公里）；</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(2)适用于项目安装条件，体积不超过35毫米×145毫米×115毫米；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(3)遮喷铝合金外壳，耐腐蚀耐氧化永不生锈，防护等级不低于IP40；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(4)具备供电指示灯，且采用PVC进行防护；</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(5)具备外置防雷接地线；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(6)采用防松动螺丝紧固式端子式电源接头；</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(7)支持100-240V的AC和DC供电，不得采用外置电源适配器；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(8)背板带宽不小于10Gbps，适用于需要高流量低延时业务；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(9)运行温度 ：-20度到75度；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(10)实际数量根据现场情况定制；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(11)支持基于IEC62439的MRD-RING环网冗余功能，自愈时间不高于50毫秒；</w:t>
            </w:r>
          </w:p>
        </w:tc>
        <w:tc>
          <w:tcPr>
            <w:tcW w:w="420" w:type="dxa"/>
            <w:shd w:val="clear" w:color="auto" w:fill="auto"/>
            <w:vAlign w:val="center"/>
          </w:tcPr>
          <w:p w14:paraId="6C94A48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w:t>
            </w:r>
          </w:p>
        </w:tc>
        <w:tc>
          <w:tcPr>
            <w:tcW w:w="627" w:type="dxa"/>
            <w:shd w:val="clear" w:color="auto" w:fill="auto"/>
            <w:vAlign w:val="center"/>
          </w:tcPr>
          <w:p w14:paraId="00A19A35">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7BB77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2A4F77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044" w:type="dxa"/>
            <w:shd w:val="clear" w:color="auto" w:fill="auto"/>
            <w:noWrap/>
            <w:vAlign w:val="center"/>
          </w:tcPr>
          <w:p w14:paraId="0BF3ADC4">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远程紧急控制系统</w:t>
            </w:r>
          </w:p>
        </w:tc>
        <w:tc>
          <w:tcPr>
            <w:tcW w:w="6816" w:type="dxa"/>
            <w:shd w:val="clear" w:color="auto" w:fill="auto"/>
            <w:vAlign w:val="center"/>
          </w:tcPr>
          <w:p w14:paraId="018031B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远程控制</w:t>
            </w:r>
          </w:p>
        </w:tc>
        <w:tc>
          <w:tcPr>
            <w:tcW w:w="420" w:type="dxa"/>
            <w:shd w:val="clear" w:color="auto" w:fill="auto"/>
            <w:vAlign w:val="center"/>
          </w:tcPr>
          <w:p w14:paraId="09C0B43D">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627" w:type="dxa"/>
            <w:shd w:val="clear" w:color="auto" w:fill="auto"/>
            <w:vAlign w:val="center"/>
          </w:tcPr>
          <w:p w14:paraId="24BDF2A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6482D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E980FD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044" w:type="dxa"/>
            <w:shd w:val="clear" w:color="auto" w:fill="auto"/>
            <w:noWrap/>
            <w:vAlign w:val="center"/>
          </w:tcPr>
          <w:p w14:paraId="71CC9AB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非屏蔽六类网线</w:t>
            </w:r>
          </w:p>
        </w:tc>
        <w:tc>
          <w:tcPr>
            <w:tcW w:w="6816" w:type="dxa"/>
            <w:shd w:val="clear" w:color="auto" w:fill="auto"/>
            <w:vAlign w:val="center"/>
          </w:tcPr>
          <w:p w14:paraId="06845C31">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1)在Cat.6系统应用中，提供至少250MHz的信道带宽。</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2)支持千兆以太网应用，以及传输速率高达2.4Gbps的局域网协议。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3)骨芯结构：十字骨龙芯，提供更稳定的性能及线缆支撑。</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4)线芯规格：24AWG/23AWG无氧铜。</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5)绝缘材料：高密度聚乙烯HDPE，厚度0.2mm。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6)护套材料：PVC或 阻燃LSZH或 室外聚乙烯LDPE。</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7)线缆包装：可提供带轴包装和采用REELEX技术包装。</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8)最大承受拉力：11.34Kg。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9)最大直流电阻：≤9.5</w:t>
            </w:r>
            <w:r>
              <w:rPr>
                <w:rFonts w:ascii="Calibri" w:hAnsi="Calibri" w:eastAsia="宋体" w:cs="Calibri"/>
                <w:i w:val="0"/>
                <w:iCs w:val="0"/>
                <w:color w:val="000000"/>
                <w:kern w:val="0"/>
                <w:sz w:val="22"/>
                <w:szCs w:val="22"/>
                <w:u w:val="none"/>
                <w:lang w:val="en-US" w:eastAsia="zh-CN" w:bidi="ar"/>
              </w:rPr>
              <w:t>Ω</w:t>
            </w:r>
            <w:r>
              <w:rPr>
                <w:rStyle w:val="32"/>
                <w:lang w:val="en-US" w:eastAsia="zh-CN" w:bidi="ar"/>
              </w:rPr>
              <w:t xml:space="preserve">/100m。 </w:t>
            </w:r>
            <w:r>
              <w:rPr>
                <w:rStyle w:val="32"/>
                <w:lang w:val="en-US" w:eastAsia="zh-CN" w:bidi="ar"/>
              </w:rPr>
              <w:br w:type="textWrapping"/>
            </w:r>
            <w:r>
              <w:rPr>
                <w:rStyle w:val="32"/>
                <w:lang w:val="en-US" w:eastAsia="zh-CN" w:bidi="ar"/>
              </w:rPr>
              <w:t>10)安装温度：0至 +50℃，工作温度：-15至+60℃。</w:t>
            </w:r>
          </w:p>
        </w:tc>
        <w:tc>
          <w:tcPr>
            <w:tcW w:w="420" w:type="dxa"/>
            <w:shd w:val="clear" w:color="auto" w:fill="auto"/>
            <w:vAlign w:val="center"/>
          </w:tcPr>
          <w:p w14:paraId="4AEF6A36">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c>
          <w:tcPr>
            <w:tcW w:w="627" w:type="dxa"/>
            <w:shd w:val="clear" w:color="auto" w:fill="auto"/>
            <w:vAlign w:val="center"/>
          </w:tcPr>
          <w:p w14:paraId="44DB409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w:t>
            </w:r>
          </w:p>
        </w:tc>
      </w:tr>
      <w:tr w14:paraId="342AE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3DA8D91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044" w:type="dxa"/>
            <w:shd w:val="clear" w:color="auto" w:fill="auto"/>
            <w:noWrap/>
            <w:vAlign w:val="center"/>
          </w:tcPr>
          <w:p w14:paraId="0C369A1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电源线</w:t>
            </w:r>
          </w:p>
        </w:tc>
        <w:tc>
          <w:tcPr>
            <w:tcW w:w="6816" w:type="dxa"/>
            <w:shd w:val="clear" w:color="auto" w:fill="auto"/>
            <w:vAlign w:val="center"/>
          </w:tcPr>
          <w:p w14:paraId="736E915C">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RVV2*1.0</w:t>
            </w:r>
          </w:p>
        </w:tc>
        <w:tc>
          <w:tcPr>
            <w:tcW w:w="420" w:type="dxa"/>
            <w:shd w:val="clear" w:color="auto" w:fill="auto"/>
            <w:vAlign w:val="center"/>
          </w:tcPr>
          <w:p w14:paraId="7AD9402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c>
          <w:tcPr>
            <w:tcW w:w="627" w:type="dxa"/>
            <w:shd w:val="clear" w:color="auto" w:fill="auto"/>
            <w:vAlign w:val="center"/>
          </w:tcPr>
          <w:p w14:paraId="776347DB">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420</w:t>
            </w:r>
          </w:p>
        </w:tc>
      </w:tr>
      <w:tr w14:paraId="0D7E6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0796B79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44" w:type="dxa"/>
            <w:shd w:val="clear" w:color="auto" w:fill="auto"/>
            <w:noWrap/>
            <w:vAlign w:val="center"/>
          </w:tcPr>
          <w:p w14:paraId="0B5005D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pvc管材</w:t>
            </w:r>
          </w:p>
        </w:tc>
        <w:tc>
          <w:tcPr>
            <w:tcW w:w="6816" w:type="dxa"/>
            <w:shd w:val="clear" w:color="auto" w:fill="auto"/>
            <w:vAlign w:val="center"/>
          </w:tcPr>
          <w:p w14:paraId="03AC6E0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根据现场定制25/32/39</w:t>
            </w:r>
          </w:p>
        </w:tc>
        <w:tc>
          <w:tcPr>
            <w:tcW w:w="420" w:type="dxa"/>
            <w:shd w:val="clear" w:color="auto" w:fill="auto"/>
            <w:vAlign w:val="center"/>
          </w:tcPr>
          <w:p w14:paraId="576FB520">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c>
          <w:tcPr>
            <w:tcW w:w="627" w:type="dxa"/>
            <w:shd w:val="clear" w:color="auto" w:fill="auto"/>
            <w:vAlign w:val="center"/>
          </w:tcPr>
          <w:p w14:paraId="13DD378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w:t>
            </w:r>
          </w:p>
        </w:tc>
      </w:tr>
      <w:tr w14:paraId="47BC4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5002F388">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044" w:type="dxa"/>
            <w:shd w:val="clear" w:color="auto" w:fill="auto"/>
            <w:noWrap/>
            <w:vAlign w:val="center"/>
          </w:tcPr>
          <w:p w14:paraId="383BDA2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配件</w:t>
            </w:r>
          </w:p>
        </w:tc>
        <w:tc>
          <w:tcPr>
            <w:tcW w:w="6816" w:type="dxa"/>
            <w:shd w:val="clear" w:color="auto" w:fill="auto"/>
            <w:vAlign w:val="center"/>
          </w:tcPr>
          <w:p w14:paraId="5F7A99EA">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配件辅材(电源排插、电工胶布、水晶头、扎带、软管、金属管等等)</w:t>
            </w:r>
          </w:p>
        </w:tc>
        <w:tc>
          <w:tcPr>
            <w:tcW w:w="420" w:type="dxa"/>
            <w:shd w:val="clear" w:color="auto" w:fill="auto"/>
            <w:vAlign w:val="center"/>
          </w:tcPr>
          <w:p w14:paraId="33B17B8F">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c>
          <w:tcPr>
            <w:tcW w:w="627" w:type="dxa"/>
            <w:shd w:val="clear" w:color="auto" w:fill="auto"/>
            <w:vAlign w:val="center"/>
          </w:tcPr>
          <w:p w14:paraId="224FF3C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260BE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0" w:hRule="atLeast"/>
          <w:jc w:val="center"/>
        </w:trPr>
        <w:tc>
          <w:tcPr>
            <w:tcW w:w="530" w:type="dxa"/>
            <w:shd w:val="clear" w:color="auto" w:fill="auto"/>
            <w:noWrap/>
            <w:vAlign w:val="center"/>
          </w:tcPr>
          <w:p w14:paraId="6942EAB2">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7860" w:type="dxa"/>
            <w:gridSpan w:val="2"/>
            <w:shd w:val="clear" w:color="auto" w:fill="auto"/>
            <w:vAlign w:val="center"/>
          </w:tcPr>
          <w:p w14:paraId="5AA9C44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安装调试费</w:t>
            </w:r>
          </w:p>
        </w:tc>
        <w:tc>
          <w:tcPr>
            <w:tcW w:w="420" w:type="dxa"/>
            <w:shd w:val="clear" w:color="auto" w:fill="auto"/>
            <w:vAlign w:val="center"/>
          </w:tcPr>
          <w:p w14:paraId="7EEF23E9">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c>
          <w:tcPr>
            <w:tcW w:w="627" w:type="dxa"/>
            <w:shd w:val="clear" w:color="auto" w:fill="auto"/>
            <w:vAlign w:val="center"/>
          </w:tcPr>
          <w:p w14:paraId="1D3D6357">
            <w:pPr>
              <w:keepNext w:val="0"/>
              <w:keepLines w:val="0"/>
              <w:pageBreakBefore w:val="0"/>
              <w:widowControl/>
              <w:suppressLineNumbers w:val="0"/>
              <w:kinsoku/>
              <w:wordWrap/>
              <w:overflowPunct/>
              <w:topLinePunct w:val="0"/>
              <w:autoSpaceDE/>
              <w:autoSpaceDN/>
              <w:bidi w:val="0"/>
              <w:adjustRightInd/>
              <w:snapToGrid/>
              <w:spacing w:line="312"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bl>
    <w:p w14:paraId="32183A1E">
      <w:pPr>
        <w:bidi w:val="0"/>
        <w:spacing w:line="240" w:lineRule="auto"/>
        <w:ind w:left="0" w:leftChars="0" w:firstLine="0" w:firstLineChars="0"/>
      </w:pPr>
    </w:p>
    <w:p w14:paraId="77BA2A54">
      <w:pPr>
        <w:pStyle w:val="4"/>
        <w:rPr>
          <w:rFonts w:ascii="宋体" w:hAnsi="宋体" w:cs="宋体"/>
        </w:rPr>
      </w:pPr>
      <w:bookmarkStart w:id="9" w:name="_Toc13636"/>
      <w:r>
        <w:rPr>
          <w:rFonts w:hint="eastAsia" w:ascii="宋体" w:hAnsi="宋体" w:cs="宋体"/>
        </w:rPr>
        <w:t>安装示意图与效果图展示</w:t>
      </w:r>
      <w:bookmarkEnd w:id="9"/>
    </w:p>
    <w:p w14:paraId="47F381A2">
      <w:pPr>
        <w:pStyle w:val="5"/>
        <w:rPr>
          <w:rFonts w:ascii="宋体" w:hAnsi="宋体" w:cs="宋体"/>
        </w:rPr>
      </w:pPr>
      <w:bookmarkStart w:id="10" w:name="_Toc13215"/>
      <w:r>
        <w:rPr>
          <w:rFonts w:hint="eastAsia" w:ascii="宋体" w:hAnsi="宋体" w:cs="宋体"/>
        </w:rPr>
        <w:t>安装示意图</w:t>
      </w:r>
      <w:bookmarkEnd w:id="10"/>
    </w:p>
    <w:p w14:paraId="36D6719C">
      <w:pPr>
        <w:ind w:firstLine="0" w:firstLineChars="0"/>
        <w:jc w:val="center"/>
        <w:rPr>
          <w:rFonts w:ascii="宋体" w:hAnsi="宋体" w:cs="宋体"/>
        </w:rPr>
      </w:pPr>
      <w:r>
        <w:rPr>
          <w:rFonts w:hint="eastAsia" w:ascii="宋体" w:hAnsi="宋体" w:cs="宋体"/>
        </w:rPr>
        <w:drawing>
          <wp:inline distT="0" distB="0" distL="114300" distR="114300">
            <wp:extent cx="4319270" cy="3054985"/>
            <wp:effectExtent l="0" t="0" r="5080" b="12065"/>
            <wp:docPr id="16" name="图片 8" descr="C:/Users/Administrator/AppData/Local/Temp/picturecompress_2021091511430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descr="C:/Users/Administrator/AppData/Local/Temp/picturecompress_20210915114302/output_1.jpgoutput_1"/>
                    <pic:cNvPicPr>
                      <a:picLocks noChangeAspect="1"/>
                    </pic:cNvPicPr>
                  </pic:nvPicPr>
                  <pic:blipFill>
                    <a:blip r:embed="rId13"/>
                    <a:stretch>
                      <a:fillRect/>
                    </a:stretch>
                  </pic:blipFill>
                  <pic:spPr>
                    <a:xfrm>
                      <a:off x="0" y="0"/>
                      <a:ext cx="4319270" cy="3054985"/>
                    </a:xfrm>
                    <a:prstGeom prst="rect">
                      <a:avLst/>
                    </a:prstGeom>
                    <a:noFill/>
                    <a:ln>
                      <a:noFill/>
                    </a:ln>
                  </pic:spPr>
                </pic:pic>
              </a:graphicData>
            </a:graphic>
          </wp:inline>
        </w:drawing>
      </w:r>
    </w:p>
    <w:p w14:paraId="276BB0FD">
      <w:pPr>
        <w:ind w:firstLine="0" w:firstLineChars="0"/>
        <w:jc w:val="center"/>
        <w:rPr>
          <w:rFonts w:ascii="宋体" w:hAnsi="宋体" w:cs="宋体"/>
        </w:rPr>
      </w:pPr>
      <w:r>
        <w:rPr>
          <w:rFonts w:hint="eastAsia" w:ascii="宋体" w:hAnsi="宋体" w:cs="宋体"/>
        </w:rPr>
        <w:drawing>
          <wp:inline distT="0" distB="0" distL="114300" distR="114300">
            <wp:extent cx="4432300" cy="2800985"/>
            <wp:effectExtent l="0" t="0" r="6350" b="18415"/>
            <wp:docPr id="17" name="图片 9" descr="07b222c107e70f2e7190a38898c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07b222c107e70f2e7190a38898c0667"/>
                    <pic:cNvPicPr>
                      <a:picLocks noChangeAspect="1"/>
                    </pic:cNvPicPr>
                  </pic:nvPicPr>
                  <pic:blipFill>
                    <a:blip r:embed="rId14"/>
                    <a:stretch>
                      <a:fillRect/>
                    </a:stretch>
                  </pic:blipFill>
                  <pic:spPr>
                    <a:xfrm>
                      <a:off x="0" y="0"/>
                      <a:ext cx="4432300" cy="2800985"/>
                    </a:xfrm>
                    <a:prstGeom prst="rect">
                      <a:avLst/>
                    </a:prstGeom>
                    <a:noFill/>
                    <a:ln>
                      <a:noFill/>
                    </a:ln>
                  </pic:spPr>
                </pic:pic>
              </a:graphicData>
            </a:graphic>
          </wp:inline>
        </w:drawing>
      </w:r>
      <w:r>
        <w:rPr>
          <w:rFonts w:hint="eastAsia" w:ascii="宋体" w:hAnsi="宋体" w:cs="宋体"/>
        </w:rPr>
        <w:drawing>
          <wp:inline distT="0" distB="0" distL="114300" distR="114300">
            <wp:extent cx="5439410" cy="2089150"/>
            <wp:effectExtent l="0" t="0" r="8890" b="6350"/>
            <wp:docPr id="4" name="图片 2" descr="全自动升降柱安装图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全自动升降柱安装图纸"/>
                    <pic:cNvPicPr>
                      <a:picLocks noChangeAspect="1"/>
                    </pic:cNvPicPr>
                  </pic:nvPicPr>
                  <pic:blipFill>
                    <a:blip r:embed="rId15"/>
                    <a:srcRect l="11519" t="29033" r="4841"/>
                    <a:stretch>
                      <a:fillRect/>
                    </a:stretch>
                  </pic:blipFill>
                  <pic:spPr>
                    <a:xfrm>
                      <a:off x="0" y="0"/>
                      <a:ext cx="5439410" cy="2089150"/>
                    </a:xfrm>
                    <a:prstGeom prst="rect">
                      <a:avLst/>
                    </a:prstGeom>
                    <a:noFill/>
                    <a:ln w="9525">
                      <a:noFill/>
                    </a:ln>
                  </pic:spPr>
                </pic:pic>
              </a:graphicData>
            </a:graphic>
          </wp:inline>
        </w:drawing>
      </w:r>
    </w:p>
    <w:p w14:paraId="24B1D111">
      <w:pPr>
        <w:pStyle w:val="5"/>
        <w:rPr>
          <w:rFonts w:ascii="宋体" w:hAnsi="宋体" w:cs="宋体"/>
        </w:rPr>
      </w:pPr>
      <w:bookmarkStart w:id="11" w:name="_Toc24086"/>
      <w:r>
        <w:rPr>
          <w:rFonts w:hint="eastAsia" w:ascii="宋体" w:hAnsi="宋体" w:cs="宋体"/>
        </w:rPr>
        <w:t>效果图展示</w:t>
      </w:r>
      <w:bookmarkEnd w:id="11"/>
    </w:p>
    <w:p w14:paraId="753A3473">
      <w:pPr>
        <w:pStyle w:val="6"/>
        <w:bidi w:val="0"/>
      </w:pPr>
      <w:bookmarkStart w:id="12" w:name="_Toc18316"/>
      <w:bookmarkStart w:id="13" w:name="_Toc16103"/>
      <w:r>
        <w:rPr>
          <w:rFonts w:hint="eastAsia"/>
        </w:rPr>
        <w:t>北院急诊</w:t>
      </w:r>
      <w:r>
        <w:rPr>
          <w:rFonts w:hint="eastAsia"/>
          <w:lang w:val="en-US" w:eastAsia="zh-CN"/>
        </w:rPr>
        <w:t>效果图</w:t>
      </w:r>
      <w:bookmarkEnd w:id="12"/>
      <w:bookmarkEnd w:id="13"/>
    </w:p>
    <w:p w14:paraId="0ACF67AF">
      <w:pPr>
        <w:ind w:firstLine="0" w:firstLineChars="0"/>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381625" cy="3964305"/>
            <wp:effectExtent l="0" t="0" r="9525" b="17145"/>
            <wp:docPr id="7" name="图片 7" descr="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效果图"/>
                    <pic:cNvPicPr>
                      <a:picLocks noChangeAspect="1"/>
                    </pic:cNvPicPr>
                  </pic:nvPicPr>
                  <pic:blipFill>
                    <a:blip r:embed="rId16"/>
                    <a:stretch>
                      <a:fillRect/>
                    </a:stretch>
                  </pic:blipFill>
                  <pic:spPr>
                    <a:xfrm>
                      <a:off x="0" y="0"/>
                      <a:ext cx="5381625" cy="3964305"/>
                    </a:xfrm>
                    <a:prstGeom prst="rect">
                      <a:avLst/>
                    </a:prstGeom>
                  </pic:spPr>
                </pic:pic>
              </a:graphicData>
            </a:graphic>
          </wp:inline>
        </w:drawing>
      </w:r>
      <w:r>
        <w:rPr>
          <w:rFonts w:hint="eastAsia" w:ascii="宋体" w:hAnsi="宋体" w:eastAsia="宋体" w:cs="宋体"/>
          <w:lang w:eastAsia="zh-CN"/>
        </w:rPr>
        <w:drawing>
          <wp:inline distT="0" distB="0" distL="114300" distR="114300">
            <wp:extent cx="5381625" cy="3963035"/>
            <wp:effectExtent l="0" t="0" r="9525" b="18415"/>
            <wp:docPr id="8" name="图片 8" descr="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效果图"/>
                    <pic:cNvPicPr>
                      <a:picLocks noChangeAspect="1"/>
                    </pic:cNvPicPr>
                  </pic:nvPicPr>
                  <pic:blipFill>
                    <a:blip r:embed="rId17"/>
                    <a:stretch>
                      <a:fillRect/>
                    </a:stretch>
                  </pic:blipFill>
                  <pic:spPr>
                    <a:xfrm>
                      <a:off x="0" y="0"/>
                      <a:ext cx="5381625" cy="3963035"/>
                    </a:xfrm>
                    <a:prstGeom prst="rect">
                      <a:avLst/>
                    </a:prstGeom>
                  </pic:spPr>
                </pic:pic>
              </a:graphicData>
            </a:graphic>
          </wp:inline>
        </w:drawing>
      </w:r>
    </w:p>
    <w:p w14:paraId="4834C1C5">
      <w:pPr>
        <w:pStyle w:val="6"/>
        <w:bidi w:val="0"/>
        <w:rPr>
          <w:rFonts w:hint="eastAsia"/>
          <w:lang w:eastAsia="zh-CN"/>
        </w:rPr>
      </w:pPr>
      <w:bookmarkStart w:id="14" w:name="_Toc7851"/>
      <w:bookmarkStart w:id="15" w:name="_Toc1101"/>
      <w:r>
        <w:rPr>
          <w:rFonts w:hint="eastAsia"/>
          <w:lang w:eastAsia="zh-CN"/>
        </w:rPr>
        <w:t>北院大门</w:t>
      </w:r>
      <w:r>
        <w:rPr>
          <w:rFonts w:hint="eastAsia"/>
          <w:lang w:val="en-US" w:eastAsia="zh-CN"/>
        </w:rPr>
        <w:t>效果图</w:t>
      </w:r>
      <w:bookmarkEnd w:id="14"/>
      <w:bookmarkEnd w:id="15"/>
    </w:p>
    <w:p w14:paraId="4435BF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eastAsia="zh-CN"/>
        </w:rPr>
      </w:pPr>
      <w:r>
        <w:rPr>
          <w:rFonts w:hint="eastAsia"/>
          <w:lang w:eastAsia="zh-CN"/>
        </w:rPr>
        <w:drawing>
          <wp:inline distT="0" distB="0" distL="114300" distR="114300">
            <wp:extent cx="5428615" cy="4057015"/>
            <wp:effectExtent l="0" t="0" r="635" b="635"/>
            <wp:docPr id="21" name="图片 21" descr="效果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效果图2"/>
                    <pic:cNvPicPr>
                      <a:picLocks noChangeAspect="1"/>
                    </pic:cNvPicPr>
                  </pic:nvPicPr>
                  <pic:blipFill>
                    <a:blip r:embed="rId18"/>
                    <a:stretch>
                      <a:fillRect/>
                    </a:stretch>
                  </pic:blipFill>
                  <pic:spPr>
                    <a:xfrm>
                      <a:off x="0" y="0"/>
                      <a:ext cx="5428615" cy="4057015"/>
                    </a:xfrm>
                    <a:prstGeom prst="rect">
                      <a:avLst/>
                    </a:prstGeom>
                  </pic:spPr>
                </pic:pic>
              </a:graphicData>
            </a:graphic>
          </wp:inline>
        </w:drawing>
      </w:r>
    </w:p>
    <w:p w14:paraId="786D3898">
      <w:pPr>
        <w:pStyle w:val="2"/>
        <w:jc w:val="center"/>
        <w:rPr>
          <w:rFonts w:hint="eastAsia"/>
          <w:lang w:eastAsia="zh-CN"/>
        </w:rPr>
      </w:pPr>
      <w:r>
        <w:rPr>
          <w:rFonts w:hint="eastAsia"/>
          <w:lang w:eastAsia="zh-CN"/>
        </w:rPr>
        <w:drawing>
          <wp:inline distT="0" distB="0" distL="114300" distR="114300">
            <wp:extent cx="5428615" cy="4055110"/>
            <wp:effectExtent l="0" t="0" r="635" b="2540"/>
            <wp:docPr id="1" name="图片 1" descr="效果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效果图2"/>
                    <pic:cNvPicPr>
                      <a:picLocks noChangeAspect="1"/>
                    </pic:cNvPicPr>
                  </pic:nvPicPr>
                  <pic:blipFill>
                    <a:blip r:embed="rId19"/>
                    <a:stretch>
                      <a:fillRect/>
                    </a:stretch>
                  </pic:blipFill>
                  <pic:spPr>
                    <a:xfrm>
                      <a:off x="0" y="0"/>
                      <a:ext cx="5428615" cy="4055110"/>
                    </a:xfrm>
                    <a:prstGeom prst="rect">
                      <a:avLst/>
                    </a:prstGeom>
                  </pic:spPr>
                </pic:pic>
              </a:graphicData>
            </a:graphic>
          </wp:inline>
        </w:drawing>
      </w:r>
    </w:p>
    <w:p w14:paraId="0C43B571">
      <w:pPr>
        <w:pStyle w:val="6"/>
        <w:bidi w:val="0"/>
        <w:rPr>
          <w:rFonts w:hint="eastAsia"/>
          <w:lang w:eastAsia="zh-CN"/>
        </w:rPr>
      </w:pPr>
      <w:bookmarkStart w:id="16" w:name="_Toc1934"/>
      <w:bookmarkStart w:id="17" w:name="_Toc9065"/>
      <w:r>
        <w:rPr>
          <w:rFonts w:hint="eastAsia"/>
          <w:lang w:val="en-US" w:eastAsia="zh-CN"/>
        </w:rPr>
        <w:t>北</w:t>
      </w:r>
      <w:r>
        <w:rPr>
          <w:rFonts w:hint="eastAsia"/>
          <w:lang w:eastAsia="zh-CN"/>
        </w:rPr>
        <w:t>院北门</w:t>
      </w:r>
      <w:r>
        <w:rPr>
          <w:rFonts w:hint="eastAsia"/>
          <w:lang w:val="en-US" w:eastAsia="zh-CN"/>
        </w:rPr>
        <w:t>效果图</w:t>
      </w:r>
      <w:bookmarkEnd w:id="16"/>
    </w:p>
    <w:p w14:paraId="5BC55E58">
      <w:pPr>
        <w:ind w:left="0" w:leftChars="0" w:firstLine="0" w:firstLineChars="0"/>
        <w:jc w:val="center"/>
        <w:rPr>
          <w:rFonts w:hint="eastAsia"/>
          <w:lang w:eastAsia="zh-CN"/>
        </w:rPr>
      </w:pPr>
      <w:r>
        <w:rPr>
          <w:rFonts w:hint="eastAsia"/>
          <w:lang w:eastAsia="zh-CN"/>
        </w:rPr>
        <w:drawing>
          <wp:inline distT="0" distB="0" distL="114300" distR="114300">
            <wp:extent cx="5529580" cy="4146550"/>
            <wp:effectExtent l="0" t="0" r="13970" b="6350"/>
            <wp:docPr id="9" name="图片 9" descr="ecefbafac71adffca448c5a75b3a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cefbafac71adffca448c5a75b3a47d"/>
                    <pic:cNvPicPr>
                      <a:picLocks noChangeAspect="1"/>
                    </pic:cNvPicPr>
                  </pic:nvPicPr>
                  <pic:blipFill>
                    <a:blip r:embed="rId20"/>
                    <a:stretch>
                      <a:fillRect/>
                    </a:stretch>
                  </pic:blipFill>
                  <pic:spPr>
                    <a:xfrm>
                      <a:off x="0" y="0"/>
                      <a:ext cx="5529580" cy="4146550"/>
                    </a:xfrm>
                    <a:prstGeom prst="rect">
                      <a:avLst/>
                    </a:prstGeom>
                  </pic:spPr>
                </pic:pic>
              </a:graphicData>
            </a:graphic>
          </wp:inline>
        </w:drawing>
      </w:r>
      <w:r>
        <w:rPr>
          <w:rFonts w:hint="eastAsia"/>
          <w:lang w:eastAsia="zh-CN"/>
        </w:rPr>
        <w:drawing>
          <wp:inline distT="0" distB="0" distL="114300" distR="114300">
            <wp:extent cx="5529580" cy="4147185"/>
            <wp:effectExtent l="0" t="0" r="13970" b="5715"/>
            <wp:docPr id="15" name="图片 15" descr="ecefbafac71adffca448c5a75b3a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cefbafac71adffca448c5a75b3a47d"/>
                    <pic:cNvPicPr>
                      <a:picLocks noChangeAspect="1"/>
                    </pic:cNvPicPr>
                  </pic:nvPicPr>
                  <pic:blipFill>
                    <a:blip r:embed="rId21"/>
                    <a:stretch>
                      <a:fillRect/>
                    </a:stretch>
                  </pic:blipFill>
                  <pic:spPr>
                    <a:xfrm>
                      <a:off x="0" y="0"/>
                      <a:ext cx="5529580" cy="4147185"/>
                    </a:xfrm>
                    <a:prstGeom prst="rect">
                      <a:avLst/>
                    </a:prstGeom>
                  </pic:spPr>
                </pic:pic>
              </a:graphicData>
            </a:graphic>
          </wp:inline>
        </w:drawing>
      </w:r>
    </w:p>
    <w:p w14:paraId="118C3FDB">
      <w:pPr>
        <w:pStyle w:val="6"/>
        <w:bidi w:val="0"/>
        <w:rPr>
          <w:rFonts w:hint="eastAsia"/>
          <w:lang w:eastAsia="zh-CN"/>
        </w:rPr>
      </w:pPr>
      <w:bookmarkStart w:id="18" w:name="_Toc8819"/>
      <w:r>
        <w:rPr>
          <w:rFonts w:hint="eastAsia"/>
          <w:lang w:eastAsia="zh-CN"/>
        </w:rPr>
        <w:t>南院北门</w:t>
      </w:r>
      <w:r>
        <w:rPr>
          <w:rFonts w:hint="eastAsia"/>
          <w:lang w:val="en-US" w:eastAsia="zh-CN"/>
        </w:rPr>
        <w:t>效果图</w:t>
      </w:r>
      <w:bookmarkEnd w:id="17"/>
      <w:bookmarkEnd w:id="18"/>
    </w:p>
    <w:p w14:paraId="65AC48A3">
      <w:pPr>
        <w:ind w:left="0" w:leftChars="0" w:firstLine="0" w:firstLineChars="0"/>
        <w:jc w:val="center"/>
        <w:rPr>
          <w:rFonts w:hint="eastAsia"/>
          <w:lang w:eastAsia="zh-CN"/>
        </w:rPr>
      </w:pPr>
      <w:r>
        <w:rPr>
          <w:rFonts w:hint="eastAsia"/>
          <w:lang w:eastAsia="zh-CN"/>
        </w:rPr>
        <w:drawing>
          <wp:inline distT="0" distB="0" distL="114300" distR="114300">
            <wp:extent cx="5454650" cy="4090670"/>
            <wp:effectExtent l="0" t="0" r="12700" b="5080"/>
            <wp:docPr id="12" name="图片 12" descr="效果图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效果图33"/>
                    <pic:cNvPicPr>
                      <a:picLocks noChangeAspect="1"/>
                    </pic:cNvPicPr>
                  </pic:nvPicPr>
                  <pic:blipFill>
                    <a:blip r:embed="rId22"/>
                    <a:stretch>
                      <a:fillRect/>
                    </a:stretch>
                  </pic:blipFill>
                  <pic:spPr>
                    <a:xfrm>
                      <a:off x="0" y="0"/>
                      <a:ext cx="5454650" cy="4090670"/>
                    </a:xfrm>
                    <a:prstGeom prst="rect">
                      <a:avLst/>
                    </a:prstGeom>
                  </pic:spPr>
                </pic:pic>
              </a:graphicData>
            </a:graphic>
          </wp:inline>
        </w:drawing>
      </w:r>
      <w:r>
        <w:rPr>
          <w:rFonts w:hint="eastAsia"/>
          <w:lang w:eastAsia="zh-CN"/>
        </w:rPr>
        <w:drawing>
          <wp:inline distT="0" distB="0" distL="114300" distR="114300">
            <wp:extent cx="5454650" cy="4090670"/>
            <wp:effectExtent l="0" t="0" r="12700" b="5080"/>
            <wp:docPr id="13" name="图片 13" descr="效果图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效果图33"/>
                    <pic:cNvPicPr>
                      <a:picLocks noChangeAspect="1"/>
                    </pic:cNvPicPr>
                  </pic:nvPicPr>
                  <pic:blipFill>
                    <a:blip r:embed="rId23"/>
                    <a:stretch>
                      <a:fillRect/>
                    </a:stretch>
                  </pic:blipFill>
                  <pic:spPr>
                    <a:xfrm>
                      <a:off x="0" y="0"/>
                      <a:ext cx="5454650" cy="4090670"/>
                    </a:xfrm>
                    <a:prstGeom prst="rect">
                      <a:avLst/>
                    </a:prstGeom>
                  </pic:spPr>
                </pic:pic>
              </a:graphicData>
            </a:graphic>
          </wp:inline>
        </w:drawing>
      </w:r>
    </w:p>
    <w:p w14:paraId="7411FE57">
      <w:pPr>
        <w:pStyle w:val="2"/>
        <w:rPr>
          <w:rFonts w:hint="eastAsia"/>
          <w:lang w:eastAsia="zh-CN"/>
        </w:rPr>
      </w:pPr>
    </w:p>
    <w:p w14:paraId="2B1B2FD2">
      <w:pPr>
        <w:pStyle w:val="6"/>
        <w:bidi w:val="0"/>
        <w:rPr>
          <w:rFonts w:hint="eastAsia"/>
          <w:lang w:eastAsia="zh-CN"/>
        </w:rPr>
      </w:pPr>
      <w:bookmarkStart w:id="19" w:name="_Toc12346"/>
      <w:bookmarkStart w:id="20" w:name="_Toc6905"/>
      <w:r>
        <w:rPr>
          <w:rFonts w:hint="eastAsia"/>
          <w:lang w:eastAsia="zh-CN"/>
        </w:rPr>
        <w:t>南院西门</w:t>
      </w:r>
      <w:r>
        <w:rPr>
          <w:rFonts w:hint="eastAsia"/>
          <w:lang w:val="en-US" w:eastAsia="zh-CN"/>
        </w:rPr>
        <w:t>效果图</w:t>
      </w:r>
      <w:bookmarkEnd w:id="19"/>
      <w:bookmarkEnd w:id="20"/>
    </w:p>
    <w:p w14:paraId="7A4EEEB9">
      <w:pPr>
        <w:ind w:left="0" w:leftChars="0" w:firstLine="0" w:firstLineChars="0"/>
        <w:jc w:val="center"/>
        <w:rPr>
          <w:rFonts w:hint="eastAsia"/>
          <w:lang w:eastAsia="zh-CN"/>
        </w:rPr>
      </w:pPr>
      <w:r>
        <w:rPr>
          <w:rFonts w:hint="eastAsia"/>
          <w:lang w:eastAsia="zh-CN"/>
        </w:rPr>
        <w:drawing>
          <wp:inline distT="0" distB="0" distL="114300" distR="114300">
            <wp:extent cx="5477510" cy="4107815"/>
            <wp:effectExtent l="0" t="0" r="8890" b="6985"/>
            <wp:docPr id="20" name="图片 20" descr="西门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西门效果图"/>
                    <pic:cNvPicPr>
                      <a:picLocks noChangeAspect="1"/>
                    </pic:cNvPicPr>
                  </pic:nvPicPr>
                  <pic:blipFill>
                    <a:blip r:embed="rId24"/>
                    <a:stretch>
                      <a:fillRect/>
                    </a:stretch>
                  </pic:blipFill>
                  <pic:spPr>
                    <a:xfrm>
                      <a:off x="0" y="0"/>
                      <a:ext cx="5477510" cy="4107815"/>
                    </a:xfrm>
                    <a:prstGeom prst="rect">
                      <a:avLst/>
                    </a:prstGeom>
                  </pic:spPr>
                </pic:pic>
              </a:graphicData>
            </a:graphic>
          </wp:inline>
        </w:drawing>
      </w:r>
      <w:r>
        <w:rPr>
          <w:rFonts w:hint="eastAsia"/>
          <w:lang w:eastAsia="zh-CN"/>
        </w:rPr>
        <w:drawing>
          <wp:inline distT="0" distB="0" distL="114300" distR="114300">
            <wp:extent cx="5477510" cy="4107815"/>
            <wp:effectExtent l="0" t="0" r="8890" b="6985"/>
            <wp:docPr id="23" name="图片 23" descr="西门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西门效果图"/>
                    <pic:cNvPicPr>
                      <a:picLocks noChangeAspect="1"/>
                    </pic:cNvPicPr>
                  </pic:nvPicPr>
                  <pic:blipFill>
                    <a:blip r:embed="rId25"/>
                    <a:stretch>
                      <a:fillRect/>
                    </a:stretch>
                  </pic:blipFill>
                  <pic:spPr>
                    <a:xfrm>
                      <a:off x="0" y="0"/>
                      <a:ext cx="5477510" cy="4107815"/>
                    </a:xfrm>
                    <a:prstGeom prst="rect">
                      <a:avLst/>
                    </a:prstGeom>
                  </pic:spPr>
                </pic:pic>
              </a:graphicData>
            </a:graphic>
          </wp:inline>
        </w:drawing>
      </w:r>
    </w:p>
    <w:p w14:paraId="4D07F606">
      <w:pPr>
        <w:ind w:firstLine="480"/>
        <w:rPr>
          <w:rFonts w:ascii="宋体" w:hAnsi="宋体" w:cs="宋体"/>
        </w:rPr>
      </w:pPr>
    </w:p>
    <w:sectPr>
      <w:footerReference r:id="rId6" w:type="default"/>
      <w:pgSz w:w="11906" w:h="16838"/>
      <w:pgMar w:top="1417" w:right="1417" w:bottom="1417" w:left="1417"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45939">
    <w:pPr>
      <w:pStyle w:val="13"/>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0D0B9">
                          <w:pPr>
                            <w:pStyle w:val="13"/>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34A0D0B9">
                    <w:pPr>
                      <w:pStyle w:val="13"/>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7E91E3">
    <w:pPr>
      <w:pStyle w:val="13"/>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35B448">
                          <w:pPr>
                            <w:pStyle w:val="13"/>
                            <w:rPr>
                              <w:sz w:val="20"/>
                              <w:szCs w:val="28"/>
                            </w:rPr>
                          </w:pPr>
                          <w:r>
                            <w:rPr>
                              <w:sz w:val="20"/>
                              <w:szCs w:val="28"/>
                            </w:rPr>
                            <w:fldChar w:fldCharType="begin"/>
                          </w:r>
                          <w:r>
                            <w:rPr>
                              <w:sz w:val="20"/>
                              <w:szCs w:val="28"/>
                            </w:rPr>
                            <w:instrText xml:space="preserve"> PAGE  \* MERGEFORMAT </w:instrText>
                          </w:r>
                          <w:r>
                            <w:rPr>
                              <w:sz w:val="20"/>
                              <w:szCs w:val="28"/>
                            </w:rPr>
                            <w:fldChar w:fldCharType="separate"/>
                          </w:r>
                          <w:r>
                            <w:rPr>
                              <w:sz w:val="20"/>
                              <w:szCs w:val="28"/>
                            </w:rPr>
                            <w:t>4</w:t>
                          </w:r>
                          <w:r>
                            <w:rPr>
                              <w:sz w:val="20"/>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7735B448">
                    <w:pPr>
                      <w:pStyle w:val="13"/>
                      <w:rPr>
                        <w:sz w:val="20"/>
                        <w:szCs w:val="28"/>
                      </w:rPr>
                    </w:pPr>
                    <w:r>
                      <w:rPr>
                        <w:sz w:val="20"/>
                        <w:szCs w:val="28"/>
                      </w:rPr>
                      <w:fldChar w:fldCharType="begin"/>
                    </w:r>
                    <w:r>
                      <w:rPr>
                        <w:sz w:val="20"/>
                        <w:szCs w:val="28"/>
                      </w:rPr>
                      <w:instrText xml:space="preserve"> PAGE  \* MERGEFORMAT </w:instrText>
                    </w:r>
                    <w:r>
                      <w:rPr>
                        <w:sz w:val="20"/>
                        <w:szCs w:val="28"/>
                      </w:rPr>
                      <w:fldChar w:fldCharType="separate"/>
                    </w:r>
                    <w:r>
                      <w:rPr>
                        <w:sz w:val="20"/>
                        <w:szCs w:val="28"/>
                      </w:rPr>
                      <w:t>4</w:t>
                    </w:r>
                    <w:r>
                      <w:rPr>
                        <w:sz w:val="20"/>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EED16F"/>
    <w:multiLevelType w:val="singleLevel"/>
    <w:tmpl w:val="8CEED16F"/>
    <w:lvl w:ilvl="0" w:tentative="0">
      <w:start w:val="1"/>
      <w:numFmt w:val="bullet"/>
      <w:lvlText w:val=""/>
      <w:lvlJc w:val="left"/>
      <w:pPr>
        <w:ind w:left="420" w:hanging="420"/>
      </w:pPr>
      <w:rPr>
        <w:rFonts w:hint="default" w:ascii="Wingdings" w:hAnsi="Wingdings"/>
      </w:rPr>
    </w:lvl>
  </w:abstractNum>
  <w:abstractNum w:abstractNumId="1">
    <w:nsid w:val="9246D730"/>
    <w:multiLevelType w:val="singleLevel"/>
    <w:tmpl w:val="9246D730"/>
    <w:lvl w:ilvl="0" w:tentative="0">
      <w:start w:val="1"/>
      <w:numFmt w:val="bullet"/>
      <w:lvlText w:val=""/>
      <w:lvlJc w:val="left"/>
      <w:pPr>
        <w:ind w:left="420" w:hanging="420"/>
      </w:pPr>
      <w:rPr>
        <w:rFonts w:hint="default" w:ascii="Wingdings" w:hAnsi="Wingdings"/>
      </w:rPr>
    </w:lvl>
  </w:abstractNum>
  <w:abstractNum w:abstractNumId="2">
    <w:nsid w:val="16AA63C3"/>
    <w:multiLevelType w:val="singleLevel"/>
    <w:tmpl w:val="16AA63C3"/>
    <w:lvl w:ilvl="0" w:tentative="0">
      <w:start w:val="1"/>
      <w:numFmt w:val="bullet"/>
      <w:lvlText w:val=""/>
      <w:lvlJc w:val="left"/>
      <w:pPr>
        <w:ind w:left="420" w:hanging="420"/>
      </w:pPr>
      <w:rPr>
        <w:rFonts w:hint="default" w:ascii="Wingdings" w:hAnsi="Wingdings"/>
      </w:rPr>
    </w:lvl>
  </w:abstractNum>
  <w:abstractNum w:abstractNumId="3">
    <w:nsid w:val="34144278"/>
    <w:multiLevelType w:val="multilevel"/>
    <w:tmpl w:val="34144278"/>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pStyle w:val="6"/>
      <w:lvlText w:val="%1.%2.%3.%4."/>
      <w:lvlJc w:val="left"/>
      <w:pPr>
        <w:ind w:left="864" w:hanging="864"/>
      </w:pPr>
      <w:rPr>
        <w:rFonts w:hint="default"/>
      </w:rPr>
    </w:lvl>
    <w:lvl w:ilvl="4" w:tentative="0">
      <w:start w:val="1"/>
      <w:numFmt w:val="decimal"/>
      <w:pStyle w:val="7"/>
      <w:lvlText w:val="%1.%2.%3.%4.%5."/>
      <w:lvlJc w:val="left"/>
      <w:pPr>
        <w:ind w:left="1008" w:hanging="1008"/>
      </w:pPr>
      <w:rPr>
        <w:rFonts w:hint="default"/>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4">
    <w:nsid w:val="678338F0"/>
    <w:multiLevelType w:val="singleLevel"/>
    <w:tmpl w:val="678338F0"/>
    <w:lvl w:ilvl="0" w:tentative="0">
      <w:start w:val="1"/>
      <w:numFmt w:val="bullet"/>
      <w:lvlText w:val=""/>
      <w:lvlJc w:val="left"/>
      <w:pPr>
        <w:ind w:left="420" w:hanging="420"/>
      </w:pPr>
      <w:rPr>
        <w:rFonts w:hint="default" w:ascii="Wingdings" w:hAnsi="Wingdings"/>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I5YWVkNGEwYmMyZjNkYjZmODA4OTlmZTBjYzQwZGQifQ=="/>
  </w:docVars>
  <w:rsids>
    <w:rsidRoot w:val="51BB77F1"/>
    <w:rsid w:val="00310543"/>
    <w:rsid w:val="003A3A6F"/>
    <w:rsid w:val="0059626B"/>
    <w:rsid w:val="00AA0FF4"/>
    <w:rsid w:val="00B731B4"/>
    <w:rsid w:val="00B84CE6"/>
    <w:rsid w:val="00DD3597"/>
    <w:rsid w:val="00F60564"/>
    <w:rsid w:val="047B7E6C"/>
    <w:rsid w:val="04C64E6C"/>
    <w:rsid w:val="074B2D67"/>
    <w:rsid w:val="08FA4EDA"/>
    <w:rsid w:val="090E0B90"/>
    <w:rsid w:val="0C96376F"/>
    <w:rsid w:val="0D391303"/>
    <w:rsid w:val="0D425EC2"/>
    <w:rsid w:val="0EE869BD"/>
    <w:rsid w:val="0EEF4FBF"/>
    <w:rsid w:val="1161448A"/>
    <w:rsid w:val="15A45A05"/>
    <w:rsid w:val="15F7286A"/>
    <w:rsid w:val="16D97A61"/>
    <w:rsid w:val="17785036"/>
    <w:rsid w:val="17AF022F"/>
    <w:rsid w:val="1BFF30B9"/>
    <w:rsid w:val="1DD67A76"/>
    <w:rsid w:val="20AA65A3"/>
    <w:rsid w:val="21BE47A1"/>
    <w:rsid w:val="245B1E05"/>
    <w:rsid w:val="255836EE"/>
    <w:rsid w:val="27F51857"/>
    <w:rsid w:val="2BDF57E7"/>
    <w:rsid w:val="2E5907BC"/>
    <w:rsid w:val="2E99443D"/>
    <w:rsid w:val="30661878"/>
    <w:rsid w:val="347A3DCC"/>
    <w:rsid w:val="37074CED"/>
    <w:rsid w:val="3B183EC6"/>
    <w:rsid w:val="3E371A14"/>
    <w:rsid w:val="3ECB4852"/>
    <w:rsid w:val="44E0071B"/>
    <w:rsid w:val="46D234E7"/>
    <w:rsid w:val="47FF7530"/>
    <w:rsid w:val="4D746184"/>
    <w:rsid w:val="4EEA5ECE"/>
    <w:rsid w:val="50E07B05"/>
    <w:rsid w:val="51BB77F1"/>
    <w:rsid w:val="55700164"/>
    <w:rsid w:val="579830A3"/>
    <w:rsid w:val="5A4E104E"/>
    <w:rsid w:val="5FA171DD"/>
    <w:rsid w:val="610B7004"/>
    <w:rsid w:val="693D6EB4"/>
    <w:rsid w:val="6CA74DF9"/>
    <w:rsid w:val="7454695B"/>
    <w:rsid w:val="770E00CE"/>
    <w:rsid w:val="772E53A2"/>
    <w:rsid w:val="77D8094F"/>
    <w:rsid w:val="79305402"/>
    <w:rsid w:val="7A9455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eastAsia="宋体" w:asciiTheme="minorHAnsi" w:hAnsiTheme="minorHAnsi" w:cstheme="minorBidi"/>
      <w:kern w:val="2"/>
      <w:sz w:val="24"/>
      <w:szCs w:val="24"/>
      <w:lang w:val="en-US" w:eastAsia="zh-CN" w:bidi="ar-SA"/>
    </w:rPr>
  </w:style>
  <w:style w:type="paragraph" w:styleId="3">
    <w:name w:val="heading 1"/>
    <w:basedOn w:val="1"/>
    <w:next w:val="1"/>
    <w:qFormat/>
    <w:uiPriority w:val="0"/>
    <w:pPr>
      <w:keepNext/>
      <w:keepLines/>
      <w:numPr>
        <w:ilvl w:val="0"/>
        <w:numId w:val="1"/>
      </w:numPr>
      <w:ind w:left="0" w:firstLine="0" w:firstLineChars="0"/>
      <w:outlineLvl w:val="0"/>
    </w:pPr>
    <w:rPr>
      <w:b/>
      <w:kern w:val="44"/>
      <w:sz w:val="28"/>
    </w:rPr>
  </w:style>
  <w:style w:type="paragraph" w:styleId="4">
    <w:name w:val="heading 2"/>
    <w:basedOn w:val="1"/>
    <w:next w:val="1"/>
    <w:unhideWhenUsed/>
    <w:qFormat/>
    <w:uiPriority w:val="0"/>
    <w:pPr>
      <w:keepNext/>
      <w:keepLines/>
      <w:numPr>
        <w:ilvl w:val="1"/>
        <w:numId w:val="1"/>
      </w:numPr>
      <w:ind w:left="0" w:firstLine="0" w:firstLineChars="0"/>
      <w:jc w:val="left"/>
      <w:outlineLvl w:val="1"/>
    </w:pPr>
    <w:rPr>
      <w:rFonts w:ascii="Arial" w:hAnsi="Arial"/>
      <w:b/>
    </w:rPr>
  </w:style>
  <w:style w:type="paragraph" w:styleId="5">
    <w:name w:val="heading 3"/>
    <w:basedOn w:val="1"/>
    <w:next w:val="1"/>
    <w:unhideWhenUsed/>
    <w:qFormat/>
    <w:uiPriority w:val="0"/>
    <w:pPr>
      <w:keepNext/>
      <w:keepLines/>
      <w:numPr>
        <w:ilvl w:val="2"/>
        <w:numId w:val="1"/>
      </w:numPr>
      <w:ind w:left="0" w:firstLine="0" w:firstLineChars="0"/>
      <w:jc w:val="left"/>
      <w:outlineLvl w:val="2"/>
    </w:pPr>
    <w:rPr>
      <w:b/>
    </w:rPr>
  </w:style>
  <w:style w:type="paragraph" w:styleId="6">
    <w:name w:val="heading 4"/>
    <w:basedOn w:val="1"/>
    <w:next w:val="1"/>
    <w:unhideWhenUsed/>
    <w:qFormat/>
    <w:uiPriority w:val="0"/>
    <w:pPr>
      <w:keepNext/>
      <w:keepLines/>
      <w:numPr>
        <w:ilvl w:val="3"/>
        <w:numId w:val="1"/>
      </w:numPr>
      <w:ind w:left="0" w:firstLine="0" w:firstLineChars="0"/>
      <w:jc w:val="left"/>
      <w:outlineLvl w:val="3"/>
    </w:pPr>
    <w:rPr>
      <w:rFonts w:ascii="Arial" w:hAnsi="Arial"/>
      <w:b/>
    </w:rPr>
  </w:style>
  <w:style w:type="paragraph" w:styleId="7">
    <w:name w:val="heading 5"/>
    <w:basedOn w:val="1"/>
    <w:next w:val="1"/>
    <w:semiHidden/>
    <w:unhideWhenUsed/>
    <w:qFormat/>
    <w:uiPriority w:val="0"/>
    <w:pPr>
      <w:keepNext/>
      <w:keepLines/>
      <w:numPr>
        <w:ilvl w:val="4"/>
        <w:numId w:val="1"/>
      </w:numPr>
      <w:spacing w:before="280" w:after="290" w:line="372" w:lineRule="auto"/>
      <w:ind w:firstLine="0" w:firstLineChars="0"/>
      <w:outlineLvl w:val="4"/>
    </w:pPr>
    <w:rPr>
      <w:b/>
      <w:sz w:val="28"/>
    </w:rPr>
  </w:style>
  <w:style w:type="paragraph" w:styleId="8">
    <w:name w:val="heading 6"/>
    <w:basedOn w:val="1"/>
    <w:next w:val="1"/>
    <w:semiHidden/>
    <w:unhideWhenUsed/>
    <w:qFormat/>
    <w:uiPriority w:val="0"/>
    <w:pPr>
      <w:keepNext/>
      <w:keepLines/>
      <w:numPr>
        <w:ilvl w:val="5"/>
        <w:numId w:val="1"/>
      </w:numPr>
      <w:spacing w:before="240" w:after="64" w:line="317" w:lineRule="auto"/>
      <w:ind w:firstLine="0" w:firstLineChars="0"/>
      <w:outlineLvl w:val="5"/>
    </w:pPr>
    <w:rPr>
      <w:rFonts w:ascii="Arial" w:hAnsi="Arial" w:eastAsia="黑体"/>
      <w:b/>
    </w:rPr>
  </w:style>
  <w:style w:type="paragraph" w:styleId="9">
    <w:name w:val="heading 7"/>
    <w:basedOn w:val="1"/>
    <w:next w:val="1"/>
    <w:semiHidden/>
    <w:unhideWhenUsed/>
    <w:qFormat/>
    <w:uiPriority w:val="0"/>
    <w:pPr>
      <w:keepNext/>
      <w:keepLines/>
      <w:numPr>
        <w:ilvl w:val="6"/>
        <w:numId w:val="1"/>
      </w:numPr>
      <w:spacing w:before="240" w:after="64" w:line="317" w:lineRule="auto"/>
      <w:ind w:firstLine="0" w:firstLineChars="0"/>
      <w:outlineLvl w:val="6"/>
    </w:pPr>
    <w:rPr>
      <w:b/>
    </w:rPr>
  </w:style>
  <w:style w:type="paragraph" w:styleId="10">
    <w:name w:val="heading 8"/>
    <w:basedOn w:val="1"/>
    <w:next w:val="1"/>
    <w:semiHidden/>
    <w:unhideWhenUsed/>
    <w:qFormat/>
    <w:uiPriority w:val="0"/>
    <w:pPr>
      <w:keepNext/>
      <w:keepLines/>
      <w:numPr>
        <w:ilvl w:val="7"/>
        <w:numId w:val="1"/>
      </w:numPr>
      <w:spacing w:before="240" w:after="64" w:line="317" w:lineRule="auto"/>
      <w:ind w:firstLine="0" w:firstLineChars="0"/>
      <w:outlineLvl w:val="7"/>
    </w:pPr>
    <w:rPr>
      <w:rFonts w:ascii="Arial" w:hAnsi="Arial" w:eastAsia="黑体"/>
    </w:rPr>
  </w:style>
  <w:style w:type="paragraph" w:styleId="11">
    <w:name w:val="heading 9"/>
    <w:basedOn w:val="1"/>
    <w:next w:val="1"/>
    <w:semiHidden/>
    <w:unhideWhenUsed/>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20">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customStyle="1" w:styleId="2">
    <w:name w:val="_Style 3"/>
    <w:qFormat/>
    <w:uiPriority w:val="1"/>
    <w:pPr>
      <w:widowControl w:val="0"/>
      <w:jc w:val="both"/>
    </w:pPr>
    <w:rPr>
      <w:rFonts w:ascii="Times New Roman" w:hAnsi="Times New Roman" w:eastAsia="宋体" w:cs="Times New Roman"/>
      <w:kern w:val="2"/>
      <w:sz w:val="21"/>
      <w:szCs w:val="22"/>
      <w:lang w:val="en-US" w:eastAsia="zh-CN" w:bidi="ar-SA"/>
    </w:rPr>
  </w:style>
  <w:style w:type="paragraph" w:styleId="12">
    <w:name w:val="toc 3"/>
    <w:basedOn w:val="1"/>
    <w:next w:val="1"/>
    <w:qFormat/>
    <w:uiPriority w:val="0"/>
    <w:pPr>
      <w:tabs>
        <w:tab w:val="right" w:leader="dot" w:pos="9072"/>
      </w:tabs>
      <w:spacing w:line="312" w:lineRule="auto"/>
      <w:ind w:left="840" w:leftChars="400" w:firstLine="0" w:firstLineChars="0"/>
    </w:pPr>
    <w:rPr>
      <w:rFonts w:ascii="宋体" w:hAnsi="宋体" w:cs="宋体"/>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5">
    <w:name w:val="toc 1"/>
    <w:basedOn w:val="1"/>
    <w:next w:val="1"/>
    <w:qFormat/>
    <w:uiPriority w:val="0"/>
    <w:pPr>
      <w:tabs>
        <w:tab w:val="right" w:leader="dot" w:pos="9072"/>
      </w:tabs>
      <w:spacing w:line="312" w:lineRule="auto"/>
      <w:ind w:firstLine="0" w:firstLineChars="0"/>
    </w:pPr>
    <w:rPr>
      <w:rFonts w:ascii="宋体" w:hAnsi="宋体" w:cs="宋体"/>
    </w:rPr>
  </w:style>
  <w:style w:type="paragraph" w:styleId="16">
    <w:name w:val="toc 4"/>
    <w:basedOn w:val="1"/>
    <w:next w:val="1"/>
    <w:qFormat/>
    <w:uiPriority w:val="0"/>
    <w:pPr>
      <w:tabs>
        <w:tab w:val="right" w:leader="dot" w:pos="9072"/>
      </w:tabs>
      <w:spacing w:line="312" w:lineRule="auto"/>
      <w:ind w:left="1260" w:leftChars="600" w:firstLine="0" w:firstLineChars="0"/>
    </w:pPr>
    <w:rPr>
      <w:rFonts w:ascii="宋体" w:hAnsi="宋体" w:cs="宋体"/>
    </w:rPr>
  </w:style>
  <w:style w:type="paragraph" w:styleId="17">
    <w:name w:val="toc 2"/>
    <w:basedOn w:val="1"/>
    <w:next w:val="1"/>
    <w:qFormat/>
    <w:uiPriority w:val="0"/>
    <w:pPr>
      <w:tabs>
        <w:tab w:val="right" w:leader="dot" w:pos="9072"/>
      </w:tabs>
      <w:spacing w:line="312" w:lineRule="auto"/>
      <w:ind w:left="420" w:leftChars="200" w:firstLine="0" w:firstLineChars="0"/>
    </w:pPr>
    <w:rPr>
      <w:rFonts w:ascii="宋体" w:hAnsi="宋体" w:cs="宋体"/>
    </w:rPr>
  </w:style>
  <w:style w:type="paragraph" w:styleId="18">
    <w:name w:val="Normal (Web)"/>
    <w:basedOn w:val="1"/>
    <w:qFormat/>
    <w:uiPriority w:val="0"/>
    <w:pPr>
      <w:spacing w:beforeAutospacing="1" w:afterAutospacing="1"/>
      <w:jc w:val="left"/>
    </w:pPr>
    <w:rPr>
      <w:rFonts w:cs="Times New Roman"/>
      <w:kern w:val="0"/>
    </w:rPr>
  </w:style>
  <w:style w:type="character" w:styleId="21">
    <w:name w:val="Strong"/>
    <w:basedOn w:val="20"/>
    <w:qFormat/>
    <w:uiPriority w:val="0"/>
    <w:rPr>
      <w:b/>
    </w:rPr>
  </w:style>
  <w:style w:type="character" w:styleId="22">
    <w:name w:val="Hyperlink"/>
    <w:basedOn w:val="20"/>
    <w:qFormat/>
    <w:uiPriority w:val="0"/>
    <w:rPr>
      <w:color w:val="0000FF"/>
      <w:u w:val="single"/>
    </w:rPr>
  </w:style>
  <w:style w:type="paragraph" w:styleId="23">
    <w:name w:val="List Paragraph"/>
    <w:basedOn w:val="1"/>
    <w:qFormat/>
    <w:uiPriority w:val="34"/>
    <w:rPr>
      <w:rFonts w:ascii="Calibri" w:hAnsi="Calibri" w:cs="Times New Roman"/>
      <w:szCs w:val="22"/>
    </w:rPr>
  </w:style>
  <w:style w:type="character" w:customStyle="1" w:styleId="24">
    <w:name w:val="font31"/>
    <w:basedOn w:val="20"/>
    <w:qFormat/>
    <w:uiPriority w:val="0"/>
    <w:rPr>
      <w:rFonts w:ascii="Symbol" w:hAnsi="Symbol" w:cs="Symbol"/>
      <w:color w:val="000000"/>
      <w:sz w:val="24"/>
      <w:szCs w:val="24"/>
      <w:u w:val="none"/>
    </w:rPr>
  </w:style>
  <w:style w:type="character" w:customStyle="1" w:styleId="25">
    <w:name w:val="font11"/>
    <w:basedOn w:val="20"/>
    <w:qFormat/>
    <w:uiPriority w:val="0"/>
    <w:rPr>
      <w:rFonts w:hint="eastAsia" w:ascii="宋体" w:hAnsi="宋体" w:eastAsia="宋体" w:cs="宋体"/>
      <w:color w:val="000000"/>
      <w:sz w:val="24"/>
      <w:szCs w:val="24"/>
      <w:u w:val="none"/>
    </w:rPr>
  </w:style>
  <w:style w:type="paragraph" w:customStyle="1" w:styleId="26">
    <w:name w:val="msolistparagraph"/>
    <w:basedOn w:val="1"/>
    <w:qFormat/>
    <w:uiPriority w:val="0"/>
    <w:rPr>
      <w:rFonts w:cs="Times New Roman"/>
    </w:rPr>
  </w:style>
  <w:style w:type="paragraph" w:customStyle="1" w:styleId="27">
    <w:name w:val="样式 首行缩进:  2 字符"/>
    <w:basedOn w:val="1"/>
    <w:qFormat/>
    <w:uiPriority w:val="0"/>
    <w:pPr>
      <w:spacing w:beforeLines="50"/>
    </w:pPr>
    <w:rPr>
      <w:rFonts w:cs="Times New Roman"/>
      <w:sz w:val="21"/>
      <w:szCs w:val="20"/>
    </w:rPr>
  </w:style>
  <w:style w:type="character" w:customStyle="1" w:styleId="28">
    <w:name w:val="Char Char2"/>
    <w:basedOn w:val="20"/>
    <w:qFormat/>
    <w:uiPriority w:val="0"/>
    <w:rPr>
      <w:rFonts w:hint="eastAsia" w:ascii="宋体" w:hAnsi="宋体" w:eastAsia="宋体" w:cs="Times New Roman"/>
      <w:sz w:val="24"/>
      <w:szCs w:val="20"/>
    </w:rPr>
  </w:style>
  <w:style w:type="character" w:customStyle="1" w:styleId="29">
    <w:name w:val="font81"/>
    <w:basedOn w:val="20"/>
    <w:qFormat/>
    <w:uiPriority w:val="0"/>
    <w:rPr>
      <w:rFonts w:ascii="Symbol" w:hAnsi="Symbol" w:cs="Symbol"/>
      <w:color w:val="000000"/>
      <w:sz w:val="24"/>
      <w:szCs w:val="24"/>
      <w:u w:val="none"/>
    </w:rPr>
  </w:style>
  <w:style w:type="character" w:customStyle="1" w:styleId="30">
    <w:name w:val="font71"/>
    <w:basedOn w:val="20"/>
    <w:qFormat/>
    <w:uiPriority w:val="0"/>
    <w:rPr>
      <w:rFonts w:ascii="Calibri" w:hAnsi="Calibri" w:cs="Calibri"/>
      <w:color w:val="000000"/>
      <w:sz w:val="22"/>
      <w:szCs w:val="22"/>
      <w:u w:val="none"/>
    </w:rPr>
  </w:style>
  <w:style w:type="character" w:customStyle="1" w:styleId="31">
    <w:name w:val="font51"/>
    <w:basedOn w:val="20"/>
    <w:qFormat/>
    <w:uiPriority w:val="0"/>
    <w:rPr>
      <w:rFonts w:hint="eastAsia" w:ascii="宋体" w:hAnsi="宋体" w:eastAsia="宋体" w:cs="宋体"/>
      <w:color w:val="000000"/>
      <w:sz w:val="22"/>
      <w:szCs w:val="22"/>
      <w:u w:val="none"/>
    </w:rPr>
  </w:style>
  <w:style w:type="character" w:customStyle="1" w:styleId="32">
    <w:name w:val="font61"/>
    <w:basedOn w:val="20"/>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18853</Words>
  <Characters>19960</Characters>
  <Lines>155</Lines>
  <Paragraphs>43</Paragraphs>
  <TotalTime>11</TotalTime>
  <ScaleCrop>false</ScaleCrop>
  <LinksUpToDate>false</LinksUpToDate>
  <CharactersWithSpaces>20249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2023-10-16T04:08:00Z</dcterms:created>
  <dc:creator>admin</dc:creator>
  <cp:lastModifiedBy>DELL</cp:lastModifiedBy>
  <dcterms:modified xsi:type="dcterms:W3CDTF">2024-12-23T08:48:43Z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EE59198451FD460789BB0908AF282741_13</vt:lpwstr>
  </property>
</Properties>
</file>