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7F99">
      <w:pPr>
        <w:jc w:val="center"/>
        <w:rPr>
          <w:sz w:val="24"/>
        </w:rPr>
      </w:pPr>
      <w:bookmarkStart w:id="0" w:name="_Toc32514"/>
      <w:bookmarkStart w:id="1" w:name="_Toc17040"/>
      <w:bookmarkStart w:id="2" w:name="_Toc3493"/>
      <w:bookmarkStart w:id="3" w:name="_Toc14315"/>
      <w:bookmarkStart w:id="4" w:name="_Toc15189"/>
      <w:bookmarkStart w:id="5" w:name="_Toc15365"/>
      <w:bookmarkStart w:id="6" w:name="_Toc16091"/>
      <w:bookmarkStart w:id="7" w:name="_Toc15553"/>
      <w:r>
        <w:rPr>
          <w:rFonts w:hint="eastAsia"/>
          <w:sz w:val="24"/>
        </w:rPr>
        <w:t xml:space="preserve"> </w:t>
      </w:r>
    </w:p>
    <w:p w14:paraId="06C9D481">
      <w:pPr>
        <w:jc w:val="center"/>
        <w:rPr>
          <w:sz w:val="24"/>
        </w:rPr>
      </w:pPr>
    </w:p>
    <w:p w14:paraId="46EF30FE">
      <w:pPr>
        <w:jc w:val="center"/>
        <w:rPr>
          <w:sz w:val="24"/>
        </w:rPr>
      </w:pPr>
    </w:p>
    <w:p w14:paraId="26A984AB">
      <w:pPr>
        <w:jc w:val="center"/>
        <w:rPr>
          <w:sz w:val="24"/>
        </w:rPr>
      </w:pPr>
    </w:p>
    <w:p w14:paraId="1D98EFF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4F382DF">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3D数字化手术辅助设计服务项目</w:t>
      </w:r>
    </w:p>
    <w:p w14:paraId="083D3144">
      <w:pPr>
        <w:pStyle w:val="3"/>
        <w:rPr>
          <w:rFonts w:hint="eastAsia" w:ascii="黑体" w:hAnsi="黑体" w:eastAsia="黑体" w:cs="黑体"/>
          <w:b/>
          <w:bCs w:val="0"/>
          <w:color w:val="auto"/>
          <w:kern w:val="0"/>
          <w:sz w:val="44"/>
          <w:szCs w:val="44"/>
          <w:lang w:val="en-US" w:eastAsia="zh-CN"/>
        </w:rPr>
      </w:pPr>
    </w:p>
    <w:p w14:paraId="1FA37313">
      <w:pPr>
        <w:pStyle w:val="3"/>
        <w:rPr>
          <w:rFonts w:hint="eastAsia" w:ascii="黑体" w:hAnsi="黑体" w:eastAsia="黑体" w:cs="黑体"/>
          <w:b/>
          <w:bCs w:val="0"/>
          <w:color w:val="auto"/>
          <w:kern w:val="0"/>
          <w:sz w:val="44"/>
          <w:szCs w:val="44"/>
          <w:lang w:val="en-US" w:eastAsia="zh-CN"/>
        </w:rPr>
      </w:pPr>
    </w:p>
    <w:p w14:paraId="28151B22">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D403028">
      <w:pPr>
        <w:pStyle w:val="17"/>
      </w:pPr>
    </w:p>
    <w:p w14:paraId="4FA06AB9">
      <w:pPr>
        <w:pStyle w:val="17"/>
        <w:spacing w:line="360" w:lineRule="auto"/>
        <w:rPr>
          <w:rFonts w:ascii="方正小标宋简体" w:hAnsi="宋体" w:eastAsia="方正小标宋简体"/>
          <w:sz w:val="32"/>
        </w:rPr>
      </w:pPr>
    </w:p>
    <w:p w14:paraId="780724F1">
      <w:pPr>
        <w:adjustRightInd w:val="0"/>
        <w:snapToGrid w:val="0"/>
        <w:spacing w:line="360" w:lineRule="auto"/>
        <w:ind w:firstLine="3253" w:firstLineChars="900"/>
        <w:rPr>
          <w:rFonts w:ascii="宋体" w:hAnsi="宋体"/>
          <w:b/>
          <w:bCs/>
          <w:sz w:val="36"/>
          <w:szCs w:val="36"/>
        </w:rPr>
      </w:pPr>
    </w:p>
    <w:p w14:paraId="3AEC7240">
      <w:pPr>
        <w:adjustRightInd w:val="0"/>
        <w:snapToGrid w:val="0"/>
        <w:spacing w:line="360" w:lineRule="auto"/>
        <w:ind w:firstLine="3253" w:firstLineChars="900"/>
        <w:rPr>
          <w:rFonts w:ascii="宋体" w:hAnsi="宋体"/>
          <w:b/>
          <w:bCs/>
          <w:sz w:val="36"/>
          <w:szCs w:val="36"/>
        </w:rPr>
      </w:pPr>
    </w:p>
    <w:p w14:paraId="20032E24">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ZCB-2025016</w:t>
      </w:r>
    </w:p>
    <w:p w14:paraId="7A586CE4">
      <w:pPr>
        <w:adjustRightInd w:val="0"/>
        <w:snapToGrid w:val="0"/>
        <w:spacing w:line="360" w:lineRule="auto"/>
        <w:jc w:val="center"/>
        <w:rPr>
          <w:rFonts w:hint="eastAsia" w:ascii="仿宋" w:hAnsi="仿宋" w:eastAsia="仿宋" w:cs="仿宋"/>
          <w:b/>
          <w:bCs/>
          <w:sz w:val="36"/>
          <w:szCs w:val="36"/>
        </w:rPr>
      </w:pPr>
    </w:p>
    <w:p w14:paraId="63387286">
      <w:pPr>
        <w:pStyle w:val="17"/>
        <w:rPr>
          <w:rFonts w:hint="eastAsia" w:ascii="仿宋" w:hAnsi="仿宋" w:eastAsia="仿宋" w:cs="仿宋"/>
          <w:b/>
          <w:bCs/>
          <w:sz w:val="36"/>
          <w:szCs w:val="36"/>
        </w:rPr>
      </w:pPr>
    </w:p>
    <w:p w14:paraId="609F411D">
      <w:pPr>
        <w:pStyle w:val="17"/>
        <w:rPr>
          <w:rFonts w:hint="eastAsia" w:ascii="仿宋" w:hAnsi="仿宋" w:eastAsia="仿宋" w:cs="仿宋"/>
          <w:b/>
          <w:bCs/>
          <w:sz w:val="36"/>
          <w:szCs w:val="36"/>
        </w:rPr>
      </w:pPr>
    </w:p>
    <w:p w14:paraId="56180B1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pgNumType w:fmt="decimal"/>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月</w:t>
      </w:r>
    </w:p>
    <w:p w14:paraId="00B6C54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6CAB7A8C">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3D5E2A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9F9AD35">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7A593510">
      <w:pPr>
        <w:pStyle w:val="28"/>
        <w:tabs>
          <w:tab w:val="right" w:leader="dot" w:pos="9070"/>
        </w:tabs>
        <w:rPr>
          <w:rFonts w:hint="eastAsia" w:ascii="仿宋" w:hAnsi="仿宋" w:eastAsia="仿宋" w:cs="仿宋"/>
          <w:b/>
          <w:bCs/>
          <w:sz w:val="28"/>
          <w:szCs w:val="28"/>
        </w:rPr>
      </w:pPr>
    </w:p>
    <w:p w14:paraId="3388FCB5">
      <w:pPr>
        <w:pStyle w:val="18"/>
        <w:rPr>
          <w:rFonts w:ascii="宋体" w:hAnsi="宋体"/>
          <w:bCs/>
          <w:szCs w:val="28"/>
        </w:rPr>
      </w:pPr>
      <w:r>
        <w:rPr>
          <w:rFonts w:hint="eastAsia" w:ascii="仿宋" w:hAnsi="仿宋" w:eastAsia="仿宋" w:cs="仿宋"/>
          <w:b/>
          <w:bCs/>
          <w:sz w:val="28"/>
          <w:szCs w:val="28"/>
        </w:rPr>
        <w:fldChar w:fldCharType="end"/>
      </w:r>
    </w:p>
    <w:p w14:paraId="04A021A1">
      <w:pPr>
        <w:pStyle w:val="18"/>
        <w:rPr>
          <w:rFonts w:ascii="宋体" w:hAnsi="宋体"/>
          <w:bCs/>
          <w:szCs w:val="28"/>
        </w:rPr>
      </w:pPr>
    </w:p>
    <w:p w14:paraId="01D8C37A"/>
    <w:p w14:paraId="7AE9A038"/>
    <w:p w14:paraId="234DEF51"/>
    <w:p w14:paraId="0C65EAE8"/>
    <w:p w14:paraId="4D0B1A96"/>
    <w:p w14:paraId="1BA7F43F"/>
    <w:p w14:paraId="51D1E24E"/>
    <w:p w14:paraId="6A0A5544"/>
    <w:p w14:paraId="17876D74"/>
    <w:p w14:paraId="2D513CE7"/>
    <w:p w14:paraId="3CE52FCC"/>
    <w:p w14:paraId="5431DEFA">
      <w:pPr>
        <w:jc w:val="center"/>
      </w:pPr>
    </w:p>
    <w:p w14:paraId="0B99261E"/>
    <w:p w14:paraId="0C58A175">
      <w:pPr>
        <w:sectPr>
          <w:headerReference r:id="rId7" w:type="default"/>
          <w:footerReference r:id="rId8" w:type="default"/>
          <w:pgSz w:w="11906" w:h="16838"/>
          <w:pgMar w:top="1418" w:right="1418" w:bottom="1418" w:left="1418" w:header="851" w:footer="992" w:gutter="0"/>
          <w:pgNumType w:fmt="decimal" w:start="1"/>
          <w:cols w:space="720" w:num="1"/>
          <w:docGrid w:type="lines" w:linePitch="312" w:charSpace="0"/>
        </w:sectPr>
      </w:pPr>
    </w:p>
    <w:p w14:paraId="74117E54">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75EFAE8">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DFE0EF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B403D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"mailto:linjwei3@mail.sysu.edu.cn"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linjwei3@mail.sysu.edu.cn</w:t>
      </w:r>
      <w:r>
        <w:rPr>
          <w:rFonts w:hint="eastAsia" w:ascii="仿宋" w:hAnsi="仿宋" w:eastAsia="仿宋" w:cs="仿宋"/>
          <w:kern w:val="0"/>
          <w:sz w:val="24"/>
          <w:lang w:val="en-US" w:eastAsia="zh-CN"/>
        </w:rPr>
        <w:fldChar w:fldCharType="end"/>
      </w:r>
    </w:p>
    <w:p w14:paraId="3D36A0F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3.邮件主题：中山大学孙逸仙纪念医院辅助岗位管理服务项目-某某公司</w:t>
      </w:r>
    </w:p>
    <w:p w14:paraId="3A1D4AA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6354289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12</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3D9462C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F0EDE7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3380C3E9">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244731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A91C7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790238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820E2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E7FBEE6">
      <w:pPr>
        <w:spacing w:line="400" w:lineRule="exact"/>
        <w:ind w:firstLine="360" w:firstLineChars="150"/>
        <w:rPr>
          <w:rFonts w:ascii="宋体" w:hAnsi="宋体"/>
          <w:b/>
          <w:bCs/>
          <w:sz w:val="24"/>
          <w:highlight w:val="yellow"/>
        </w:rPr>
      </w:pPr>
    </w:p>
    <w:p w14:paraId="3F1F93DC">
      <w:pPr>
        <w:spacing w:line="400" w:lineRule="exact"/>
        <w:ind w:firstLine="360" w:firstLineChars="150"/>
        <w:rPr>
          <w:rFonts w:ascii="宋体" w:hAnsi="宋体"/>
          <w:b/>
          <w:bCs/>
          <w:sz w:val="24"/>
          <w:highlight w:val="yellow"/>
        </w:rPr>
      </w:pPr>
    </w:p>
    <w:p w14:paraId="3CF71A83">
      <w:pPr>
        <w:pStyle w:val="17"/>
        <w:rPr>
          <w:rFonts w:ascii="宋体" w:hAnsi="宋体"/>
          <w:b/>
          <w:bCs/>
          <w:sz w:val="24"/>
          <w:highlight w:val="yellow"/>
        </w:rPr>
      </w:pPr>
    </w:p>
    <w:p w14:paraId="766323CC">
      <w:pPr>
        <w:pStyle w:val="17"/>
        <w:rPr>
          <w:rFonts w:ascii="宋体" w:hAnsi="宋体"/>
          <w:b/>
          <w:bCs/>
          <w:sz w:val="24"/>
          <w:highlight w:val="yellow"/>
        </w:rPr>
      </w:pPr>
    </w:p>
    <w:p w14:paraId="7A91606C">
      <w:pPr>
        <w:pStyle w:val="17"/>
        <w:rPr>
          <w:rFonts w:ascii="宋体" w:hAnsi="宋体"/>
          <w:b/>
          <w:bCs/>
          <w:sz w:val="24"/>
          <w:highlight w:val="yellow"/>
        </w:rPr>
      </w:pPr>
    </w:p>
    <w:p w14:paraId="5E147A88">
      <w:pPr>
        <w:pStyle w:val="18"/>
      </w:pPr>
    </w:p>
    <w:p w14:paraId="4435621C">
      <w:pPr>
        <w:pStyle w:val="5"/>
        <w:jc w:val="center"/>
        <w:rPr>
          <w:rFonts w:hint="eastAsia"/>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bookmarkStart w:id="10" w:name="_Toc31759"/>
      <w:bookmarkStart w:id="11" w:name="_Toc19585"/>
    </w:p>
    <w:p w14:paraId="5DFEF42F">
      <w:pPr>
        <w:pStyle w:val="5"/>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654ABB">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623FED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3A8E49">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供应商应具备以下条件：</w:t>
      </w:r>
    </w:p>
    <w:p w14:paraId="5447A38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105DCC6">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68C590F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8D6A66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0FA0350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80A3BB7">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法定代表人或单位负责人为同一人或者存在直接控股、管理关系的不同响应单位，不得参加同一合同项下的采购活动。</w:t>
      </w:r>
    </w:p>
    <w:p w14:paraId="497AE76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为本采购项目提供过整体设计、规范编制或者项目管理、监理、检测等服务的供应商及其附属机构，不得再参加本采购项目的响应。</w:t>
      </w:r>
    </w:p>
    <w:p w14:paraId="078C377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本项目不接受联合体报名，成交供应商不得以任何方式转包或分包本项目。</w:t>
      </w:r>
    </w:p>
    <w:p w14:paraId="65C69A7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供应商营业执照（提供复印件,并加盖供应商公章。如为分公司报名，必须同时提供总公司的营业执照副本复印件及总公司授权书。）</w:t>
      </w:r>
    </w:p>
    <w:p w14:paraId="4523ED33">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本项目特定的资格要求：</w:t>
      </w:r>
    </w:p>
    <w:p w14:paraId="2DCEBD4D">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如供应商为生产企业：所投产品为第一类医疗器械，提供监督管理部门签发的有效的《医疗器械生产备案凭证》复印件；（如国家另有规定，则适用其规定）</w:t>
      </w:r>
    </w:p>
    <w:p w14:paraId="101056FB">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如供应商为生产企业：所投产品为第二、三类医疗器械，提供监督管理部门签发的有效的《医疗器械生产许可证》复印件；（如国家另有规定，则适用其规定）</w:t>
      </w:r>
    </w:p>
    <w:p w14:paraId="37327F56">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如供应商为经营企业：所投产品为第三类医疗器械，提供监督管理部门签发的有效的《医疗器械经营许可证》复印件；（如国家另有规定，则适用其规定）</w:t>
      </w:r>
    </w:p>
    <w:p w14:paraId="3911A4D7">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616D0FF5">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如所投产品属于第二类、第三类医疗器械，则必须提供有效的医疗器械注册证明复印件。（如国家另有规定，则适用其规定）</w:t>
      </w:r>
    </w:p>
    <w:p w14:paraId="22C10FA0">
      <w:pPr>
        <w:pStyle w:val="8"/>
        <w:adjustRightInd w:val="0"/>
        <w:snapToGrid w:val="0"/>
        <w:rPr>
          <w:rFonts w:ascii="Times New Roman" w:hAnsi="Times New Roman" w:cs="Times New Roman"/>
          <w:sz w:val="24"/>
          <w:szCs w:val="24"/>
        </w:rPr>
      </w:pPr>
    </w:p>
    <w:p w14:paraId="587415B7">
      <w:pPr>
        <w:pStyle w:val="8"/>
        <w:adjustRightInd w:val="0"/>
        <w:snapToGrid w:val="0"/>
        <w:rPr>
          <w:rFonts w:ascii="Times New Roman" w:hAnsi="Times New Roman" w:cs="Times New Roman"/>
          <w:sz w:val="24"/>
          <w:szCs w:val="24"/>
        </w:rPr>
      </w:pPr>
    </w:p>
    <w:p w14:paraId="63F196A3">
      <w:pPr>
        <w:pStyle w:val="8"/>
        <w:adjustRightInd w:val="0"/>
        <w:snapToGrid w:val="0"/>
        <w:rPr>
          <w:rFonts w:ascii="Times New Roman" w:hAnsi="Times New Roman" w:cs="Times New Roman"/>
          <w:sz w:val="24"/>
          <w:szCs w:val="24"/>
        </w:rPr>
      </w:pPr>
    </w:p>
    <w:p w14:paraId="53F67254">
      <w:pPr>
        <w:pStyle w:val="8"/>
        <w:adjustRightInd w:val="0"/>
        <w:snapToGrid w:val="0"/>
        <w:rPr>
          <w:rFonts w:ascii="Times New Roman" w:hAnsi="Times New Roman" w:cs="Times New Roman"/>
          <w:sz w:val="24"/>
          <w:szCs w:val="24"/>
        </w:rPr>
      </w:pPr>
    </w:p>
    <w:p w14:paraId="4BAE9DAB">
      <w:pPr>
        <w:pStyle w:val="8"/>
        <w:adjustRightInd w:val="0"/>
        <w:snapToGrid w:val="0"/>
        <w:rPr>
          <w:rFonts w:ascii="Times New Roman" w:hAnsi="Times New Roman" w:cs="Times New Roman"/>
          <w:sz w:val="24"/>
          <w:szCs w:val="24"/>
        </w:rPr>
      </w:pPr>
    </w:p>
    <w:p w14:paraId="1C266ABE">
      <w:pPr>
        <w:pStyle w:val="8"/>
        <w:adjustRightInd w:val="0"/>
        <w:snapToGrid w:val="0"/>
        <w:rPr>
          <w:rFonts w:ascii="Times New Roman" w:hAnsi="Times New Roman" w:cs="Times New Roman"/>
          <w:sz w:val="24"/>
          <w:szCs w:val="24"/>
        </w:rPr>
      </w:pPr>
    </w:p>
    <w:p w14:paraId="3FC2D1C7">
      <w:pPr>
        <w:pStyle w:val="8"/>
        <w:adjustRightInd w:val="0"/>
        <w:snapToGrid w:val="0"/>
        <w:rPr>
          <w:rFonts w:ascii="Times New Roman" w:hAnsi="Times New Roman" w:cs="Times New Roman"/>
          <w:sz w:val="24"/>
          <w:szCs w:val="24"/>
        </w:rPr>
      </w:pPr>
    </w:p>
    <w:p w14:paraId="322C456A">
      <w:pPr>
        <w:pStyle w:val="8"/>
        <w:adjustRightInd w:val="0"/>
        <w:snapToGrid w:val="0"/>
        <w:rPr>
          <w:rFonts w:ascii="Times New Roman" w:hAnsi="Times New Roman" w:cs="Times New Roman"/>
          <w:sz w:val="24"/>
          <w:szCs w:val="24"/>
        </w:rPr>
      </w:pPr>
    </w:p>
    <w:p w14:paraId="012B77C2">
      <w:pPr>
        <w:pStyle w:val="8"/>
        <w:adjustRightInd w:val="0"/>
        <w:snapToGrid w:val="0"/>
        <w:rPr>
          <w:rFonts w:ascii="Times New Roman" w:hAnsi="Times New Roman" w:cs="Times New Roman"/>
          <w:sz w:val="24"/>
          <w:szCs w:val="24"/>
        </w:rPr>
      </w:pPr>
    </w:p>
    <w:p w14:paraId="11B593CF">
      <w:pPr>
        <w:pStyle w:val="8"/>
        <w:adjustRightInd w:val="0"/>
        <w:snapToGrid w:val="0"/>
        <w:rPr>
          <w:rFonts w:ascii="Times New Roman" w:hAnsi="Times New Roman" w:cs="Times New Roman"/>
          <w:sz w:val="24"/>
          <w:szCs w:val="24"/>
        </w:rPr>
      </w:pPr>
    </w:p>
    <w:p w14:paraId="7B2CD948">
      <w:pPr>
        <w:pStyle w:val="8"/>
        <w:adjustRightInd w:val="0"/>
        <w:snapToGrid w:val="0"/>
        <w:rPr>
          <w:rFonts w:ascii="Times New Roman" w:hAnsi="Times New Roman" w:cs="Times New Roman"/>
          <w:sz w:val="24"/>
          <w:szCs w:val="24"/>
        </w:rPr>
      </w:pPr>
    </w:p>
    <w:p w14:paraId="0F6D9FED">
      <w:pPr>
        <w:pStyle w:val="8"/>
        <w:adjustRightInd w:val="0"/>
        <w:snapToGrid w:val="0"/>
        <w:rPr>
          <w:rFonts w:ascii="Times New Roman" w:hAnsi="Times New Roman" w:cs="Times New Roman"/>
          <w:sz w:val="24"/>
          <w:szCs w:val="24"/>
        </w:rPr>
      </w:pPr>
    </w:p>
    <w:p w14:paraId="3938E34E">
      <w:pPr>
        <w:pStyle w:val="8"/>
        <w:adjustRightInd w:val="0"/>
        <w:snapToGrid w:val="0"/>
        <w:rPr>
          <w:rFonts w:ascii="Times New Roman" w:hAnsi="Times New Roman" w:cs="Times New Roman"/>
          <w:sz w:val="24"/>
          <w:szCs w:val="24"/>
        </w:rPr>
      </w:pPr>
    </w:p>
    <w:p w14:paraId="5BA1A02F">
      <w:pPr>
        <w:pStyle w:val="8"/>
        <w:adjustRightInd w:val="0"/>
        <w:snapToGrid w:val="0"/>
        <w:rPr>
          <w:rFonts w:ascii="Times New Roman" w:hAnsi="Times New Roman" w:cs="Times New Roman"/>
          <w:sz w:val="24"/>
          <w:szCs w:val="24"/>
        </w:rPr>
      </w:pPr>
    </w:p>
    <w:p w14:paraId="3BFCB11E">
      <w:pPr>
        <w:widowControl/>
        <w:spacing w:line="360" w:lineRule="auto"/>
        <w:jc w:val="left"/>
        <w:outlineLvl w:val="0"/>
        <w:rPr>
          <w:rFonts w:cs="宋体"/>
          <w:kern w:val="0"/>
          <w:szCs w:val="21"/>
        </w:rPr>
      </w:pPr>
    </w:p>
    <w:p w14:paraId="224CCCF4">
      <w:pPr>
        <w:pStyle w:val="5"/>
        <w:jc w:val="center"/>
        <w:sectPr>
          <w:footerReference r:id="rId14" w:type="default"/>
          <w:pgSz w:w="11907" w:h="16840"/>
          <w:pgMar w:top="1134" w:right="1418" w:bottom="1134" w:left="1418" w:header="737" w:footer="454" w:gutter="0"/>
          <w:pgNumType w:fmt="decimal" w:start="1"/>
          <w:cols w:space="720" w:num="1"/>
          <w:docGrid w:type="linesAndChars" w:linePitch="312" w:charSpace="0"/>
        </w:sectPr>
      </w:pPr>
    </w:p>
    <w:p w14:paraId="2737D31B"/>
    <w:p w14:paraId="1A93B530">
      <w:pPr>
        <w:pStyle w:val="5"/>
        <w:jc w:val="both"/>
        <w:rPr>
          <w:rFonts w:hint="eastAsia"/>
        </w:rPr>
      </w:pPr>
    </w:p>
    <w:p w14:paraId="2B1F6705">
      <w:pPr>
        <w:rPr>
          <w:rFonts w:hint="eastAsia"/>
        </w:rPr>
      </w:pPr>
    </w:p>
    <w:p w14:paraId="6486EA7D">
      <w:pPr>
        <w:pStyle w:val="2"/>
        <w:rPr>
          <w:rFonts w:hint="eastAsia"/>
        </w:rPr>
      </w:pPr>
    </w:p>
    <w:p w14:paraId="6947664D">
      <w:pPr>
        <w:pStyle w:val="3"/>
        <w:rPr>
          <w:rFonts w:hint="eastAsia"/>
        </w:rPr>
      </w:pPr>
    </w:p>
    <w:p w14:paraId="4C3C35F5">
      <w:pPr>
        <w:pStyle w:val="3"/>
        <w:rPr>
          <w:rFonts w:hint="eastAsia"/>
        </w:rPr>
      </w:pPr>
    </w:p>
    <w:p w14:paraId="04760CFF">
      <w:pPr>
        <w:pStyle w:val="3"/>
        <w:rPr>
          <w:rFonts w:hint="eastAsia"/>
        </w:rPr>
      </w:pPr>
    </w:p>
    <w:p w14:paraId="5F81A884">
      <w:pPr>
        <w:pStyle w:val="3"/>
        <w:rPr>
          <w:rFonts w:hint="eastAsia"/>
        </w:rPr>
      </w:pPr>
    </w:p>
    <w:p w14:paraId="076D1DEB">
      <w:pPr>
        <w:pStyle w:val="5"/>
        <w:jc w:val="center"/>
        <w:rPr>
          <w:rFonts w:hint="eastAsia"/>
        </w:rPr>
      </w:pPr>
    </w:p>
    <w:p w14:paraId="1CE9A9F8">
      <w:pPr>
        <w:pStyle w:val="5"/>
        <w:jc w:val="center"/>
      </w:pPr>
      <w:r>
        <w:rPr>
          <w:rFonts w:hint="eastAsia"/>
        </w:rPr>
        <w:t xml:space="preserve">第三部分 </w:t>
      </w:r>
      <w:r>
        <w:rPr>
          <w:rFonts w:hint="eastAsia"/>
          <w:lang w:val="en-US" w:eastAsia="zh-CN"/>
        </w:rPr>
        <w:t>报名</w:t>
      </w:r>
      <w:r>
        <w:rPr>
          <w:rFonts w:hint="eastAsia"/>
        </w:rPr>
        <w:t>格式文件模板</w:t>
      </w:r>
    </w:p>
    <w:p w14:paraId="465A3A04">
      <w:pPr>
        <w:pStyle w:val="18"/>
      </w:pPr>
    </w:p>
    <w:p w14:paraId="1DEA73CF">
      <w:pPr>
        <w:pStyle w:val="18"/>
      </w:pPr>
    </w:p>
    <w:p w14:paraId="64DCF0FB">
      <w:pPr>
        <w:pStyle w:val="18"/>
      </w:pPr>
    </w:p>
    <w:p w14:paraId="0CFDEBBF">
      <w:pPr>
        <w:pStyle w:val="18"/>
      </w:pPr>
    </w:p>
    <w:p w14:paraId="43541232">
      <w:pPr>
        <w:pStyle w:val="18"/>
      </w:pPr>
    </w:p>
    <w:p w14:paraId="12B5CFE7">
      <w:pPr>
        <w:pStyle w:val="18"/>
      </w:pPr>
    </w:p>
    <w:p w14:paraId="418AD255">
      <w:pPr>
        <w:pStyle w:val="18"/>
      </w:pPr>
    </w:p>
    <w:p w14:paraId="313BA1BC">
      <w:pPr>
        <w:pStyle w:val="18"/>
      </w:pPr>
    </w:p>
    <w:p w14:paraId="12313C00">
      <w:pPr>
        <w:pStyle w:val="18"/>
      </w:pPr>
    </w:p>
    <w:p w14:paraId="23DEE203">
      <w:pPr>
        <w:pStyle w:val="18"/>
      </w:pPr>
    </w:p>
    <w:p w14:paraId="3FB2DE51">
      <w:pPr>
        <w:pStyle w:val="18"/>
      </w:pPr>
    </w:p>
    <w:p w14:paraId="0288C8D5">
      <w:pPr>
        <w:pStyle w:val="18"/>
      </w:pPr>
    </w:p>
    <w:p w14:paraId="5647AECF">
      <w:pPr>
        <w:pStyle w:val="18"/>
      </w:pPr>
    </w:p>
    <w:p w14:paraId="55C9E9D5">
      <w:pPr>
        <w:pStyle w:val="18"/>
      </w:pPr>
    </w:p>
    <w:p w14:paraId="753BA5D5">
      <w:pPr>
        <w:pStyle w:val="18"/>
      </w:pPr>
    </w:p>
    <w:p w14:paraId="6711867C">
      <w:pPr>
        <w:pStyle w:val="18"/>
      </w:pPr>
    </w:p>
    <w:p w14:paraId="01960ED7">
      <w:pPr>
        <w:pStyle w:val="18"/>
      </w:pPr>
    </w:p>
    <w:p w14:paraId="721D560D">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14488"/>
      <w:bookmarkStart w:id="15" w:name="_Toc31053"/>
      <w:bookmarkStart w:id="16" w:name="_Toc28528"/>
      <w:bookmarkStart w:id="17" w:name="_Toc24"/>
      <w:bookmarkStart w:id="18" w:name="_Toc17375"/>
      <w:bookmarkStart w:id="19" w:name="_Toc6408"/>
      <w:bookmarkStart w:id="20" w:name="_Toc31740"/>
    </w:p>
    <w:p w14:paraId="16FF28CD">
      <w:pPr>
        <w:widowControl/>
        <w:spacing w:line="360" w:lineRule="auto"/>
        <w:jc w:val="center"/>
        <w:outlineLvl w:val="0"/>
        <w:rPr>
          <w:rFonts w:ascii="宋体" w:hAnsi="宋体" w:cs="宋体"/>
          <w:b/>
          <w:kern w:val="0"/>
          <w:sz w:val="40"/>
          <w:szCs w:val="27"/>
        </w:rPr>
      </w:pPr>
    </w:p>
    <w:p w14:paraId="0E9A998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B56B9E">
      <w:pPr>
        <w:jc w:val="center"/>
        <w:rPr>
          <w:rFonts w:hint="eastAsia" w:ascii="宋体" w:hAnsi="宋体" w:cs="宋体"/>
          <w:b/>
          <w:kern w:val="0"/>
          <w:sz w:val="52"/>
          <w:szCs w:val="52"/>
          <w:lang w:val="en-US" w:eastAsia="zh-CN"/>
        </w:rPr>
      </w:pPr>
    </w:p>
    <w:p w14:paraId="4C2E6A83">
      <w:pPr>
        <w:jc w:val="center"/>
        <w:rPr>
          <w:rFonts w:hint="eastAsia" w:ascii="宋体" w:hAnsi="宋体" w:cs="宋体"/>
          <w:b/>
          <w:kern w:val="0"/>
          <w:sz w:val="52"/>
          <w:szCs w:val="52"/>
          <w:lang w:val="en-US" w:eastAsia="zh-CN"/>
        </w:rPr>
      </w:pPr>
    </w:p>
    <w:p w14:paraId="2AD47D56">
      <w:pPr>
        <w:pStyle w:val="2"/>
        <w:rPr>
          <w:rFonts w:hint="eastAsia" w:ascii="宋体" w:hAnsi="宋体" w:cs="宋体"/>
          <w:b/>
          <w:kern w:val="0"/>
          <w:sz w:val="52"/>
          <w:szCs w:val="52"/>
          <w:lang w:val="en-US" w:eastAsia="zh-CN"/>
        </w:rPr>
      </w:pPr>
    </w:p>
    <w:p w14:paraId="6EB6167B">
      <w:pPr>
        <w:pStyle w:val="3"/>
        <w:rPr>
          <w:rFonts w:hint="eastAsia"/>
          <w:lang w:val="en-US" w:eastAsia="zh-CN"/>
        </w:rPr>
      </w:pPr>
    </w:p>
    <w:p w14:paraId="2029FF6B">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 xml:space="preserve"> 中山大学孙逸仙纪念</w:t>
      </w:r>
      <w:r>
        <w:rPr>
          <w:rFonts w:hint="eastAsia" w:ascii="仿宋" w:hAnsi="仿宋" w:eastAsia="仿宋" w:cs="仿宋"/>
          <w:b/>
          <w:kern w:val="0"/>
          <w:sz w:val="52"/>
          <w:szCs w:val="52"/>
        </w:rPr>
        <w:t>医院</w:t>
      </w:r>
    </w:p>
    <w:p w14:paraId="15ECA49B">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5A990566">
      <w:pPr>
        <w:pStyle w:val="4"/>
      </w:pPr>
    </w:p>
    <w:p w14:paraId="3745B9B4">
      <w:pPr>
        <w:spacing w:line="480" w:lineRule="auto"/>
        <w:jc w:val="center"/>
        <w:rPr>
          <w:rFonts w:ascii="宋体" w:hAnsi="宋体"/>
          <w:b/>
          <w:bCs/>
          <w:sz w:val="72"/>
          <w:szCs w:val="72"/>
        </w:rPr>
      </w:pPr>
    </w:p>
    <w:p w14:paraId="0AF12682">
      <w:pPr>
        <w:pStyle w:val="2"/>
      </w:pPr>
    </w:p>
    <w:p w14:paraId="24D36F26">
      <w:pPr>
        <w:widowControl/>
        <w:spacing w:line="360" w:lineRule="auto"/>
        <w:jc w:val="center"/>
        <w:outlineLvl w:val="0"/>
        <w:rPr>
          <w:rFonts w:hint="eastAsia" w:ascii="仿宋" w:hAnsi="仿宋" w:eastAsia="仿宋" w:cs="仿宋"/>
          <w:kern w:val="0"/>
          <w:sz w:val="72"/>
          <w:szCs w:val="72"/>
        </w:rPr>
      </w:pPr>
      <w:bookmarkStart w:id="21" w:name="_Toc40346216"/>
      <w:bookmarkStart w:id="22" w:name="_Toc40776111"/>
      <w:bookmarkStart w:id="23" w:name="_Toc28703"/>
      <w:bookmarkStart w:id="24" w:name="_Toc435"/>
      <w:bookmarkStart w:id="25" w:name="_Toc21249"/>
      <w:bookmarkStart w:id="26" w:name="_Toc26267"/>
      <w:bookmarkStart w:id="27" w:name="_Toc7291"/>
      <w:bookmarkStart w:id="28" w:name="_Toc6547"/>
      <w:bookmarkStart w:id="29" w:name="_Toc1994"/>
      <w:bookmarkStart w:id="30" w:name="_Toc11305"/>
      <w:bookmarkStart w:id="31" w:name="_Toc11075"/>
      <w:bookmarkStart w:id="32" w:name="_Toc3471"/>
      <w:bookmarkStart w:id="33" w:name="_Toc12520"/>
      <w:bookmarkStart w:id="34" w:name="_Toc29113"/>
      <w:bookmarkStart w:id="35" w:name="_Toc8364"/>
      <w:bookmarkStart w:id="36" w:name="_Toc40346375"/>
      <w:bookmarkStart w:id="37" w:name="_Toc15870"/>
      <w:r>
        <w:rPr>
          <w:rFonts w:hint="eastAsia" w:ascii="仿宋" w:hAnsi="仿宋" w:eastAsia="仿宋" w:cs="仿宋"/>
          <w:b/>
          <w:bCs/>
          <w:sz w:val="72"/>
          <w:szCs w:val="72"/>
        </w:rPr>
        <w:t>报名资料</w:t>
      </w:r>
    </w:p>
    <w:p w14:paraId="6C1AA1C5">
      <w:pPr>
        <w:widowControl/>
        <w:spacing w:line="360" w:lineRule="auto"/>
        <w:ind w:firstLine="600"/>
        <w:outlineLvl w:val="0"/>
        <w:rPr>
          <w:rFonts w:hint="eastAsia" w:ascii="仿宋" w:hAnsi="仿宋" w:eastAsia="仿宋" w:cs="仿宋"/>
          <w:kern w:val="0"/>
          <w:sz w:val="30"/>
          <w:szCs w:val="30"/>
        </w:rPr>
      </w:pPr>
    </w:p>
    <w:p w14:paraId="50232D02">
      <w:pPr>
        <w:pStyle w:val="2"/>
        <w:rPr>
          <w:rFonts w:hint="eastAsia"/>
        </w:rPr>
      </w:pPr>
    </w:p>
    <w:p w14:paraId="2CC8D376">
      <w:pPr>
        <w:widowControl/>
        <w:spacing w:line="360" w:lineRule="auto"/>
        <w:ind w:firstLine="600"/>
        <w:outlineLvl w:val="0"/>
        <w:rPr>
          <w:rFonts w:hint="eastAsia" w:ascii="仿宋" w:hAnsi="仿宋" w:eastAsia="仿宋" w:cs="仿宋"/>
          <w:kern w:val="0"/>
          <w:sz w:val="30"/>
          <w:szCs w:val="30"/>
        </w:rPr>
      </w:pPr>
    </w:p>
    <w:p w14:paraId="3FEADAB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17709"/>
      <w:bookmarkStart w:id="40" w:name="_Toc2916"/>
      <w:bookmarkStart w:id="41" w:name="_Toc27997"/>
      <w:bookmarkStart w:id="42" w:name="_Toc40346217"/>
      <w:bookmarkStart w:id="43" w:name="_Toc1743"/>
      <w:bookmarkStart w:id="44" w:name="_Toc20884"/>
      <w:bookmarkStart w:id="45" w:name="_Toc40776112"/>
    </w:p>
    <w:p w14:paraId="072DF9A5">
      <w:pPr>
        <w:widowControl/>
        <w:spacing w:line="360" w:lineRule="auto"/>
        <w:ind w:firstLine="600"/>
        <w:outlineLvl w:val="0"/>
        <w:rPr>
          <w:rFonts w:hint="eastAsia" w:ascii="仿宋" w:hAnsi="仿宋" w:eastAsia="仿宋" w:cs="仿宋"/>
          <w:kern w:val="0"/>
          <w:sz w:val="30"/>
          <w:szCs w:val="30"/>
        </w:rPr>
      </w:pPr>
      <w:bookmarkStart w:id="46" w:name="_Toc5238"/>
      <w:bookmarkStart w:id="47" w:name="_Toc31538"/>
      <w:bookmarkStart w:id="48" w:name="_Toc29102"/>
      <w:bookmarkStart w:id="49" w:name="_Toc19699"/>
      <w:bookmarkStart w:id="50" w:name="_Toc23097"/>
      <w:bookmarkStart w:id="51" w:name="_Toc11485"/>
      <w:bookmarkStart w:id="52" w:name="_Toc30979"/>
      <w:bookmarkStart w:id="53" w:name="_Toc2029"/>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7CFEF7">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16794"/>
      <w:bookmarkStart w:id="57" w:name="_Toc4013"/>
      <w:bookmarkStart w:id="58" w:name="_Toc29767"/>
      <w:bookmarkStart w:id="59" w:name="_Toc11141"/>
      <w:bookmarkStart w:id="60" w:name="_Toc31993"/>
      <w:bookmarkStart w:id="61" w:name="_Toc40346377"/>
      <w:bookmarkStart w:id="62" w:name="_Toc12645"/>
      <w:bookmarkStart w:id="63" w:name="_Toc21483"/>
      <w:bookmarkStart w:id="64" w:name="_Toc40776113"/>
      <w:bookmarkStart w:id="65" w:name="_Toc27867"/>
      <w:bookmarkStart w:id="66" w:name="_Toc14824"/>
      <w:bookmarkStart w:id="67" w:name="_Toc28064"/>
      <w:bookmarkStart w:id="68" w:name="_Toc7052"/>
      <w:bookmarkStart w:id="69" w:name="_Toc24763"/>
      <w:bookmarkStart w:id="70" w:name="_Toc40346218"/>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26E2AD9">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17537"/>
      <w:bookmarkStart w:id="74" w:name="_Toc40346219"/>
      <w:bookmarkStart w:id="75" w:name="_Toc16813"/>
      <w:bookmarkStart w:id="76" w:name="_Toc40776114"/>
      <w:bookmarkStart w:id="77" w:name="_Toc14287"/>
      <w:bookmarkStart w:id="78" w:name="_Toc4563"/>
      <w:bookmarkStart w:id="79" w:name="_Toc11334"/>
      <w:bookmarkStart w:id="80" w:name="_Toc1324"/>
      <w:bookmarkStart w:id="81" w:name="_Toc32709"/>
      <w:bookmarkStart w:id="82" w:name="_Toc19831"/>
      <w:bookmarkStart w:id="83" w:name="_Toc9883"/>
      <w:bookmarkStart w:id="84" w:name="_Toc40346378"/>
      <w:bookmarkStart w:id="85" w:name="_Toc27771"/>
      <w:bookmarkStart w:id="86" w:name="_Toc6438"/>
      <w:bookmarkStart w:id="87" w:name="_Toc24651"/>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3501D46">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40346220"/>
      <w:bookmarkStart w:id="91" w:name="_Toc40776115"/>
      <w:bookmarkStart w:id="92" w:name="_Toc21940"/>
      <w:bookmarkStart w:id="93" w:name="_Toc14586"/>
      <w:bookmarkStart w:id="94" w:name="_Toc5634"/>
      <w:bookmarkStart w:id="95" w:name="_Toc17483"/>
      <w:bookmarkStart w:id="96" w:name="_Toc18353"/>
      <w:bookmarkStart w:id="97" w:name="_Toc13222"/>
      <w:bookmarkStart w:id="98" w:name="_Toc27206"/>
      <w:bookmarkStart w:id="99" w:name="_Toc21686"/>
      <w:bookmarkStart w:id="100" w:name="_Toc30336"/>
      <w:bookmarkStart w:id="101" w:name="_Toc3895"/>
      <w:bookmarkStart w:id="102" w:name="_Toc40346379"/>
      <w:bookmarkStart w:id="103" w:name="_Toc20994"/>
      <w:bookmarkStart w:id="104" w:name="_Toc5189"/>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406E72B">
      <w:pPr>
        <w:widowControl/>
        <w:spacing w:line="360" w:lineRule="auto"/>
        <w:ind w:firstLine="600"/>
        <w:outlineLvl w:val="0"/>
        <w:rPr>
          <w:rFonts w:hint="eastAsia" w:ascii="仿宋" w:hAnsi="仿宋" w:eastAsia="仿宋" w:cs="仿宋"/>
          <w:kern w:val="0"/>
          <w:sz w:val="30"/>
          <w:szCs w:val="30"/>
        </w:rPr>
      </w:pPr>
      <w:bookmarkStart w:id="106" w:name="_Toc5220"/>
      <w:bookmarkStart w:id="107" w:name="_Toc40346221"/>
      <w:bookmarkStart w:id="108" w:name="_Toc27009"/>
      <w:bookmarkStart w:id="109" w:name="_Toc40776116"/>
      <w:bookmarkStart w:id="110" w:name="_Toc10454"/>
      <w:bookmarkStart w:id="111" w:name="_Toc9282"/>
      <w:bookmarkStart w:id="112" w:name="_Toc40346380"/>
      <w:bookmarkStart w:id="113" w:name="_Toc14462"/>
      <w:bookmarkStart w:id="114" w:name="_Toc11547"/>
      <w:bookmarkStart w:id="115" w:name="_Toc8526"/>
      <w:bookmarkStart w:id="116" w:name="_Toc21449"/>
      <w:bookmarkStart w:id="117" w:name="_Toc30856"/>
      <w:bookmarkStart w:id="118" w:name="_Toc3498"/>
      <w:bookmarkStart w:id="119" w:name="_Toc30904"/>
      <w:bookmarkStart w:id="120" w:name="_Toc12127"/>
      <w:bookmarkStart w:id="121" w:name="_Toc32371"/>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464EBF9">
      <w:pPr>
        <w:pStyle w:val="18"/>
      </w:pPr>
    </w:p>
    <w:p w14:paraId="43D6720F">
      <w:pPr>
        <w:pStyle w:val="18"/>
      </w:pPr>
    </w:p>
    <w:p w14:paraId="7AF81478">
      <w:pPr>
        <w:pStyle w:val="24"/>
        <w:spacing w:line="360" w:lineRule="auto"/>
        <w:ind w:firstLine="0" w:firstLineChars="0"/>
        <w:rPr>
          <w:rFonts w:ascii="宋体" w:hAnsi="宋体"/>
          <w:bCs/>
          <w:color w:val="FF0000"/>
          <w:sz w:val="24"/>
          <w:szCs w:val="24"/>
        </w:rPr>
      </w:pPr>
      <w:bookmarkStart w:id="123" w:name="_Toc21213"/>
      <w:bookmarkStart w:id="124" w:name="_Toc9697"/>
      <w:bookmarkStart w:id="125" w:name="_Toc6691"/>
      <w:bookmarkStart w:id="126" w:name="_Toc13184"/>
      <w:bookmarkStart w:id="127" w:name="_Toc16608"/>
      <w:bookmarkStart w:id="128" w:name="_Toc31077"/>
      <w:bookmarkStart w:id="129" w:name="_Toc28747"/>
      <w:bookmarkStart w:id="130" w:name="_Toc8637"/>
      <w:bookmarkStart w:id="131" w:name="_Toc16728"/>
      <w:bookmarkStart w:id="132" w:name="_Toc10399"/>
      <w:bookmarkStart w:id="133" w:name="_Toc15539"/>
    </w:p>
    <w:p w14:paraId="4FD0D6D5">
      <w:pPr>
        <w:pStyle w:val="24"/>
        <w:spacing w:line="360" w:lineRule="auto"/>
        <w:ind w:firstLine="0" w:firstLineChars="0"/>
        <w:rPr>
          <w:rFonts w:ascii="宋体" w:hAnsi="宋体"/>
          <w:bCs/>
          <w:color w:val="FF0000"/>
          <w:sz w:val="24"/>
          <w:szCs w:val="24"/>
        </w:rPr>
      </w:pPr>
    </w:p>
    <w:p w14:paraId="534F38F9">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9E74BF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8AB3537">
      <w:pPr>
        <w:keepNext w:val="0"/>
        <w:keepLines w:val="0"/>
        <w:widowControl/>
        <w:numPr>
          <w:ilvl w:val="0"/>
          <w:numId w:val="5"/>
        </w:numPr>
        <w:suppressLineNumbers w:val="0"/>
        <w:ind w:left="0" w:leftChars="0" w:firstLine="420" w:firstLineChars="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资格声明函</w:t>
      </w:r>
    </w:p>
    <w:p w14:paraId="2457A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90233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99E30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98BCA8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362360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6C6266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0A93DE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F7D52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65916B4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BDE2DB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47622FC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F9691A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80F3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245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83973B0">
      <w:pPr>
        <w:pStyle w:val="29"/>
        <w:rPr>
          <w:rFonts w:hint="eastAsia" w:ascii="仿宋" w:hAnsi="仿宋" w:eastAsia="仿宋" w:cs="仿宋"/>
          <w:color w:val="000000"/>
          <w:highlight w:val="none"/>
        </w:rPr>
      </w:pPr>
    </w:p>
    <w:p w14:paraId="77E231E8">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9ABB2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13BBC4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21438E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4237A096">
      <w:pPr>
        <w:keepNext w:val="0"/>
        <w:keepLines w:val="0"/>
        <w:widowControl/>
        <w:numPr>
          <w:ilvl w:val="0"/>
          <w:numId w:val="5"/>
        </w:numPr>
        <w:suppressLineNumbers w:val="0"/>
        <w:ind w:left="0" w:leftChars="0" w:firstLine="420" w:firstLine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供应商营业执照</w:t>
      </w:r>
    </w:p>
    <w:p w14:paraId="3442ED5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E1142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08C3A56">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0F2F16E">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C24617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8783CD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97C6C9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9C1578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03752BF">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2514E6C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A6881C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BF06B0A">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468BAA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CFD2BF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4D9234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5D6020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6033B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7C9324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1B7471CB">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特定的资格要求</w:t>
      </w:r>
    </w:p>
    <w:p w14:paraId="1F914107">
      <w:pPr>
        <w:pStyle w:val="3"/>
        <w:numPr>
          <w:ilvl w:val="0"/>
          <w:numId w:val="6"/>
        </w:numPr>
        <w:ind w:left="425" w:leftChars="0" w:hanging="425" w:firstLineChars="0"/>
        <w:rPr>
          <w:rFonts w:hint="eastAsia" w:ascii="宋体" w:hAnsi="宋体"/>
          <w:sz w:val="24"/>
        </w:rPr>
      </w:pPr>
      <w:r>
        <w:rPr>
          <w:rFonts w:hint="eastAsia" w:ascii="宋体" w:hAnsi="宋体"/>
          <w:sz w:val="24"/>
        </w:rPr>
        <w:t>如供应商为生产企业：所投产品为第一类医疗器械，提供监督管理部门签发的有效的《医疗器械生产备案凭证》复印件；（如国家另有规定，则适用其规定）</w:t>
      </w:r>
    </w:p>
    <w:p w14:paraId="3A854DBE">
      <w:pPr>
        <w:pStyle w:val="3"/>
        <w:numPr>
          <w:ilvl w:val="0"/>
          <w:numId w:val="6"/>
        </w:numPr>
        <w:ind w:left="425" w:leftChars="0" w:hanging="425" w:firstLineChars="0"/>
        <w:rPr>
          <w:rFonts w:hint="eastAsia" w:ascii="宋体" w:hAnsi="宋体"/>
          <w:sz w:val="24"/>
        </w:rPr>
      </w:pPr>
      <w:r>
        <w:rPr>
          <w:rFonts w:hint="eastAsia" w:ascii="宋体" w:hAnsi="宋体"/>
          <w:sz w:val="24"/>
        </w:rPr>
        <w:t>如供应商为生产企业：所投产品为第二、三类医疗器械，提供监督管理部门签发的有效的《医疗器械生产许可证》复印件；（如国家另有规定，则适用其规定）</w:t>
      </w:r>
    </w:p>
    <w:p w14:paraId="09D0195B">
      <w:pPr>
        <w:pStyle w:val="3"/>
        <w:numPr>
          <w:ilvl w:val="0"/>
          <w:numId w:val="6"/>
        </w:numPr>
        <w:ind w:left="425" w:leftChars="0" w:hanging="425" w:firstLineChars="0"/>
        <w:rPr>
          <w:rFonts w:hint="eastAsia" w:ascii="宋体" w:hAnsi="宋体"/>
          <w:sz w:val="24"/>
        </w:rPr>
      </w:pPr>
      <w:r>
        <w:rPr>
          <w:rFonts w:hint="eastAsia" w:ascii="宋体" w:hAnsi="宋体"/>
          <w:sz w:val="24"/>
        </w:rPr>
        <w:t>如供应商为经营企业：所投产品为第三类医疗器械，提供监督管理部门签发的有效的《医疗器械经营许可证》复印件；（如国家另有规定，则适用其规定）</w:t>
      </w:r>
    </w:p>
    <w:p w14:paraId="1D6D51D1">
      <w:pPr>
        <w:pStyle w:val="3"/>
        <w:numPr>
          <w:ilvl w:val="0"/>
          <w:numId w:val="6"/>
        </w:numPr>
        <w:ind w:left="425" w:leftChars="0" w:hanging="425" w:firstLineChars="0"/>
        <w:rPr>
          <w:rFonts w:hint="eastAsia" w:ascii="宋体" w:hAnsi="宋体"/>
          <w:sz w:val="24"/>
        </w:rPr>
      </w:pPr>
      <w:r>
        <w:rPr>
          <w:rFonts w:hint="eastAsia" w:ascii="宋体" w:hAnsi="宋体"/>
          <w:sz w:val="24"/>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3D92817F">
      <w:pPr>
        <w:pStyle w:val="3"/>
        <w:numPr>
          <w:ilvl w:val="0"/>
          <w:numId w:val="6"/>
        </w:numPr>
        <w:ind w:left="425" w:leftChars="0" w:hanging="425" w:firstLineChars="0"/>
        <w:rPr>
          <w:rFonts w:ascii="宋体" w:hAnsi="宋体"/>
          <w:sz w:val="24"/>
        </w:rPr>
      </w:pPr>
      <w:r>
        <w:rPr>
          <w:rFonts w:hint="eastAsia" w:ascii="宋体" w:hAnsi="宋体"/>
          <w:sz w:val="24"/>
        </w:rPr>
        <w:t>如所投产品属于第二类、第三类医疗器械，则必须提供有效的医疗器械注册证明复印件。（如国家另有规定，则适用其规定）</w:t>
      </w:r>
    </w:p>
    <w:p w14:paraId="315A15E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06897544">
      <w:pPr>
        <w:pStyle w:val="3"/>
        <w:rPr>
          <w:rFonts w:ascii="宋体" w:hAnsi="宋体"/>
          <w:sz w:val="24"/>
        </w:rPr>
      </w:pPr>
    </w:p>
    <w:p w14:paraId="264C928D">
      <w:pPr>
        <w:pStyle w:val="3"/>
        <w:rPr>
          <w:rFonts w:ascii="宋体" w:hAnsi="宋体"/>
          <w:sz w:val="24"/>
        </w:rPr>
      </w:pPr>
    </w:p>
    <w:p w14:paraId="6B8809E5">
      <w:pPr>
        <w:pStyle w:val="3"/>
        <w:rPr>
          <w:rFonts w:ascii="宋体" w:hAnsi="宋体"/>
          <w:sz w:val="24"/>
        </w:rPr>
      </w:pPr>
    </w:p>
    <w:p w14:paraId="716A75DE">
      <w:pPr>
        <w:pStyle w:val="3"/>
        <w:rPr>
          <w:rFonts w:ascii="宋体" w:hAnsi="宋体"/>
          <w:sz w:val="24"/>
        </w:rPr>
      </w:pPr>
    </w:p>
    <w:p w14:paraId="0E5C2512">
      <w:pPr>
        <w:pStyle w:val="3"/>
        <w:rPr>
          <w:rFonts w:ascii="宋体" w:hAnsi="宋体"/>
          <w:sz w:val="24"/>
        </w:rPr>
      </w:pPr>
    </w:p>
    <w:p w14:paraId="3805348F">
      <w:pPr>
        <w:pStyle w:val="3"/>
        <w:rPr>
          <w:rFonts w:ascii="宋体" w:hAnsi="宋体"/>
          <w:sz w:val="24"/>
        </w:rPr>
      </w:pPr>
    </w:p>
    <w:p w14:paraId="43579EAF">
      <w:pPr>
        <w:pStyle w:val="3"/>
        <w:spacing w:line="360" w:lineRule="auto"/>
        <w:rPr>
          <w:rFonts w:hint="eastAsia" w:ascii="仿宋" w:hAnsi="仿宋" w:eastAsia="仿宋" w:cs="仿宋"/>
          <w:sz w:val="24"/>
          <w:lang w:val="en-US" w:eastAsia="zh-CN"/>
        </w:rPr>
      </w:pPr>
    </w:p>
    <w:p w14:paraId="11FD1E7E">
      <w:pPr>
        <w:pStyle w:val="3"/>
        <w:spacing w:line="360" w:lineRule="auto"/>
        <w:rPr>
          <w:rFonts w:hint="eastAsia" w:ascii="仿宋" w:hAnsi="仿宋" w:eastAsia="仿宋" w:cs="仿宋"/>
          <w:sz w:val="24"/>
          <w:lang w:val="en-US" w:eastAsia="zh-CN"/>
        </w:rPr>
      </w:pPr>
    </w:p>
    <w:p w14:paraId="326AA9B9">
      <w:pPr>
        <w:pStyle w:val="3"/>
        <w:spacing w:line="360" w:lineRule="auto"/>
        <w:rPr>
          <w:rFonts w:hint="eastAsia" w:ascii="仿宋" w:hAnsi="仿宋" w:eastAsia="仿宋" w:cs="仿宋"/>
          <w:sz w:val="24"/>
          <w:lang w:val="en-US" w:eastAsia="zh-CN"/>
        </w:rPr>
      </w:pPr>
    </w:p>
    <w:p w14:paraId="6A212F38">
      <w:pPr>
        <w:pStyle w:val="3"/>
        <w:spacing w:line="360" w:lineRule="auto"/>
        <w:rPr>
          <w:rFonts w:hint="default" w:ascii="仿宋" w:hAnsi="仿宋" w:eastAsia="仿宋" w:cs="仿宋"/>
          <w:color w:val="0070C0"/>
          <w:sz w:val="24"/>
          <w:lang w:val="en-US" w:eastAsia="zh-CN"/>
        </w:rPr>
      </w:pPr>
    </w:p>
    <w:sectPr>
      <w:footerReference r:id="rId15"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83A02E-68C7-4C17-B460-3AE61FBE1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ECD4099-A280-4F8E-B759-70244A381074}"/>
  </w:font>
  <w:font w:name="微软雅黑">
    <w:panose1 w:val="020B0503020204020204"/>
    <w:charset w:val="86"/>
    <w:family w:val="auto"/>
    <w:pitch w:val="default"/>
    <w:sig w:usb0="80000287" w:usb1="2ACF3C50" w:usb2="00000016" w:usb3="00000000" w:csb0="0004001F" w:csb1="00000000"/>
    <w:embedRegular r:id="rId3" w:fontKey="{4D754577-D4F5-4E1B-AB3B-FA29D5F4B7D1}"/>
  </w:font>
  <w:font w:name="方正小标宋简体">
    <w:panose1 w:val="02000000000000000000"/>
    <w:charset w:val="86"/>
    <w:family w:val="script"/>
    <w:pitch w:val="default"/>
    <w:sig w:usb0="00000001" w:usb1="08000000" w:usb2="00000000" w:usb3="00000000" w:csb0="00040000" w:csb1="00000000"/>
    <w:embedRegular r:id="rId4" w:fontKey="{1F94E6BD-14B7-427F-A716-CF273154617D}"/>
  </w:font>
  <w:font w:name="仿宋">
    <w:panose1 w:val="02010609060101010101"/>
    <w:charset w:val="86"/>
    <w:family w:val="auto"/>
    <w:pitch w:val="default"/>
    <w:sig w:usb0="800002BF" w:usb1="38CF7CFA" w:usb2="00000016" w:usb3="00000000" w:csb0="00040001" w:csb1="00000000"/>
    <w:embedRegular r:id="rId5" w:fontKey="{B449C5F9-11CB-4B96-AD61-E1A5ED0A11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420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3A6B">
    <w:pPr>
      <w:pStyle w:val="10"/>
      <w:framePr w:wrap="around" w:vAnchor="text" w:hAnchor="margin" w:xAlign="center" w:y="1"/>
      <w:rPr>
        <w:rStyle w:val="15"/>
      </w:rPr>
    </w:pPr>
    <w:r>
      <w:fldChar w:fldCharType="begin"/>
    </w:r>
    <w:r>
      <w:rPr>
        <w:rStyle w:val="15"/>
      </w:rPr>
      <w:instrText xml:space="preserve">PAGE  </w:instrText>
    </w:r>
    <w:r>
      <w:fldChar w:fldCharType="end"/>
    </w:r>
  </w:p>
  <w:p w14:paraId="62E08B3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E3BB">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6372">
    <w:pPr>
      <w:pStyle w:val="10"/>
      <w:jc w:val="center"/>
    </w:pPr>
  </w:p>
  <w:p w14:paraId="08F1D1C6">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F8FD">
    <w:pPr>
      <w:pStyle w:val="10"/>
      <w:framePr w:wrap="around" w:vAnchor="text" w:hAnchor="margin" w:xAlign="center" w:y="1"/>
      <w:rPr>
        <w:rStyle w:val="15"/>
      </w:rPr>
    </w:pPr>
    <w:r>
      <w:fldChar w:fldCharType="begin"/>
    </w:r>
    <w:r>
      <w:rPr>
        <w:rStyle w:val="15"/>
      </w:rPr>
      <w:instrText xml:space="preserve">PAGE  </w:instrText>
    </w:r>
    <w:r>
      <w:fldChar w:fldCharType="end"/>
    </w:r>
  </w:p>
  <w:p w14:paraId="30609DC1">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90ED">
    <w:pPr>
      <w:pStyle w:val="10"/>
      <w:jc w:val="center"/>
    </w:pPr>
  </w:p>
  <w:p w14:paraId="3D80957C">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F8D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1t1xl1AEAAJkDAAAOAAAAAAAAAAEAIAAAAB8B&#10;AABkcnMvZTJvRG9jLnhtbFBLBQYAAAAABgAGAFkBAABlBQAAAAA=&#10;">
              <v:fill on="f" focussize="0,0"/>
              <v:stroke on="f"/>
              <v:imagedata o:title=""/>
              <o:lock v:ext="edit" aspectratio="f"/>
              <v:textbox inset="0mm,0mm,0mm,0mm" style="mso-fit-shape-to-text:t;">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rect>
          </w:pict>
        </mc:Fallback>
      </mc:AlternateContent>
    </w:r>
  </w:p>
  <w:p w14:paraId="248ED28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28E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2898">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EE4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6A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FB47">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025E">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8458"/>
    <w:multiLevelType w:val="singleLevel"/>
    <w:tmpl w:val="8F5A8458"/>
    <w:lvl w:ilvl="0" w:tentative="0">
      <w:start w:val="1"/>
      <w:numFmt w:val="chineseCounting"/>
      <w:suff w:val="nothing"/>
      <w:lvlText w:val="%1、"/>
      <w:lvlJc w:val="left"/>
      <w:pPr>
        <w:ind w:left="0" w:firstLine="420"/>
      </w:pPr>
      <w:rPr>
        <w:rFonts w:hint="eastAsia"/>
      </w:rPr>
    </w:lvl>
  </w:abstractNum>
  <w:abstractNum w:abstractNumId="1">
    <w:nsid w:val="D39E280E"/>
    <w:multiLevelType w:val="singleLevel"/>
    <w:tmpl w:val="D39E280E"/>
    <w:lvl w:ilvl="0" w:tentative="0">
      <w:start w:val="1"/>
      <w:numFmt w:val="decimal"/>
      <w:lvlText w:val="(%1)"/>
      <w:lvlJc w:val="left"/>
      <w:pPr>
        <w:ind w:left="425" w:hanging="425"/>
      </w:pPr>
      <w:rPr>
        <w:rFonts w:hint="default"/>
      </w:rPr>
    </w:lvl>
  </w:abstractNum>
  <w:abstractNum w:abstractNumId="2">
    <w:nsid w:val="D6B78AE3"/>
    <w:multiLevelType w:val="singleLevel"/>
    <w:tmpl w:val="D6B78AE3"/>
    <w:lvl w:ilvl="0" w:tentative="0">
      <w:start w:val="1"/>
      <w:numFmt w:val="decimal"/>
      <w:suff w:val="nothing"/>
      <w:lvlText w:val="(%1)"/>
      <w:lvlJc w:val="left"/>
      <w:pPr>
        <w:ind w:left="425" w:hanging="425"/>
      </w:pPr>
      <w:rPr>
        <w:rFonts w:hint="default"/>
      </w:rPr>
    </w:lvl>
  </w:abstractNum>
  <w:abstractNum w:abstractNumId="3">
    <w:nsid w:val="F93D46BB"/>
    <w:multiLevelType w:val="singleLevel"/>
    <w:tmpl w:val="F93D46BB"/>
    <w:lvl w:ilvl="0" w:tentative="0">
      <w:start w:val="1"/>
      <w:numFmt w:val="decimalEnclosedCircleChinese"/>
      <w:suff w:val="nothing"/>
      <w:lvlText w:val="%1　"/>
      <w:lvlJc w:val="left"/>
      <w:pPr>
        <w:ind w:left="0" w:firstLine="400"/>
      </w:pPr>
      <w:rPr>
        <w:rFonts w:hint="eastAsia"/>
      </w:rPr>
    </w:lvl>
  </w:abstractNum>
  <w:abstractNum w:abstractNumId="4">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5">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s>
  <w:rsids>
    <w:rsidRoot w:val="00000000"/>
    <w:rsid w:val="00F208D0"/>
    <w:rsid w:val="0260770A"/>
    <w:rsid w:val="02836EFE"/>
    <w:rsid w:val="03A441BF"/>
    <w:rsid w:val="04A7319E"/>
    <w:rsid w:val="0BF238BE"/>
    <w:rsid w:val="0FB24AB4"/>
    <w:rsid w:val="10AC236A"/>
    <w:rsid w:val="17263B81"/>
    <w:rsid w:val="1E865036"/>
    <w:rsid w:val="1F9D0438"/>
    <w:rsid w:val="20573B57"/>
    <w:rsid w:val="231E5CE9"/>
    <w:rsid w:val="2587134A"/>
    <w:rsid w:val="27CC1EEA"/>
    <w:rsid w:val="29E607B2"/>
    <w:rsid w:val="2A5016CC"/>
    <w:rsid w:val="2DFD0CB5"/>
    <w:rsid w:val="333756F5"/>
    <w:rsid w:val="3543527A"/>
    <w:rsid w:val="36BE775A"/>
    <w:rsid w:val="36C51B37"/>
    <w:rsid w:val="37324EBF"/>
    <w:rsid w:val="3BD10967"/>
    <w:rsid w:val="3C883582"/>
    <w:rsid w:val="3EA6712C"/>
    <w:rsid w:val="45B5724A"/>
    <w:rsid w:val="486A3C02"/>
    <w:rsid w:val="4A467007"/>
    <w:rsid w:val="4F930C92"/>
    <w:rsid w:val="50946DB0"/>
    <w:rsid w:val="5411136C"/>
    <w:rsid w:val="56190EAC"/>
    <w:rsid w:val="62EB3197"/>
    <w:rsid w:val="676B5FBF"/>
    <w:rsid w:val="68844983"/>
    <w:rsid w:val="73E40D0A"/>
    <w:rsid w:val="77A1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2702</Words>
  <Characters>2825</Characters>
  <Paragraphs>196</Paragraphs>
  <TotalTime>13</TotalTime>
  <ScaleCrop>false</ScaleCrop>
  <LinksUpToDate>false</LinksUpToDate>
  <CharactersWithSpaces>2950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2025-03-06T00:30:53Z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