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17040"/>
      <w:bookmarkStart w:id="3" w:name="_Toc3493"/>
      <w:bookmarkStart w:id="4" w:name="_Toc16091"/>
      <w:bookmarkStart w:id="5" w:name="_Toc15553"/>
      <w:bookmarkStart w:id="6" w:name="_Toc14315"/>
      <w:bookmarkStart w:id="7" w:name="_Toc15189"/>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41DF40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3E66FE10">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2025年度脑卒中急诊信息化系统维保服务项目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bookmarkStart w:id="134" w:name="_GoBack"/>
      <w:bookmarkEnd w:id="134"/>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5059</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5</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3.邮件主题：2025年度脑卒中急诊信息化系统维保服务项目-某某公司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5</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23</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8"/>
        <w:adjustRightInd w:val="0"/>
        <w:snapToGrid w:val="0"/>
        <w:rPr>
          <w:rFonts w:ascii="Times New Roman" w:hAnsi="Times New Roman" w:cs="Times New Roman"/>
          <w:sz w:val="24"/>
          <w:szCs w:val="24"/>
        </w:rPr>
      </w:pPr>
    </w:p>
    <w:p w14:paraId="113A90A5">
      <w:pPr>
        <w:pStyle w:val="8"/>
        <w:adjustRightInd w:val="0"/>
        <w:snapToGrid w:val="0"/>
        <w:rPr>
          <w:rFonts w:ascii="Times New Roman" w:hAnsi="Times New Roman" w:cs="Times New Roman"/>
          <w:sz w:val="24"/>
          <w:szCs w:val="24"/>
        </w:rPr>
      </w:pPr>
    </w:p>
    <w:p w14:paraId="6F883E9D">
      <w:pPr>
        <w:pStyle w:val="8"/>
        <w:adjustRightInd w:val="0"/>
        <w:snapToGrid w:val="0"/>
        <w:rPr>
          <w:rFonts w:ascii="Times New Roman" w:hAnsi="Times New Roman" w:cs="Times New Roman"/>
          <w:sz w:val="24"/>
          <w:szCs w:val="24"/>
        </w:rPr>
      </w:pPr>
    </w:p>
    <w:p w14:paraId="7CD71478">
      <w:pPr>
        <w:pStyle w:val="8"/>
        <w:adjustRightInd w:val="0"/>
        <w:snapToGrid w:val="0"/>
        <w:rPr>
          <w:rFonts w:ascii="Times New Roman" w:hAnsi="Times New Roman" w:cs="Times New Roman"/>
          <w:sz w:val="24"/>
          <w:szCs w:val="24"/>
        </w:rPr>
      </w:pPr>
    </w:p>
    <w:p w14:paraId="5006B9CC">
      <w:pPr>
        <w:pStyle w:val="8"/>
        <w:adjustRightInd w:val="0"/>
        <w:snapToGrid w:val="0"/>
        <w:rPr>
          <w:rFonts w:ascii="Times New Roman" w:hAnsi="Times New Roman" w:cs="Times New Roman"/>
          <w:sz w:val="24"/>
          <w:szCs w:val="24"/>
        </w:rPr>
      </w:pPr>
    </w:p>
    <w:p w14:paraId="27F2C341">
      <w:pPr>
        <w:pStyle w:val="8"/>
        <w:adjustRightInd w:val="0"/>
        <w:snapToGrid w:val="0"/>
        <w:rPr>
          <w:rFonts w:ascii="Times New Roman" w:hAnsi="Times New Roman" w:cs="Times New Roman"/>
          <w:sz w:val="24"/>
          <w:szCs w:val="24"/>
        </w:rPr>
      </w:pPr>
    </w:p>
    <w:p w14:paraId="14A98AAC">
      <w:pPr>
        <w:pStyle w:val="8"/>
        <w:adjustRightInd w:val="0"/>
        <w:snapToGrid w:val="0"/>
        <w:rPr>
          <w:rFonts w:ascii="Times New Roman" w:hAnsi="Times New Roman" w:cs="Times New Roman"/>
          <w:sz w:val="24"/>
          <w:szCs w:val="24"/>
        </w:rPr>
      </w:pPr>
    </w:p>
    <w:p w14:paraId="178F0F0B">
      <w:pPr>
        <w:pStyle w:val="8"/>
        <w:adjustRightInd w:val="0"/>
        <w:snapToGrid w:val="0"/>
        <w:rPr>
          <w:rFonts w:ascii="Times New Roman" w:hAnsi="Times New Roman" w:cs="Times New Roman"/>
          <w:sz w:val="24"/>
          <w:szCs w:val="24"/>
        </w:rPr>
      </w:pPr>
    </w:p>
    <w:p w14:paraId="20FE2F88">
      <w:pPr>
        <w:pStyle w:val="8"/>
        <w:adjustRightInd w:val="0"/>
        <w:snapToGrid w:val="0"/>
        <w:rPr>
          <w:rFonts w:ascii="Times New Roman" w:hAnsi="Times New Roman" w:cs="Times New Roman"/>
          <w:sz w:val="24"/>
          <w:szCs w:val="24"/>
        </w:rPr>
      </w:pPr>
    </w:p>
    <w:p w14:paraId="6A436EE1">
      <w:pPr>
        <w:pStyle w:val="8"/>
        <w:adjustRightInd w:val="0"/>
        <w:snapToGrid w:val="0"/>
        <w:rPr>
          <w:rFonts w:ascii="Times New Roman" w:hAnsi="Times New Roman" w:cs="Times New Roman"/>
          <w:sz w:val="24"/>
          <w:szCs w:val="24"/>
        </w:rPr>
      </w:pPr>
    </w:p>
    <w:p w14:paraId="142D1C43">
      <w:pPr>
        <w:pStyle w:val="8"/>
        <w:adjustRightInd w:val="0"/>
        <w:snapToGrid w:val="0"/>
        <w:rPr>
          <w:rFonts w:ascii="Times New Roman" w:hAnsi="Times New Roman" w:cs="Times New Roman"/>
          <w:sz w:val="24"/>
          <w:szCs w:val="24"/>
        </w:rPr>
      </w:pPr>
    </w:p>
    <w:p w14:paraId="5A1246C1">
      <w:pPr>
        <w:pStyle w:val="8"/>
        <w:adjustRightInd w:val="0"/>
        <w:snapToGrid w:val="0"/>
        <w:rPr>
          <w:rFonts w:ascii="Times New Roman" w:hAnsi="Times New Roman" w:cs="Times New Roman"/>
          <w:sz w:val="24"/>
          <w:szCs w:val="24"/>
        </w:rPr>
      </w:pPr>
    </w:p>
    <w:p w14:paraId="5364999A">
      <w:pPr>
        <w:pStyle w:val="8"/>
        <w:adjustRightInd w:val="0"/>
        <w:snapToGrid w:val="0"/>
        <w:rPr>
          <w:rFonts w:ascii="Times New Roman" w:hAnsi="Times New Roman" w:cs="Times New Roman"/>
          <w:sz w:val="24"/>
          <w:szCs w:val="24"/>
        </w:rPr>
      </w:pPr>
    </w:p>
    <w:p w14:paraId="6E094D46">
      <w:pPr>
        <w:pStyle w:val="8"/>
        <w:adjustRightInd w:val="0"/>
        <w:snapToGrid w:val="0"/>
        <w:rPr>
          <w:rFonts w:ascii="Times New Roman" w:hAnsi="Times New Roman" w:cs="Times New Roman"/>
          <w:sz w:val="24"/>
          <w:szCs w:val="24"/>
        </w:rPr>
      </w:pPr>
    </w:p>
    <w:p w14:paraId="3BE6F787">
      <w:pPr>
        <w:pStyle w:val="8"/>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2" w:name="_Toc17375"/>
      <w:bookmarkStart w:id="13" w:name="_Toc25869"/>
      <w:bookmarkStart w:id="14" w:name="_Toc6408"/>
      <w:bookmarkStart w:id="15" w:name="_Toc6151"/>
      <w:bookmarkStart w:id="16" w:name="_Toc24"/>
      <w:bookmarkStart w:id="17" w:name="_Toc31740"/>
      <w:bookmarkStart w:id="18" w:name="_Toc14488"/>
      <w:bookmarkStart w:id="19" w:name="_Toc31053"/>
      <w:bookmarkStart w:id="20" w:name="_Toc28528"/>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04813">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2A4146AE">
      <w:pPr>
        <w:jc w:val="center"/>
        <w:rPr>
          <w:rFonts w:hint="eastAsia" w:ascii="仿宋" w:hAnsi="仿宋" w:eastAsia="仿宋" w:cs="仿宋"/>
          <w:b/>
          <w:kern w:val="0"/>
          <w:sz w:val="52"/>
          <w:szCs w:val="52"/>
        </w:rPr>
      </w:pPr>
      <w:r>
        <w:rPr>
          <w:rFonts w:hint="eastAsia" w:ascii="仿宋" w:hAnsi="仿宋" w:eastAsia="仿宋" w:cs="仿宋"/>
          <w:b/>
          <w:kern w:val="0"/>
          <w:sz w:val="52"/>
          <w:szCs w:val="52"/>
        </w:rPr>
        <w:t>2025年度脑卒中急诊信息化系统维保服务项目</w:t>
      </w:r>
    </w:p>
    <w:p w14:paraId="7C4D5BE7">
      <w:pPr>
        <w:jc w:val="center"/>
        <w:rPr>
          <w:rFonts w:hint="eastAsia" w:ascii="仿宋" w:hAnsi="仿宋" w:eastAsia="仿宋" w:cs="仿宋"/>
          <w:b/>
          <w:kern w:val="0"/>
          <w:sz w:val="52"/>
          <w:szCs w:val="52"/>
        </w:rPr>
      </w:pPr>
    </w:p>
    <w:p w14:paraId="765A9128">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11075"/>
      <w:bookmarkStart w:id="22" w:name="_Toc1994"/>
      <w:bookmarkStart w:id="23" w:name="_Toc15870"/>
      <w:bookmarkStart w:id="24" w:name="_Toc28703"/>
      <w:bookmarkStart w:id="25" w:name="_Toc40346216"/>
      <w:bookmarkStart w:id="26" w:name="_Toc12520"/>
      <w:bookmarkStart w:id="27" w:name="_Toc21249"/>
      <w:bookmarkStart w:id="28" w:name="_Toc435"/>
      <w:bookmarkStart w:id="29" w:name="_Toc6547"/>
      <w:bookmarkStart w:id="30" w:name="_Toc29113"/>
      <w:bookmarkStart w:id="31" w:name="_Toc3471"/>
      <w:bookmarkStart w:id="32" w:name="_Toc8364"/>
      <w:bookmarkStart w:id="33" w:name="_Toc7291"/>
      <w:bookmarkStart w:id="34" w:name="_Toc26267"/>
      <w:bookmarkStart w:id="35" w:name="_Toc11305"/>
      <w:bookmarkStart w:id="36" w:name="_Toc40776111"/>
      <w:bookmarkStart w:id="37" w:name="_Toc4034637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20884"/>
      <w:bookmarkStart w:id="42" w:name="_Toc2916"/>
      <w:bookmarkStart w:id="43" w:name="_Toc27997"/>
      <w:bookmarkStart w:id="44" w:name="_Toc40346376"/>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31538"/>
      <w:bookmarkStart w:id="47" w:name="_Toc29102"/>
      <w:bookmarkStart w:id="48" w:name="_Toc11485"/>
      <w:bookmarkStart w:id="49" w:name="_Toc2029"/>
      <w:bookmarkStart w:id="50" w:name="_Toc5238"/>
      <w:bookmarkStart w:id="51" w:name="_Toc23097"/>
      <w:bookmarkStart w:id="52" w:name="_Toc2012"/>
      <w:bookmarkStart w:id="53" w:name="_Toc19699"/>
      <w:bookmarkStart w:id="54" w:name="_Toc30979"/>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11558"/>
      <w:bookmarkStart w:id="56" w:name="_Toc28064"/>
      <w:bookmarkStart w:id="57" w:name="_Toc7052"/>
      <w:bookmarkStart w:id="58" w:name="_Toc11141"/>
      <w:bookmarkStart w:id="59" w:name="_Toc4013"/>
      <w:bookmarkStart w:id="60" w:name="_Toc24763"/>
      <w:bookmarkStart w:id="61" w:name="_Toc21483"/>
      <w:bookmarkStart w:id="62" w:name="_Toc16794"/>
      <w:bookmarkStart w:id="63" w:name="_Toc31993"/>
      <w:bookmarkStart w:id="64" w:name="_Toc12645"/>
      <w:bookmarkStart w:id="65" w:name="_Toc17930"/>
      <w:bookmarkStart w:id="66" w:name="_Toc29767"/>
      <w:bookmarkStart w:id="67" w:name="_Toc40346377"/>
      <w:bookmarkStart w:id="68" w:name="_Toc40776113"/>
      <w:bookmarkStart w:id="69" w:name="_Toc27867"/>
      <w:bookmarkStart w:id="70" w:name="_Toc14824"/>
      <w:bookmarkStart w:id="71" w:name="_Toc4034621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324"/>
      <w:bookmarkStart w:id="73" w:name="_Toc24651"/>
      <w:bookmarkStart w:id="74" w:name="_Toc4563"/>
      <w:bookmarkStart w:id="75" w:name="_Toc14287"/>
      <w:bookmarkStart w:id="76" w:name="_Toc9883"/>
      <w:bookmarkStart w:id="77" w:name="_Toc26029"/>
      <w:bookmarkStart w:id="78" w:name="_Toc17537"/>
      <w:bookmarkStart w:id="79" w:name="_Toc40776114"/>
      <w:bookmarkStart w:id="80" w:name="_Toc6438"/>
      <w:bookmarkStart w:id="81" w:name="_Toc11334"/>
      <w:bookmarkStart w:id="82" w:name="_Toc40346219"/>
      <w:bookmarkStart w:id="83" w:name="_Toc27771"/>
      <w:bookmarkStart w:id="84" w:name="_Toc16813"/>
      <w:bookmarkStart w:id="85" w:name="_Toc19831"/>
      <w:bookmarkStart w:id="86" w:name="_Toc32709"/>
      <w:bookmarkStart w:id="87" w:name="_Toc31197"/>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2650"/>
      <w:bookmarkStart w:id="90" w:name="_Toc5189"/>
      <w:bookmarkStart w:id="91" w:name="_Toc21686"/>
      <w:bookmarkStart w:id="92" w:name="_Toc18353"/>
      <w:bookmarkStart w:id="93" w:name="_Toc27206"/>
      <w:bookmarkStart w:id="94" w:name="_Toc27868"/>
      <w:bookmarkStart w:id="95" w:name="_Toc20994"/>
      <w:bookmarkStart w:id="96" w:name="_Toc17483"/>
      <w:bookmarkStart w:id="97" w:name="_Toc40776115"/>
      <w:bookmarkStart w:id="98" w:name="_Toc13222"/>
      <w:bookmarkStart w:id="99" w:name="_Toc3895"/>
      <w:bookmarkStart w:id="100" w:name="_Toc14586"/>
      <w:bookmarkStart w:id="101" w:name="_Toc5634"/>
      <w:bookmarkStart w:id="102" w:name="_Toc40346379"/>
      <w:bookmarkStart w:id="103" w:name="_Toc30336"/>
      <w:bookmarkStart w:id="104" w:name="_Toc40346220"/>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2371"/>
      <w:bookmarkStart w:id="107" w:name="_Toc10454"/>
      <w:bookmarkStart w:id="108" w:name="_Toc5220"/>
      <w:bookmarkStart w:id="109" w:name="_Toc30856"/>
      <w:bookmarkStart w:id="110" w:name="_Toc40346380"/>
      <w:bookmarkStart w:id="111" w:name="_Toc30904"/>
      <w:bookmarkStart w:id="112" w:name="_Toc11547"/>
      <w:bookmarkStart w:id="113" w:name="_Toc21449"/>
      <w:bookmarkStart w:id="114" w:name="_Toc9282"/>
      <w:bookmarkStart w:id="115" w:name="_Toc27646"/>
      <w:bookmarkStart w:id="116" w:name="_Toc3498"/>
      <w:bookmarkStart w:id="117" w:name="_Toc8526"/>
      <w:bookmarkStart w:id="118" w:name="_Toc12127"/>
      <w:bookmarkStart w:id="119" w:name="_Toc40776116"/>
      <w:bookmarkStart w:id="120" w:name="_Toc14462"/>
      <w:bookmarkStart w:id="121" w:name="_Toc27009"/>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3" w:name="_Toc15539"/>
      <w:bookmarkStart w:id="124" w:name="_Toc13184"/>
      <w:bookmarkStart w:id="125" w:name="_Toc16728"/>
      <w:bookmarkStart w:id="126" w:name="_Toc8637"/>
      <w:bookmarkStart w:id="127" w:name="_Toc28747"/>
      <w:bookmarkStart w:id="128" w:name="_Toc16608"/>
      <w:bookmarkStart w:id="129" w:name="_Toc21213"/>
      <w:bookmarkStart w:id="130" w:name="_Toc10399"/>
      <w:bookmarkStart w:id="131" w:name="_Toc31077"/>
      <w:bookmarkStart w:id="132" w:name="_Toc6691"/>
      <w:bookmarkStart w:id="133" w:name="_Toc9697"/>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6"/>
      </w:pPr>
    </w:p>
    <w:p w14:paraId="38790926">
      <w:pPr>
        <w:pStyle w:val="6"/>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中山大学孙逸仙纪念医院2025年度脑卒中急诊信息化系统维保服务项目</w:t>
      </w:r>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10"/>
      <w:framePr w:wrap="around" w:vAnchor="text" w:hAnchor="margin" w:xAlign="center" w:y="1"/>
      <w:rPr>
        <w:rStyle w:val="15"/>
      </w:rPr>
    </w:pPr>
    <w:r>
      <w:fldChar w:fldCharType="begin"/>
    </w:r>
    <w:r>
      <w:rPr>
        <w:rStyle w:val="15"/>
      </w:rPr>
      <w:instrText xml:space="preserve">PAGE  </w:instrText>
    </w:r>
    <w:r>
      <w:fldChar w:fldCharType="end"/>
    </w:r>
  </w:p>
  <w:p w14:paraId="016FAE0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10"/>
      <w:framePr w:wrap="around" w:vAnchor="text" w:hAnchor="margin" w:xAlign="center" w:y="1"/>
      <w:rPr>
        <w:rStyle w:val="15"/>
      </w:rPr>
    </w:pPr>
    <w:r>
      <w:fldChar w:fldCharType="begin"/>
    </w:r>
    <w:r>
      <w:rPr>
        <w:rStyle w:val="15"/>
      </w:rPr>
      <w:instrText xml:space="preserve">PAGE  </w:instrText>
    </w:r>
    <w:r>
      <w:fldChar w:fldCharType="end"/>
    </w:r>
  </w:p>
  <w:p w14:paraId="58D2742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79F6366"/>
    <w:rsid w:val="38642C82"/>
    <w:rsid w:val="3ACC61BC"/>
    <w:rsid w:val="3BBC0FB1"/>
    <w:rsid w:val="3C814BF9"/>
    <w:rsid w:val="3D8726E3"/>
    <w:rsid w:val="420A743F"/>
    <w:rsid w:val="42F73E67"/>
    <w:rsid w:val="43782F65"/>
    <w:rsid w:val="44267AEF"/>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5515E4"/>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AAF4675"/>
    <w:rsid w:val="7CDC47CD"/>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5">
    <w:name w:val="Normal Indent"/>
    <w:basedOn w:val="1"/>
    <w:link w:val="23"/>
    <w:autoRedefine/>
    <w:qFormat/>
    <w:uiPriority w:val="0"/>
    <w:pPr>
      <w:ind w:firstLine="420"/>
    </w:pPr>
  </w:style>
  <w:style w:type="paragraph" w:styleId="6">
    <w:name w:val="Body Text"/>
    <w:basedOn w:val="1"/>
    <w:next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4"/>
    <w:autoRedefine/>
    <w:qFormat/>
    <w:uiPriority w:val="0"/>
    <w:rPr>
      <w:rFonts w:ascii="宋体" w:hAnsi="Courier New" w:cs="Courier New"/>
      <w:szCs w:val="21"/>
    </w:rPr>
  </w:style>
  <w:style w:type="paragraph" w:styleId="9">
    <w:name w:val="Balloon Text"/>
    <w:basedOn w:val="1"/>
    <w:link w:val="28"/>
    <w:autoRedefine/>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1"/>
    <w:autoRedefine/>
    <w:qFormat/>
    <w:uiPriority w:val="99"/>
    <w:rPr>
      <w:sz w:val="18"/>
      <w:szCs w:val="18"/>
    </w:rPr>
  </w:style>
  <w:style w:type="character" w:customStyle="1" w:styleId="21">
    <w:name w:val="页脚 字符"/>
    <w:basedOn w:val="14"/>
    <w:link w:val="10"/>
    <w:autoRedefine/>
    <w:qFormat/>
    <w:uiPriority w:val="99"/>
    <w:rPr>
      <w:sz w:val="18"/>
      <w:szCs w:val="18"/>
    </w:rPr>
  </w:style>
  <w:style w:type="character" w:customStyle="1" w:styleId="22">
    <w:name w:val="标题 2 字符"/>
    <w:basedOn w:val="14"/>
    <w:link w:val="4"/>
    <w:autoRedefine/>
    <w:qFormat/>
    <w:uiPriority w:val="0"/>
    <w:rPr>
      <w:rFonts w:ascii="Arial" w:hAnsi="Arial" w:eastAsia="黑体" w:cs="Times New Roman"/>
      <w:b/>
      <w:bCs/>
      <w:sz w:val="32"/>
      <w:szCs w:val="32"/>
    </w:rPr>
  </w:style>
  <w:style w:type="character" w:customStyle="1" w:styleId="23">
    <w:name w:val="正文缩进 字符"/>
    <w:link w:val="5"/>
    <w:autoRedefine/>
    <w:qFormat/>
    <w:uiPriority w:val="0"/>
    <w:rPr>
      <w:rFonts w:ascii="Times New Roman" w:hAnsi="Times New Roman" w:eastAsia="宋体" w:cs="Times New Roman"/>
      <w:szCs w:val="24"/>
    </w:rPr>
  </w:style>
  <w:style w:type="character" w:customStyle="1" w:styleId="24">
    <w:name w:val="纯文本 字符"/>
    <w:basedOn w:val="14"/>
    <w:link w:val="8"/>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9"/>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1968</Words>
  <Characters>2077</Characters>
  <Lines>17</Lines>
  <Paragraphs>4</Paragraphs>
  <TotalTime>1</TotalTime>
  <ScaleCrop>false</ScaleCrop>
  <LinksUpToDate>false</LinksUpToDate>
  <CharactersWithSpaces>2200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2025-05-19T09:30:46Z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128D664A4D7B4F60B21A30DA36F724AC_13</vt:lpwstr>
  </property>
  <property fmtid="{D5CDD505-2E9C-101B-9397-08002B2CF9AE}" pid="4" name="KSOTemplateDocerSaveRecord">
    <vt:lpwstr>eyJoZGlkIjoiNDViNjU4YzZkNDVjYTFiNTNjNDhjZjY3ZmEyZDVhZjUiLCJ1c2VySWQiOiI2NTU2MDgzODkifQ==</vt:lpwstr>
  </property>
</Properties>
</file>