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p>
    <w:p>
      <w:pPr>
        <w:pStyle w:val="18"/>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pPr>
        <w:spacing w:line="360" w:lineRule="auto"/>
        <w:jc w:val="center"/>
        <w:rPr>
          <w:rFonts w:ascii="微软雅黑" w:hAnsi="微软雅黑" w:eastAsia="微软雅黑" w:cs="微软雅黑"/>
          <w:b/>
          <w:bCs/>
          <w:spacing w:val="-30"/>
          <w:sz w:val="72"/>
          <w:szCs w:val="72"/>
        </w:rPr>
      </w:pPr>
    </w:p>
    <w:p>
      <w:pPr>
        <w:spacing w:line="360" w:lineRule="auto"/>
        <w:ind w:right="-42"/>
        <w:rPr>
          <w:rFonts w:ascii="宋体" w:hAnsi="宋体" w:cs="宋体"/>
          <w:b/>
          <w:bCs/>
          <w:sz w:val="28"/>
          <w:szCs w:val="28"/>
        </w:rPr>
      </w:pPr>
    </w:p>
    <w:p>
      <w:pPr>
        <w:spacing w:line="360" w:lineRule="auto"/>
        <w:ind w:left="0" w:leftChars="0" w:right="-42" w:firstLine="0" w:firstLineChars="0"/>
        <w:jc w:val="center"/>
        <w:rPr>
          <w:rFonts w:hint="eastAsia" w:ascii="宋体" w:hAnsi="宋体" w:cs="宋体"/>
          <w:b/>
          <w:bCs/>
          <w:sz w:val="32"/>
          <w:szCs w:val="32"/>
        </w:rPr>
      </w:pPr>
      <w:r>
        <w:rPr>
          <w:rFonts w:hint="eastAsia" w:ascii="宋体" w:hAnsi="宋体" w:cs="宋体"/>
          <w:b/>
          <w:bCs/>
          <w:sz w:val="32"/>
          <w:szCs w:val="32"/>
        </w:rPr>
        <w:t>项目名称：中山大学孙逸仙纪念医院北院区</w:t>
      </w:r>
    </w:p>
    <w:p>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检验科小教堂屋盖结构加固工程</w:t>
      </w:r>
      <w:r>
        <w:rPr>
          <w:rFonts w:hint="eastAsia" w:ascii="宋体" w:hAnsi="宋体" w:cs="宋体"/>
          <w:b/>
          <w:bCs/>
          <w:sz w:val="32"/>
          <w:szCs w:val="32"/>
          <w:lang w:eastAsia="zh-CN"/>
        </w:rPr>
        <w:t>监理服务</w:t>
      </w:r>
    </w:p>
    <w:p>
      <w:pPr>
        <w:spacing w:line="360" w:lineRule="auto"/>
        <w:ind w:right="-42" w:firstLine="420" w:firstLineChars="200"/>
        <w:jc w:val="left"/>
      </w:pPr>
    </w:p>
    <w:p>
      <w:pPr>
        <w:spacing w:line="360" w:lineRule="auto"/>
        <w:ind w:right="-42"/>
        <w:jc w:val="center"/>
        <w:rPr>
          <w:rFonts w:hint="eastAsia" w:ascii="宋体" w:hAnsi="宋体" w:cs="宋体"/>
          <w:b/>
          <w:bCs/>
          <w:sz w:val="32"/>
          <w:szCs w:val="32"/>
        </w:rPr>
      </w:pPr>
    </w:p>
    <w:p>
      <w:pPr>
        <w:spacing w:line="360" w:lineRule="auto"/>
        <w:ind w:right="-42"/>
        <w:jc w:val="center"/>
        <w:rPr>
          <w:rFonts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23</w:t>
      </w:r>
      <w:r>
        <w:rPr>
          <w:rFonts w:hint="eastAsia" w:ascii="宋体" w:hAnsi="宋体" w:cs="宋体"/>
          <w:b/>
          <w:bCs/>
          <w:sz w:val="28"/>
          <w:szCs w:val="28"/>
        </w:rPr>
        <w:t>日</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keepNext w:val="0"/>
        <w:keepLines w:val="0"/>
        <w:widowControl/>
        <w:suppressLineNumbers w:val="0"/>
        <w:ind w:firstLine="560" w:firstLineChars="200"/>
        <w:jc w:val="center"/>
        <w:rPr>
          <w:rFonts w:hint="eastAsia" w:ascii="宋体" w:hAnsi="宋体" w:eastAsia="宋体" w:cs="宋体"/>
          <w:b/>
          <w:bCs/>
          <w:color w:val="000000"/>
          <w:kern w:val="0"/>
          <w:sz w:val="28"/>
          <w:szCs w:val="28"/>
          <w:lang w:val="en-US" w:eastAsia="zh-CN" w:bidi="ar"/>
        </w:rPr>
      </w:pPr>
    </w:p>
    <w:p>
      <w:pPr>
        <w:keepNext w:val="0"/>
        <w:keepLines w:val="0"/>
        <w:widowControl/>
        <w:suppressLineNumbers w:val="0"/>
        <w:ind w:firstLine="560"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pStyle w:val="15"/>
        <w:ind w:left="-84" w:leftChars="-200" w:hanging="336"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Theme="minorEastAsia" w:hAnsiTheme="minorEastAsia" w:cstheme="minorEastAsia"/>
          <w:color w:val="auto"/>
          <w:sz w:val="24"/>
          <w:szCs w:val="24"/>
          <w:lang w:eastAsia="zh-CN"/>
        </w:rPr>
        <w:t>中山大学孙逸仙纪念医院</w:t>
      </w:r>
      <w:r>
        <w:rPr>
          <w:rFonts w:hint="eastAsia" w:asciiTheme="minorEastAsia" w:hAnsiTheme="minorEastAsia" w:cstheme="minorEastAsia"/>
          <w:sz w:val="24"/>
          <w:szCs w:val="24"/>
        </w:rPr>
        <w:t>北院区检验科小教堂屋盖结构加固工程</w:t>
      </w:r>
      <w:r>
        <w:rPr>
          <w:rFonts w:hint="eastAsia" w:asciiTheme="minorEastAsia" w:hAnsiTheme="minorEastAsia" w:cstheme="minorEastAsia"/>
          <w:sz w:val="24"/>
          <w:szCs w:val="24"/>
          <w:lang w:eastAsia="zh-CN"/>
        </w:rPr>
        <w:t>监理服务采购项目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pPr>
        <w:numPr>
          <w:ilvl w:val="0"/>
          <w:numId w:val="2"/>
        </w:numPr>
        <w:tabs>
          <w:tab w:val="center" w:pos="4415"/>
        </w:tabs>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color w:val="auto"/>
          <w:sz w:val="24"/>
          <w:szCs w:val="24"/>
          <w:lang w:eastAsia="zh-CN"/>
        </w:rPr>
        <w:t>中山大学孙逸仙纪念医院</w:t>
      </w:r>
      <w:r>
        <w:rPr>
          <w:rFonts w:hint="eastAsia" w:asciiTheme="minorEastAsia" w:hAnsiTheme="minorEastAsia" w:cstheme="minorEastAsia"/>
          <w:sz w:val="24"/>
          <w:szCs w:val="24"/>
        </w:rPr>
        <w:t>北院区检验科小教堂屋盖结构加固工程</w:t>
      </w:r>
      <w:r>
        <w:rPr>
          <w:rFonts w:hint="eastAsia" w:asciiTheme="minorEastAsia" w:hAnsiTheme="minorEastAsia" w:cstheme="minorEastAsia"/>
          <w:sz w:val="24"/>
          <w:szCs w:val="24"/>
          <w:lang w:eastAsia="zh-CN"/>
        </w:rPr>
        <w:t>监理服务</w:t>
      </w:r>
    </w:p>
    <w:p>
      <w:pPr>
        <w:numPr>
          <w:ilvl w:val="0"/>
          <w:numId w:val="0"/>
        </w:numPr>
        <w:tabs>
          <w:tab w:val="center" w:pos="4415"/>
        </w:tabs>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pPr>
        <w:spacing w:line="360" w:lineRule="auto"/>
        <w:ind w:firstLine="482"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r>
        <w:rPr>
          <w:rFonts w:hint="eastAsia" w:asciiTheme="minorEastAsia" w:hAnsiTheme="minorEastAsia" w:cstheme="minorEastAsia"/>
          <w:sz w:val="24"/>
          <w:szCs w:val="24"/>
          <w:lang w:val="en-US" w:eastAsia="zh-CN"/>
        </w:rPr>
        <w:t>北院区</w:t>
      </w:r>
    </w:p>
    <w:p>
      <w:pPr>
        <w:spacing w:line="360" w:lineRule="auto"/>
        <w:ind w:firstLine="482"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pPr>
        <w:spacing w:line="360" w:lineRule="auto"/>
        <w:ind w:firstLine="480" w:firstLineChars="200"/>
        <w:rPr>
          <w:rFonts w:hint="eastAsia" w:ascii="宋体" w:hAnsi="宋体" w:cs="宋体"/>
          <w:color w:val="auto"/>
          <w:sz w:val="24"/>
          <w:szCs w:val="24"/>
          <w:lang w:val="en-US" w:eastAsia="zh-CN"/>
        </w:rPr>
      </w:pPr>
      <w:r>
        <w:rPr>
          <w:rFonts w:hint="eastAsia" w:asciiTheme="minorEastAsia" w:hAnsiTheme="minorEastAsia" w:cstheme="minorEastAsia"/>
          <w:sz w:val="24"/>
          <w:szCs w:val="24"/>
        </w:rPr>
        <w:t>1、最高限价：</w:t>
      </w:r>
      <w:r>
        <w:rPr>
          <w:rFonts w:hint="eastAsia" w:asciiTheme="minorEastAsia" w:hAnsiTheme="minorEastAsia" w:cstheme="minorEastAsia"/>
          <w:color w:val="auto"/>
          <w:sz w:val="24"/>
          <w:szCs w:val="24"/>
          <w:highlight w:val="none"/>
          <w:lang w:val="en-US" w:eastAsia="zh-CN"/>
        </w:rPr>
        <w:t>按监理费率报价，最高响应监理费率：3.3%</w:t>
      </w:r>
      <w:r>
        <w:rPr>
          <w:rFonts w:hint="eastAsia" w:ascii="宋体" w:hAnsi="宋体" w:cs="宋体"/>
          <w:color w:val="auto"/>
          <w:sz w:val="24"/>
          <w:szCs w:val="24"/>
          <w:lang w:val="en-US" w:eastAsia="zh-CN"/>
        </w:rPr>
        <w:t>。</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2、最终监理合同价以施工合同价乘以响应</w:t>
      </w:r>
      <w:r>
        <w:rPr>
          <w:rFonts w:hint="eastAsia" w:asciiTheme="minorEastAsia" w:hAnsiTheme="minorEastAsia" w:cstheme="minorEastAsia"/>
          <w:color w:val="auto"/>
          <w:sz w:val="24"/>
          <w:szCs w:val="24"/>
          <w:highlight w:val="none"/>
          <w:lang w:val="en-US" w:eastAsia="zh-CN"/>
        </w:rPr>
        <w:t>监理费率</w:t>
      </w:r>
      <w:r>
        <w:rPr>
          <w:rFonts w:hint="eastAsia" w:asciiTheme="minorEastAsia" w:hAnsiTheme="minorEastAsia" w:cstheme="minorEastAsia"/>
          <w:color w:val="auto"/>
          <w:sz w:val="24"/>
          <w:szCs w:val="24"/>
          <w:lang w:val="en-US" w:eastAsia="zh-CN"/>
        </w:rPr>
        <w:t>计算，监理合同价即为结算价，不以施工工期长短、施工费用增减等因素而变化。</w:t>
      </w:r>
    </w:p>
    <w:p>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4、资金来源：</w:t>
      </w:r>
      <w:r>
        <w:rPr>
          <w:rFonts w:hint="eastAsia" w:asciiTheme="minorEastAsia" w:hAnsiTheme="minorEastAsia" w:cstheme="minorEastAsia"/>
          <w:color w:val="auto"/>
          <w:sz w:val="24"/>
          <w:szCs w:val="24"/>
          <w:lang w:eastAsia="zh-CN"/>
        </w:rPr>
        <w:t>单位自有资金。</w:t>
      </w:r>
    </w:p>
    <w:p>
      <w:pPr>
        <w:spacing w:line="360" w:lineRule="auto"/>
        <w:ind w:firstLine="482"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1、项目总投资：</w:t>
      </w:r>
      <w:r>
        <w:rPr>
          <w:rFonts w:hint="eastAsia" w:eastAsia="宋体" w:asciiTheme="minorEastAsia" w:hAnsiTheme="minorEastAsia" w:cstheme="minorEastAsia"/>
          <w:color w:val="auto"/>
          <w:kern w:val="2"/>
          <w:sz w:val="24"/>
          <w:szCs w:val="24"/>
          <w:lang w:val="en-US" w:eastAsia="zh-CN" w:bidi="ar-SA"/>
        </w:rPr>
        <w:t>中山大学孙逸仙纪念医院北院区小教堂第三层屋顶金字架木结构存在白蚁腐蚀、檩条纵向开裂、榫牙开脱等现象。室内棚顶瓦片局部出现透光现象，小教堂外部屋顶面有大面积瓦面开裂，存在下滑的趋势。小教堂第三层平面面积约289.74平方米，本项目工作内容主要为小教堂屋盖结构的修缮，包括但不限于小教堂屋顶瓦面的揭顶和重铺、腐朽或虫蛀檩条的更换、桷板的更换等，以及施工过程中所必需的安全防护措施等内容。</w:t>
      </w:r>
      <w:r>
        <w:rPr>
          <w:rFonts w:hint="eastAsia" w:asciiTheme="minorEastAsia" w:hAnsiTheme="minorEastAsia" w:cstheme="minorEastAsia"/>
          <w:color w:val="auto"/>
          <w:kern w:val="2"/>
          <w:sz w:val="24"/>
          <w:szCs w:val="24"/>
          <w:lang w:val="en-US" w:eastAsia="zh-CN" w:bidi="ar-SA"/>
        </w:rPr>
        <w:t>该</w:t>
      </w:r>
      <w:r>
        <w:rPr>
          <w:rFonts w:hint="eastAsia" w:eastAsia="宋体" w:asciiTheme="minorEastAsia" w:hAnsiTheme="minorEastAsia" w:cstheme="minorEastAsia"/>
          <w:color w:val="auto"/>
          <w:kern w:val="2"/>
          <w:sz w:val="24"/>
          <w:szCs w:val="24"/>
          <w:lang w:val="en-US" w:eastAsia="zh-CN" w:bidi="ar-SA"/>
        </w:rPr>
        <w:t>项目</w:t>
      </w:r>
      <w:r>
        <w:rPr>
          <w:rFonts w:hint="eastAsia" w:asciiTheme="minorEastAsia" w:hAnsiTheme="minorEastAsia" w:cstheme="minorEastAsia"/>
          <w:color w:val="auto"/>
          <w:kern w:val="2"/>
          <w:sz w:val="24"/>
          <w:szCs w:val="24"/>
          <w:lang w:val="en-US" w:eastAsia="zh-CN" w:bidi="ar-SA"/>
        </w:rPr>
        <w:t>工程施工</w:t>
      </w:r>
      <w:r>
        <w:rPr>
          <w:rFonts w:hint="eastAsia" w:eastAsia="宋体" w:asciiTheme="minorEastAsia" w:hAnsiTheme="minorEastAsia" w:cstheme="minorEastAsia"/>
          <w:color w:val="auto"/>
          <w:kern w:val="2"/>
          <w:sz w:val="24"/>
          <w:szCs w:val="24"/>
          <w:lang w:val="en-US" w:eastAsia="zh-CN" w:bidi="ar-SA"/>
        </w:rPr>
        <w:t>预算金额约115万元。</w:t>
      </w:r>
    </w:p>
    <w:p>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宋体" w:hAnsi="宋体" w:cs="宋体"/>
          <w:sz w:val="24"/>
          <w:szCs w:val="24"/>
          <w:lang w:val="en-US" w:eastAsia="zh-CN"/>
        </w:rPr>
        <w:t>2、</w:t>
      </w:r>
      <w:r>
        <w:rPr>
          <w:rFonts w:hint="eastAsia" w:asciiTheme="minorEastAsia" w:hAnsiTheme="minorEastAsia" w:cstheme="minorEastAsia"/>
          <w:color w:val="auto"/>
          <w:kern w:val="2"/>
          <w:sz w:val="24"/>
          <w:szCs w:val="24"/>
          <w:lang w:val="en-US" w:eastAsia="zh-CN" w:bidi="ar-SA"/>
        </w:rPr>
        <w:t>监理</w:t>
      </w:r>
      <w:r>
        <w:rPr>
          <w:rFonts w:hint="eastAsia" w:eastAsia="宋体" w:asciiTheme="minorEastAsia" w:hAnsiTheme="minorEastAsia" w:cstheme="minorEastAsia"/>
          <w:color w:val="auto"/>
          <w:kern w:val="2"/>
          <w:sz w:val="24"/>
          <w:szCs w:val="24"/>
          <w:lang w:val="en-US" w:eastAsia="zh-CN" w:bidi="ar-SA"/>
        </w:rPr>
        <w:t>范围：提供中山大学孙逸仙纪念医院北院区检验科小教堂屋盖结构加固工程（即：广州市文物局【文物20250414号】批复的“孙逸仙博士开始学医及革命运动策源地”纪念碑之教堂修缮工程 ）项目的全过程监理服务，包括但不限于质量管理、工期管理、投资管理、工程保修等全过程监理服务。</w:t>
      </w:r>
    </w:p>
    <w:p>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3</w:t>
      </w:r>
      <w:r>
        <w:rPr>
          <w:rFonts w:hint="eastAsia" w:eastAsia="宋体" w:asciiTheme="minorEastAsia" w:hAnsi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highlight w:val="none"/>
          <w:lang w:val="en-US" w:eastAsia="zh-CN" w:bidi="ar-SA"/>
        </w:rPr>
        <w:t>监理</w:t>
      </w:r>
      <w:r>
        <w:rPr>
          <w:rFonts w:hint="eastAsia" w:eastAsia="宋体" w:asciiTheme="minorEastAsia" w:hAnsiTheme="minorEastAsia" w:cstheme="minorEastAsia"/>
          <w:color w:val="auto"/>
          <w:kern w:val="2"/>
          <w:sz w:val="24"/>
          <w:szCs w:val="24"/>
          <w:highlight w:val="none"/>
          <w:lang w:val="en-US" w:eastAsia="zh-CN" w:bidi="ar-SA"/>
        </w:rPr>
        <w:t>服务期：</w:t>
      </w:r>
      <w:r>
        <w:rPr>
          <w:rFonts w:hint="eastAsia" w:asciiTheme="minorEastAsia" w:hAnsiTheme="minorEastAsia" w:cstheme="minorEastAsia"/>
          <w:color w:val="auto"/>
          <w:kern w:val="2"/>
          <w:sz w:val="24"/>
          <w:szCs w:val="24"/>
          <w:highlight w:val="none"/>
          <w:lang w:val="en-US" w:eastAsia="zh-CN" w:bidi="ar-SA"/>
        </w:rPr>
        <w:t>该工程施工项目采购成交之日起</w:t>
      </w:r>
      <w:r>
        <w:rPr>
          <w:rFonts w:hint="eastAsia" w:eastAsia="宋体" w:asciiTheme="minorEastAsia" w:hAnsiTheme="minorEastAsia" w:cstheme="minorEastAsia"/>
          <w:color w:val="auto"/>
          <w:kern w:val="2"/>
          <w:sz w:val="24"/>
          <w:szCs w:val="24"/>
          <w:highlight w:val="none"/>
          <w:lang w:val="en-US" w:eastAsia="zh-CN" w:bidi="ar-SA"/>
        </w:rPr>
        <w:t>至</w:t>
      </w:r>
      <w:r>
        <w:rPr>
          <w:rFonts w:hint="eastAsia" w:asciiTheme="minorEastAsia" w:hAnsiTheme="minorEastAsia" w:cstheme="minorEastAsia"/>
          <w:color w:val="auto"/>
          <w:kern w:val="2"/>
          <w:sz w:val="24"/>
          <w:szCs w:val="24"/>
          <w:highlight w:val="none"/>
          <w:lang w:val="en-US" w:eastAsia="zh-CN" w:bidi="ar-SA"/>
        </w:rPr>
        <w:t>工程</w:t>
      </w:r>
      <w:r>
        <w:rPr>
          <w:rFonts w:hint="eastAsia" w:eastAsia="宋体" w:asciiTheme="minorEastAsia" w:hAnsiTheme="minorEastAsia" w:cstheme="minorEastAsia"/>
          <w:color w:val="auto"/>
          <w:kern w:val="2"/>
          <w:sz w:val="24"/>
          <w:szCs w:val="24"/>
          <w:highlight w:val="none"/>
          <w:lang w:val="en-US" w:eastAsia="zh-CN" w:bidi="ar-SA"/>
        </w:rPr>
        <w:t>项目</w:t>
      </w:r>
      <w:r>
        <w:rPr>
          <w:rFonts w:hint="eastAsia" w:asciiTheme="minorEastAsia" w:hAnsiTheme="minorEastAsia" w:cstheme="minorEastAsia"/>
          <w:color w:val="auto"/>
          <w:kern w:val="2"/>
          <w:sz w:val="24"/>
          <w:szCs w:val="24"/>
          <w:highlight w:val="none"/>
          <w:lang w:val="en-US" w:eastAsia="zh-CN" w:bidi="ar-SA"/>
        </w:rPr>
        <w:t>质保期满止</w:t>
      </w:r>
      <w:r>
        <w:rPr>
          <w:rFonts w:hint="eastAsia" w:eastAsia="宋体" w:asciiTheme="minorEastAsia" w:hAnsiTheme="minorEastAsia" w:cstheme="minorEastAsia"/>
          <w:color w:val="auto"/>
          <w:kern w:val="2"/>
          <w:sz w:val="24"/>
          <w:szCs w:val="24"/>
          <w:highlight w:val="none"/>
          <w:lang w:val="en-US" w:eastAsia="zh-CN" w:bidi="ar-SA"/>
        </w:rPr>
        <w:t>。</w:t>
      </w:r>
    </w:p>
    <w:p>
      <w:pPr>
        <w:tabs>
          <w:tab w:val="left" w:pos="1365"/>
        </w:tabs>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kern w:val="2"/>
          <w:sz w:val="24"/>
          <w:szCs w:val="24"/>
          <w:lang w:val="en-US" w:eastAsia="zh-CN" w:bidi="ar-SA"/>
        </w:rPr>
        <w:t>4、监理人员要求：除总监理工程师外，须委派1名具有文物保护工程监理员资质的总监理工程师代表。</w:t>
      </w:r>
      <w:r>
        <w:rPr>
          <w:rFonts w:hint="eastAsia" w:asciiTheme="minorEastAsia" w:hAnsiTheme="minorEastAsia" w:cstheme="minorEastAsia"/>
          <w:color w:val="auto"/>
          <w:sz w:val="24"/>
          <w:szCs w:val="24"/>
        </w:rPr>
        <w:t>总监理工程师须参加每周工程例会，总监理工程师代表</w:t>
      </w:r>
      <w:r>
        <w:rPr>
          <w:rFonts w:hint="eastAsia" w:asciiTheme="minorEastAsia" w:hAnsiTheme="minorEastAsia" w:cstheme="minorEastAsia"/>
          <w:color w:val="auto"/>
          <w:sz w:val="24"/>
          <w:szCs w:val="24"/>
          <w:lang w:eastAsia="zh-CN"/>
        </w:rPr>
        <w:t>须</w:t>
      </w:r>
      <w:r>
        <w:rPr>
          <w:rFonts w:hint="eastAsia" w:asciiTheme="minorEastAsia" w:hAnsiTheme="minorEastAsia" w:cstheme="minorEastAsia"/>
          <w:color w:val="auto"/>
          <w:sz w:val="24"/>
          <w:szCs w:val="24"/>
        </w:rPr>
        <w:t>常驻工地。</w:t>
      </w:r>
      <w:r>
        <w:rPr>
          <w:rFonts w:hint="eastAsia" w:asciiTheme="minorEastAsia" w:hAnsiTheme="minorEastAsia" w:cstheme="minorEastAsia"/>
          <w:color w:val="auto"/>
          <w:sz w:val="24"/>
          <w:szCs w:val="24"/>
          <w:lang w:eastAsia="zh-CN"/>
        </w:rPr>
        <w:t>若</w:t>
      </w:r>
      <w:r>
        <w:rPr>
          <w:rFonts w:hint="eastAsia" w:asciiTheme="minorEastAsia" w:hAnsiTheme="minorEastAsia" w:cstheme="minorEastAsia"/>
          <w:color w:val="auto"/>
          <w:sz w:val="24"/>
          <w:szCs w:val="24"/>
        </w:rPr>
        <w:t>监理人</w:t>
      </w:r>
      <w:r>
        <w:rPr>
          <w:rFonts w:hint="eastAsia" w:asciiTheme="minorEastAsia" w:hAnsiTheme="minorEastAsia" w:cstheme="minorEastAsia"/>
          <w:color w:val="auto"/>
          <w:kern w:val="2"/>
          <w:sz w:val="24"/>
          <w:szCs w:val="24"/>
          <w:lang w:val="en-US" w:eastAsia="zh-CN" w:bidi="ar-SA"/>
        </w:rPr>
        <w:t>未经允许擅自调</w:t>
      </w:r>
      <w:r>
        <w:rPr>
          <w:rFonts w:hint="eastAsia" w:asciiTheme="minorEastAsia" w:hAnsiTheme="minorEastAsia" w:cstheme="minorEastAsia"/>
          <w:color w:val="auto"/>
          <w:sz w:val="24"/>
          <w:szCs w:val="24"/>
        </w:rPr>
        <w:t>整监理人员，或监理人员</w:t>
      </w:r>
      <w:r>
        <w:rPr>
          <w:rFonts w:hint="eastAsia" w:asciiTheme="minorEastAsia" w:hAnsiTheme="minorEastAsia" w:cstheme="minorEastAsia"/>
          <w:color w:val="auto"/>
          <w:sz w:val="24"/>
          <w:szCs w:val="24"/>
          <w:lang w:eastAsia="zh-CN"/>
        </w:rPr>
        <w:t>私</w:t>
      </w:r>
      <w:r>
        <w:rPr>
          <w:rFonts w:hint="eastAsia" w:asciiTheme="minorEastAsia" w:hAnsiTheme="minorEastAsia" w:cstheme="minorEastAsia"/>
          <w:color w:val="auto"/>
          <w:sz w:val="24"/>
          <w:szCs w:val="24"/>
        </w:rPr>
        <w:t>自离开监理岗位，采购人发现一人/次，采购人有权处罚1000元</w:t>
      </w:r>
      <w:r>
        <w:rPr>
          <w:rFonts w:hint="eastAsia"/>
          <w:sz w:val="24"/>
          <w:szCs w:val="24"/>
          <w:lang w:eastAsia="zh-CN"/>
        </w:rPr>
        <w:t>至</w:t>
      </w:r>
      <w:r>
        <w:rPr>
          <w:rFonts w:hint="eastAsia" w:asciiTheme="minorEastAsia" w:hAnsiTheme="minorEastAsia" w:cstheme="minorEastAsia"/>
          <w:color w:val="auto"/>
          <w:sz w:val="24"/>
          <w:szCs w:val="24"/>
        </w:rPr>
        <w:t>3000元，并根据合同文件的其</w:t>
      </w:r>
      <w:r>
        <w:rPr>
          <w:rFonts w:hint="eastAsia" w:asciiTheme="minorEastAsia" w:hAnsiTheme="minorEastAsia" w:cstheme="minorEastAsia"/>
          <w:color w:val="auto"/>
          <w:sz w:val="24"/>
          <w:szCs w:val="24"/>
          <w:lang w:eastAsia="zh-CN"/>
        </w:rPr>
        <w:t>他</w:t>
      </w:r>
      <w:r>
        <w:rPr>
          <w:rFonts w:hint="eastAsia" w:asciiTheme="minorEastAsia" w:hAnsiTheme="minorEastAsia" w:cstheme="minorEastAsia"/>
          <w:color w:val="auto"/>
          <w:sz w:val="24"/>
          <w:szCs w:val="24"/>
        </w:rPr>
        <w:t>规定进行</w:t>
      </w:r>
      <w:r>
        <w:rPr>
          <w:rFonts w:hint="eastAsia" w:asciiTheme="minorEastAsia" w:hAnsiTheme="minorEastAsia" w:cstheme="minorEastAsia"/>
          <w:color w:val="auto"/>
          <w:sz w:val="24"/>
          <w:szCs w:val="24"/>
          <w:lang w:eastAsia="zh-CN"/>
        </w:rPr>
        <w:t>进一步</w:t>
      </w:r>
      <w:r>
        <w:rPr>
          <w:rFonts w:hint="eastAsia" w:asciiTheme="minorEastAsia" w:hAnsiTheme="minorEastAsia" w:cstheme="minorEastAsia"/>
          <w:color w:val="auto"/>
          <w:sz w:val="24"/>
          <w:szCs w:val="24"/>
        </w:rPr>
        <w:t>处理。</w:t>
      </w:r>
    </w:p>
    <w:p>
      <w:pPr>
        <w:tabs>
          <w:tab w:val="left" w:pos="1365"/>
        </w:tabs>
        <w:spacing w:line="360" w:lineRule="auto"/>
        <w:ind w:firstLine="480" w:firstLineChars="200"/>
        <w:rPr>
          <w:rFonts w:hint="eastAsia" w:eastAsia="宋体"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5、</w:t>
      </w:r>
      <w:r>
        <w:rPr>
          <w:rFonts w:hint="eastAsia" w:asciiTheme="minorEastAsia" w:hAnsiTheme="minorEastAsia" w:cstheme="minorEastAsia"/>
          <w:color w:val="auto"/>
          <w:sz w:val="24"/>
          <w:szCs w:val="24"/>
        </w:rPr>
        <w:t>工程监理资料要求</w:t>
      </w:r>
      <w:r>
        <w:rPr>
          <w:rFonts w:hint="eastAsia" w:asciiTheme="minorEastAsia" w:hAnsiTheme="minorEastAsia" w:cstheme="minorEastAsia"/>
          <w:color w:val="auto"/>
          <w:sz w:val="24"/>
          <w:szCs w:val="24"/>
          <w:lang w:eastAsia="zh-CN"/>
        </w:rPr>
        <w:t>：</w:t>
      </w:r>
    </w:p>
    <w:p>
      <w:pPr>
        <w:tabs>
          <w:tab w:val="left" w:pos="1365"/>
        </w:tabs>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1</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监理人必须按照有关规定，在监理过程中及时做好相关资料收集、汇总、整理工作。</w:t>
      </w:r>
    </w:p>
    <w:p>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rPr>
        <w:t>2</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监理人负责向采购人提供监理过程中质量、进度、投资、合同、监理情况等报告，并有义务向采购人提出合理、经济的具体方案和建议。</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rPr>
        <w:t>具</w:t>
      </w:r>
      <w:r>
        <w:rPr>
          <w:rFonts w:hint="eastAsia" w:asciiTheme="minorEastAsia" w:hAnsiTheme="minorEastAsia" w:cstheme="minorEastAsia"/>
          <w:color w:val="auto"/>
          <w:sz w:val="24"/>
          <w:szCs w:val="24"/>
          <w:lang w:eastAsia="zh-CN"/>
        </w:rPr>
        <w:t>备</w:t>
      </w:r>
      <w:r>
        <w:rPr>
          <w:rFonts w:hint="eastAsia" w:asciiTheme="minorEastAsia" w:hAnsiTheme="minorEastAsia" w:cstheme="minorEastAsia"/>
          <w:color w:val="auto"/>
          <w:sz w:val="24"/>
          <w:szCs w:val="24"/>
        </w:rPr>
        <w:t>独立承担民事责任能力的在中华人民共和国境内注册的法人</w:t>
      </w:r>
      <w:r>
        <w:rPr>
          <w:rFonts w:hint="eastAsia" w:ascii="宋体" w:hAnsi="宋体" w:cs="宋体"/>
          <w:sz w:val="24"/>
          <w:szCs w:val="24"/>
          <w:lang w:eastAsia="zh-CN"/>
        </w:rPr>
        <w:t>。</w:t>
      </w:r>
      <w:r>
        <w:rPr>
          <w:rFonts w:hint="eastAsia" w:asciiTheme="minorEastAsia" w:hAnsiTheme="minorEastAsia" w:cstheme="minorEastAsia"/>
          <w:color w:val="auto"/>
          <w:sz w:val="24"/>
          <w:szCs w:val="24"/>
        </w:rPr>
        <w:t>提供有效的营业执照复印件，如非“三证合一”证照，同时提供税务登记证复印件。</w:t>
      </w:r>
    </w:p>
    <w:p>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具有文物</w:t>
      </w:r>
      <w:r>
        <w:rPr>
          <w:rFonts w:hint="eastAsia" w:asciiTheme="minorEastAsia" w:hAnsiTheme="minorEastAsia" w:cstheme="minorEastAsia"/>
          <w:color w:val="auto"/>
          <w:sz w:val="24"/>
          <w:szCs w:val="24"/>
          <w:lang w:eastAsia="zh-CN"/>
        </w:rPr>
        <w:t>部门</w:t>
      </w:r>
      <w:r>
        <w:rPr>
          <w:rFonts w:hint="eastAsia" w:asciiTheme="minorEastAsia" w:hAnsiTheme="minorEastAsia" w:cstheme="minorEastAsia"/>
          <w:color w:val="auto"/>
          <w:sz w:val="24"/>
          <w:szCs w:val="24"/>
        </w:rPr>
        <w:t>核发的《文物保护工程监理资质证书》，资质等级：乙级（含）以上，业务范围：古建筑维修保护、近现代文物建筑维修保护。提供有效的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rPr>
        <w:t>拟委派的</w:t>
      </w:r>
      <w:r>
        <w:rPr>
          <w:rFonts w:hint="eastAsia" w:asciiTheme="minorEastAsia" w:hAnsiTheme="minorEastAsia" w:cstheme="minorEastAsia"/>
          <w:color w:val="auto"/>
          <w:sz w:val="24"/>
          <w:szCs w:val="24"/>
          <w:lang w:eastAsia="zh-CN"/>
        </w:rPr>
        <w:t>总监理工程师</w:t>
      </w:r>
      <w:r>
        <w:rPr>
          <w:rFonts w:hint="eastAsia" w:asciiTheme="minorEastAsia" w:hAnsiTheme="minorEastAsia" w:cstheme="minorEastAsia"/>
          <w:color w:val="auto"/>
          <w:sz w:val="24"/>
          <w:szCs w:val="24"/>
        </w:rPr>
        <w:t>具有</w:t>
      </w:r>
      <w:r>
        <w:rPr>
          <w:rFonts w:hint="eastAsia" w:asciiTheme="minorEastAsia" w:hAnsiTheme="minorEastAsia" w:cstheme="minorEastAsia"/>
          <w:color w:val="auto"/>
          <w:sz w:val="24"/>
          <w:szCs w:val="24"/>
          <w:lang w:eastAsia="zh-CN"/>
        </w:rPr>
        <w:t>文物保护工程责任监理师资格</w:t>
      </w:r>
      <w:r>
        <w:rPr>
          <w:rFonts w:hint="eastAsia" w:asciiTheme="minorEastAsia" w:hAnsiTheme="minorEastAsia" w:cstheme="minorEastAsia"/>
          <w:color w:val="FF0000"/>
          <w:sz w:val="24"/>
          <w:szCs w:val="24"/>
          <w:highlight w:val="none"/>
          <w:lang w:val="en-US" w:eastAsia="zh-CN"/>
        </w:rPr>
        <w:t>或具有</w:t>
      </w:r>
      <w:r>
        <w:rPr>
          <w:rFonts w:hint="eastAsia" w:asciiTheme="minorEastAsia" w:hAnsiTheme="minorEastAsia" w:cstheme="minorEastAsia"/>
          <w:color w:val="FF0000"/>
          <w:sz w:val="24"/>
          <w:szCs w:val="24"/>
          <w:highlight w:val="none"/>
          <w:lang w:eastAsia="zh-CN"/>
        </w:rPr>
        <w:t>注册监理工程师执业</w:t>
      </w:r>
      <w:r>
        <w:rPr>
          <w:rFonts w:hint="eastAsia" w:asciiTheme="minorEastAsia" w:hAnsiTheme="minorEastAsia" w:cstheme="minorEastAsia"/>
          <w:color w:val="FF0000"/>
          <w:sz w:val="24"/>
          <w:szCs w:val="24"/>
          <w:highlight w:val="none"/>
          <w:lang w:val="en-US" w:eastAsia="zh-CN"/>
        </w:rPr>
        <w:t>资格</w:t>
      </w:r>
      <w:r>
        <w:rPr>
          <w:rFonts w:hint="eastAsia" w:asciiTheme="minorEastAsia" w:hAnsiTheme="minorEastAsia" w:cstheme="minorEastAsia"/>
          <w:color w:val="auto"/>
          <w:sz w:val="24"/>
          <w:szCs w:val="24"/>
          <w:lang w:eastAsia="zh-CN"/>
        </w:rPr>
        <w:t>。提供有效的资格证复印件，同时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color w:val="auto"/>
          <w:kern w:val="2"/>
          <w:sz w:val="24"/>
          <w:szCs w:val="24"/>
          <w:lang w:val="en-US" w:eastAsia="zh-CN" w:bidi="ar-SA"/>
        </w:rPr>
        <w:t>4、</w:t>
      </w:r>
      <w:r>
        <w:rPr>
          <w:rFonts w:hint="eastAsia" w:ascii="宋体" w:hAnsi="宋体" w:cs="宋体"/>
          <w:sz w:val="24"/>
          <w:szCs w:val="24"/>
        </w:rPr>
        <w:t>不接受联合体报价。</w:t>
      </w:r>
      <w:r>
        <w:rPr>
          <w:rFonts w:hint="eastAsia" w:ascii="宋体" w:hAnsi="宋体" w:cs="宋体"/>
          <w:sz w:val="24"/>
          <w:szCs w:val="24"/>
          <w:lang w:eastAsia="zh-CN"/>
        </w:rPr>
        <w:t>不得分包、转包。提供承</w:t>
      </w:r>
      <w:r>
        <w:rPr>
          <w:rFonts w:hint="eastAsia" w:ascii="宋体" w:hAnsi="宋体" w:eastAsia="宋体" w:cs="宋体"/>
          <w:color w:val="auto"/>
          <w:kern w:val="2"/>
          <w:sz w:val="24"/>
          <w:szCs w:val="24"/>
          <w:highlight w:val="none"/>
          <w:lang w:val="en-US" w:eastAsia="zh-CN" w:bidi="ar-SA"/>
        </w:rPr>
        <w:t>诺函。</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25</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w:t>
      </w:r>
      <w:r>
        <w:rPr>
          <w:rFonts w:hint="eastAsia" w:ascii="宋体" w:hAnsi="宋体" w:cs="宋体"/>
          <w:color w:val="FF0000"/>
          <w:kern w:val="2"/>
          <w:sz w:val="24"/>
          <w:szCs w:val="24"/>
          <w:highlight w:val="none"/>
          <w:lang w:val="en-US" w:eastAsia="zh-CN" w:bidi="ar-SA"/>
        </w:rPr>
        <w:t>3</w:t>
      </w:r>
      <w:r>
        <w:rPr>
          <w:rFonts w:hint="eastAsia" w:ascii="宋体" w:hAnsi="宋体" w:eastAsia="宋体" w:cs="宋体"/>
          <w:color w:val="FF0000"/>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，以邮件接收时间为准，超时视为无效报名。</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pPr>
        <w:spacing w:line="500" w:lineRule="atLeast"/>
        <w:ind w:firstLine="480"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pPr>
        <w:spacing w:line="500" w:lineRule="atLeast"/>
        <w:ind w:firstLine="480"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29</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，广州市越秀区长堤大马路171号一方长堤健康产业中心907室。</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附件二：报价文件格式模板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eastAsia="宋体" w:cs="宋体"/>
          <w:color w:val="FF0000"/>
          <w:kern w:val="2"/>
          <w:sz w:val="24"/>
          <w:szCs w:val="24"/>
          <w:highlight w:val="none"/>
          <w:lang w:val="en-US" w:eastAsia="zh-CN" w:bidi="ar-SA"/>
        </w:rPr>
        <w:t>7月</w:t>
      </w:r>
      <w:r>
        <w:rPr>
          <w:rFonts w:hint="eastAsia" w:ascii="宋体" w:hAnsi="宋体" w:cs="宋体"/>
          <w:color w:val="FF0000"/>
          <w:kern w:val="2"/>
          <w:sz w:val="24"/>
          <w:szCs w:val="24"/>
          <w:highlight w:val="none"/>
          <w:lang w:val="en-US" w:eastAsia="zh-CN" w:bidi="ar-SA"/>
        </w:rPr>
        <w:t>29</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p>
    <w:p>
      <w:pPr>
        <w:spacing w:line="360" w:lineRule="auto"/>
        <w:ind w:right="60" w:rightChars="29"/>
        <w:jc w:val="right"/>
        <w:rPr>
          <w:rFonts w:hint="eastAsia" w:asciiTheme="minorEastAsia" w:hAnsiTheme="minorEastAsia" w:cstheme="minorEastAsia"/>
          <w:sz w:val="24"/>
          <w:szCs w:val="24"/>
        </w:rPr>
      </w:pPr>
    </w:p>
    <w:p>
      <w:pPr>
        <w:spacing w:line="360" w:lineRule="auto"/>
        <w:ind w:right="60" w:rightChars="29"/>
        <w:jc w:val="right"/>
        <w:rPr>
          <w:rFonts w:hint="eastAsia" w:asciiTheme="minorEastAsia" w:hAnsiTheme="minorEastAsia" w:cstheme="minorEastAsia"/>
          <w:sz w:val="24"/>
          <w:szCs w:val="24"/>
        </w:rPr>
      </w:pPr>
    </w:p>
    <w:p>
      <w:pPr>
        <w:spacing w:line="360" w:lineRule="auto"/>
        <w:ind w:right="60"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23</w:t>
      </w:r>
      <w:r>
        <w:rPr>
          <w:rFonts w:hint="eastAsia" w:asciiTheme="minorEastAsia" w:hAnsiTheme="minorEastAsia" w:cstheme="minorEastAsia"/>
          <w:sz w:val="24"/>
          <w:szCs w:val="24"/>
        </w:rPr>
        <w:t>日</w:t>
      </w:r>
    </w:p>
    <w:p>
      <w:pPr>
        <w:spacing w:line="360" w:lineRule="auto"/>
        <w:ind w:firstLine="480" w:firstLineChars="200"/>
        <w:rPr>
          <w:rFonts w:hint="eastAsia" w:asciiTheme="minorEastAsia" w:hAnsiTheme="minorEastAsia" w:cstheme="minorEastAsia"/>
          <w:b/>
          <w:bCs/>
          <w:color w:val="auto"/>
          <w:sz w:val="24"/>
          <w:szCs w:val="24"/>
          <w:lang w:eastAsia="zh-CN"/>
        </w:rPr>
      </w:pPr>
    </w:p>
    <w:p>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pPr>
        <w:pStyle w:val="2"/>
      </w:pPr>
    </w:p>
    <w:p>
      <w:pPr>
        <w:jc w:val="center"/>
        <w:rPr>
          <w:rFonts w:ascii="宋体" w:hAnsi="宋体" w:cs="宋体"/>
          <w:b/>
          <w:kern w:val="0"/>
          <w:sz w:val="52"/>
          <w:szCs w:val="52"/>
        </w:rPr>
      </w:pPr>
    </w:p>
    <w:p>
      <w:pPr>
        <w:jc w:val="center"/>
        <w:rPr>
          <w:rFonts w:ascii="宋体" w:hAnsi="宋体" w:cs="宋体"/>
          <w:kern w:val="0"/>
          <w:sz w:val="72"/>
          <w:szCs w:val="72"/>
        </w:rPr>
      </w:pPr>
      <w:bookmarkStart w:id="1" w:name="_Toc3471"/>
      <w:bookmarkStart w:id="2" w:name="_Toc40346216"/>
      <w:bookmarkStart w:id="3" w:name="_Toc8364"/>
      <w:bookmarkStart w:id="4" w:name="_Toc21249"/>
      <w:bookmarkStart w:id="5" w:name="_Toc29113"/>
      <w:bookmarkStart w:id="6" w:name="_Toc40776111"/>
      <w:bookmarkStart w:id="7" w:name="_Toc11305"/>
      <w:bookmarkStart w:id="8" w:name="_Toc11075"/>
      <w:bookmarkStart w:id="9" w:name="_Toc15870"/>
      <w:bookmarkStart w:id="10" w:name="_Toc28703"/>
      <w:bookmarkStart w:id="11" w:name="_Toc435"/>
      <w:bookmarkStart w:id="12" w:name="_Toc40346375"/>
      <w:bookmarkStart w:id="13" w:name="_Toc1994"/>
      <w:bookmarkStart w:id="14" w:name="_Toc26267"/>
      <w:bookmarkStart w:id="15" w:name="_Toc6547"/>
      <w:bookmarkStart w:id="16" w:name="_Toc7291"/>
      <w:bookmarkStart w:id="17" w:name="_Toc12520"/>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pPr>
        <w:pStyle w:val="2"/>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left="0" w:leftChars="0" w:firstLine="637" w:firstLineChars="177"/>
        <w:jc w:val="left"/>
        <w:rPr>
          <w:rFonts w:hint="eastAsia" w:ascii="宋体" w:hAnsi="宋体" w:eastAsia="宋体" w:cs="宋体"/>
          <w:b w:val="0"/>
          <w:bCs w:val="0"/>
          <w:sz w:val="36"/>
          <w:szCs w:val="36"/>
          <w:lang w:eastAsia="zh-CN"/>
        </w:rPr>
      </w:pPr>
    </w:p>
    <w:p>
      <w:pPr>
        <w:pStyle w:val="2"/>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27997"/>
      <w:bookmarkStart w:id="19" w:name="_Toc20884"/>
      <w:bookmarkStart w:id="20" w:name="_Toc2916"/>
      <w:bookmarkStart w:id="21" w:name="_Toc40346217"/>
      <w:bookmarkStart w:id="22" w:name="_Toc40776112"/>
      <w:bookmarkStart w:id="23" w:name="_Toc40346376"/>
      <w:bookmarkStart w:id="24" w:name="_Toc1743"/>
      <w:bookmarkStart w:id="25" w:name="_Toc17709"/>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eastAsia" w:ascii="宋体" w:hAnsi="宋体" w:cs="宋体"/>
          <w:kern w:val="0"/>
          <w:sz w:val="30"/>
          <w:szCs w:val="30"/>
          <w:lang w:eastAsia="zh-CN"/>
        </w:rPr>
      </w:pPr>
      <w:bookmarkStart w:id="26" w:name="_Toc29102"/>
      <w:bookmarkStart w:id="27" w:name="_Toc23097"/>
      <w:bookmarkStart w:id="28" w:name="_Toc11485"/>
      <w:bookmarkStart w:id="29" w:name="_Toc5238"/>
      <w:bookmarkStart w:id="30" w:name="_Toc19699"/>
      <w:bookmarkStart w:id="31" w:name="_Toc31538"/>
      <w:bookmarkStart w:id="32" w:name="_Toc30979"/>
      <w:bookmarkStart w:id="33" w:name="_Toc2012"/>
      <w:bookmarkStart w:id="34" w:name="_Toc2029"/>
    </w:p>
    <w:p>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35" w:name="_Toc14824"/>
      <w:bookmarkStart w:id="36" w:name="_Toc31993"/>
      <w:bookmarkStart w:id="37" w:name="_Toc16794"/>
      <w:bookmarkStart w:id="38" w:name="_Toc11558"/>
      <w:bookmarkStart w:id="39" w:name="_Toc11141"/>
      <w:bookmarkStart w:id="40" w:name="_Toc7052"/>
      <w:bookmarkStart w:id="41" w:name="_Toc12645"/>
      <w:bookmarkStart w:id="42" w:name="_Toc40346218"/>
      <w:bookmarkStart w:id="43" w:name="_Toc40346377"/>
      <w:bookmarkStart w:id="44" w:name="_Toc27867"/>
      <w:bookmarkStart w:id="45" w:name="_Toc4013"/>
      <w:bookmarkStart w:id="46" w:name="_Toc24763"/>
      <w:bookmarkStart w:id="47" w:name="_Toc28064"/>
      <w:bookmarkStart w:id="48" w:name="_Toc17930"/>
      <w:bookmarkStart w:id="49" w:name="_Toc21483"/>
      <w:bookmarkStart w:id="50" w:name="_Toc40776113"/>
      <w:bookmarkStart w:id="51" w:name="_Toc29767"/>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52" w:name="_Toc40776114"/>
      <w:bookmarkStart w:id="53" w:name="_Toc27771"/>
      <w:bookmarkStart w:id="54" w:name="_Toc32709"/>
      <w:bookmarkStart w:id="55" w:name="_Toc31197"/>
      <w:bookmarkStart w:id="56" w:name="_Toc14287"/>
      <w:bookmarkStart w:id="57" w:name="_Toc16813"/>
      <w:bookmarkStart w:id="58" w:name="_Toc24651"/>
      <w:bookmarkStart w:id="59" w:name="_Toc19831"/>
      <w:bookmarkStart w:id="60" w:name="_Toc6438"/>
      <w:bookmarkStart w:id="61" w:name="_Toc1324"/>
      <w:bookmarkStart w:id="62" w:name="_Toc40346378"/>
      <w:bookmarkStart w:id="63" w:name="_Toc40346219"/>
      <w:bookmarkStart w:id="64" w:name="_Toc4563"/>
      <w:bookmarkStart w:id="65" w:name="_Toc11334"/>
      <w:bookmarkStart w:id="66" w:name="_Toc26029"/>
      <w:bookmarkStart w:id="67" w:name="_Toc17537"/>
      <w:bookmarkStart w:id="68" w:name="_Toc9883"/>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69" w:name="_Toc17483"/>
      <w:bookmarkStart w:id="70" w:name="_Toc21686"/>
      <w:bookmarkStart w:id="71" w:name="_Toc14586"/>
      <w:bookmarkStart w:id="72" w:name="_Toc21940"/>
      <w:bookmarkStart w:id="73" w:name="_Toc40346379"/>
      <w:bookmarkStart w:id="74" w:name="_Toc40776115"/>
      <w:bookmarkStart w:id="75" w:name="_Toc27206"/>
      <w:bookmarkStart w:id="76" w:name="_Toc30336"/>
      <w:bookmarkStart w:id="77" w:name="_Toc3895"/>
      <w:bookmarkStart w:id="78" w:name="_Toc12650"/>
      <w:bookmarkStart w:id="79" w:name="_Toc20994"/>
      <w:bookmarkStart w:id="80" w:name="_Toc18353"/>
      <w:bookmarkStart w:id="81" w:name="_Toc5634"/>
      <w:bookmarkStart w:id="82" w:name="_Toc40346220"/>
      <w:bookmarkStart w:id="83" w:name="_Toc27868"/>
      <w:bookmarkStart w:id="84" w:name="_Toc13222"/>
      <w:bookmarkStart w:id="85" w:name="_Toc5189"/>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pPr>
        <w:widowControl/>
        <w:spacing w:line="360" w:lineRule="auto"/>
        <w:ind w:firstLine="600"/>
        <w:outlineLvl w:val="0"/>
        <w:rPr>
          <w:rFonts w:hint="default" w:eastAsia="宋体" w:cs="宋体"/>
          <w:kern w:val="0"/>
          <w:sz w:val="30"/>
          <w:szCs w:val="30"/>
          <w:u w:val="single"/>
          <w:lang w:val="en-US" w:eastAsia="zh-CN"/>
        </w:rPr>
      </w:pPr>
      <w:bookmarkStart w:id="86" w:name="_Toc27009"/>
      <w:bookmarkStart w:id="87" w:name="_Toc10454"/>
      <w:bookmarkStart w:id="88" w:name="_Toc9282"/>
      <w:bookmarkStart w:id="89" w:name="_Toc21449"/>
      <w:bookmarkStart w:id="90" w:name="_Toc40776116"/>
      <w:bookmarkStart w:id="91" w:name="_Toc30856"/>
      <w:bookmarkStart w:id="92" w:name="_Toc27646"/>
      <w:bookmarkStart w:id="93" w:name="_Toc8526"/>
      <w:bookmarkStart w:id="94" w:name="_Toc12127"/>
      <w:bookmarkStart w:id="95" w:name="_Toc30904"/>
      <w:bookmarkStart w:id="96" w:name="_Toc14462"/>
      <w:bookmarkStart w:id="97" w:name="_Toc3498"/>
      <w:bookmarkStart w:id="98" w:name="_Toc32371"/>
      <w:bookmarkStart w:id="99" w:name="_Toc40346221"/>
      <w:bookmarkStart w:id="100" w:name="_Toc5220"/>
      <w:bookmarkStart w:id="101" w:name="_Toc40346380"/>
      <w:bookmarkStart w:id="102" w:name="_Toc11547"/>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pPr>
        <w:pStyle w:val="27"/>
        <w:ind w:firstLine="400"/>
      </w:pPr>
    </w:p>
    <w:p>
      <w:pPr>
        <w:pStyle w:val="27"/>
        <w:ind w:firstLine="400"/>
      </w:pPr>
    </w:p>
    <w:p>
      <w:pPr>
        <w:pStyle w:val="27"/>
        <w:ind w:firstLine="400"/>
      </w:pPr>
    </w:p>
    <w:p>
      <w:pPr>
        <w:pStyle w:val="27"/>
        <w:ind w:firstLine="400"/>
      </w:pPr>
    </w:p>
    <w:p>
      <w:pPr>
        <w:pStyle w:val="27"/>
        <w:ind w:firstLine="400"/>
      </w:pPr>
    </w:p>
    <w:p>
      <w:pPr>
        <w:pStyle w:val="42"/>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5539"/>
      <w:bookmarkStart w:id="104" w:name="_Toc13184"/>
      <w:bookmarkStart w:id="105" w:name="_Toc9697"/>
      <w:bookmarkStart w:id="106" w:name="_Toc31077"/>
      <w:bookmarkStart w:id="107" w:name="_Toc10399"/>
      <w:bookmarkStart w:id="108" w:name="_Toc8637"/>
      <w:bookmarkStart w:id="109" w:name="_Toc28747"/>
      <w:bookmarkStart w:id="110" w:name="_Toc16728"/>
      <w:bookmarkStart w:id="111" w:name="_Toc6691"/>
      <w:bookmarkStart w:id="112" w:name="_Toc21213"/>
      <w:bookmarkStart w:id="113" w:name="_Toc16608"/>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pPr>
        <w:pStyle w:val="27"/>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ascii="宋体" w:hAnsi="宋体" w:eastAsia="宋体" w:cs="宋体"/>
          <w:color w:val="auto"/>
          <w:sz w:val="24"/>
          <w:szCs w:val="24"/>
        </w:rPr>
        <w:t>提供营业执照复印件，如非“三证合一”证照，同时提供税务登记证复印件，</w:t>
      </w:r>
      <w:r>
        <w:rPr>
          <w:rFonts w:ascii="宋体" w:hAnsi="宋体" w:eastAsia="宋体" w:cs="宋体"/>
          <w:color w:val="auto"/>
          <w:sz w:val="24"/>
          <w:szCs w:val="24"/>
        </w:rPr>
        <w:t>加盖公章</w:t>
      </w:r>
      <w:r>
        <w:rPr>
          <w:rFonts w:hint="eastAsia" w:ascii="宋体" w:hAnsi="宋体" w:cs="宋体"/>
          <w:color w:val="auto"/>
          <w:sz w:val="24"/>
          <w:szCs w:val="24"/>
          <w:lang w:eastAsia="zh-CN"/>
        </w:rPr>
        <w:t>。</w:t>
      </w:r>
    </w:p>
    <w:p>
      <w:pPr>
        <w:pStyle w:val="42"/>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p/>
    <w:p/>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pStyle w:val="27"/>
        <w:ind w:firstLine="400"/>
      </w:pPr>
    </w:p>
    <w:p>
      <w:pPr>
        <w:pStyle w:val="27"/>
        <w:ind w:firstLine="400"/>
      </w:pPr>
    </w:p>
    <w:p>
      <w:pPr>
        <w:pStyle w:val="2"/>
        <w:spacing w:line="360" w:lineRule="auto"/>
        <w:rPr>
          <w:rFonts w:hint="eastAsia" w:ascii="微软雅黑" w:hAnsi="微软雅黑" w:eastAsia="微软雅黑" w:cs="微软雅黑"/>
          <w:color w:val="auto"/>
        </w:rPr>
      </w:pPr>
    </w:p>
    <w:p>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监理人</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ascii="宋体" w:hAnsi="宋体" w:eastAsia="宋体" w:cs="宋体"/>
          <w:color w:val="auto"/>
          <w:kern w:val="2"/>
          <w:sz w:val="24"/>
          <w:szCs w:val="24"/>
          <w:lang w:val="en-US" w:eastAsia="zh-CN" w:bidi="ar-SA"/>
        </w:rPr>
        <w:t>提供</w:t>
      </w:r>
      <w:r>
        <w:rPr>
          <w:rFonts w:hint="eastAsia" w:asciiTheme="minorEastAsia" w:hAnsiTheme="minorEastAsia" w:cstheme="minorEastAsia"/>
          <w:color w:val="auto"/>
          <w:sz w:val="24"/>
          <w:szCs w:val="24"/>
        </w:rPr>
        <w:t>文物</w:t>
      </w:r>
      <w:r>
        <w:rPr>
          <w:rFonts w:hint="eastAsia" w:asciiTheme="minorEastAsia" w:hAnsiTheme="minorEastAsia" w:cstheme="minorEastAsia"/>
          <w:color w:val="auto"/>
          <w:sz w:val="24"/>
          <w:szCs w:val="24"/>
          <w:lang w:eastAsia="zh-CN"/>
        </w:rPr>
        <w:t>部门</w:t>
      </w:r>
      <w:r>
        <w:rPr>
          <w:rFonts w:hint="eastAsia" w:asciiTheme="minorEastAsia" w:hAnsiTheme="minorEastAsia" w:cstheme="minorEastAsia"/>
          <w:color w:val="auto"/>
          <w:sz w:val="24"/>
          <w:szCs w:val="24"/>
        </w:rPr>
        <w:t>核发的《文物保护工程监理资质证书》，资质等级：乙级（含）以上，业务范围：古建筑维修保护、近现代文物建筑维修保护。提供有效的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宋体" w:hAnsi="宋体" w:eastAsia="宋体" w:cs="宋体"/>
          <w:color w:val="auto"/>
          <w:kern w:val="2"/>
          <w:sz w:val="24"/>
          <w:szCs w:val="24"/>
          <w:lang w:val="en-US" w:eastAsia="zh-CN" w:bidi="ar-SA"/>
        </w:rPr>
        <w:t>，盖供应商公章。</w:t>
      </w:r>
    </w:p>
    <w:p>
      <w:pPr>
        <w:pStyle w:val="42"/>
        <w:tabs>
          <w:tab w:val="left" w:pos="1050"/>
          <w:tab w:val="center" w:pos="4535"/>
        </w:tabs>
        <w:spacing w:line="360" w:lineRule="auto"/>
        <w:jc w:val="center"/>
        <w:outlineLvl w:val="0"/>
        <w:rPr>
          <w:b/>
          <w:bCs/>
          <w:sz w:val="32"/>
          <w:szCs w:val="32"/>
        </w:rPr>
      </w:pPr>
    </w:p>
    <w:p/>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default" w:ascii="宋体" w:hAnsi="宋体" w:eastAsia="宋体" w:cs="宋体"/>
          <w:color w:val="auto"/>
          <w:kern w:val="2"/>
          <w:sz w:val="24"/>
          <w:szCs w:val="24"/>
          <w:lang w:val="en-US" w:eastAsia="zh-CN" w:bidi="ar-SA"/>
        </w:rPr>
      </w:pPr>
      <w:r>
        <w:rPr>
          <w:rFonts w:hint="eastAsia" w:ascii="宋体" w:hAnsi="宋体" w:cs="宋体"/>
          <w:b/>
          <w:bCs/>
          <w:color w:val="000000" w:themeColor="text1"/>
          <w:kern w:val="0"/>
          <w:sz w:val="28"/>
          <w:szCs w:val="28"/>
          <w:lang w:val="en-US" w:eastAsia="zh-CN" w:bidi="ar-SA"/>
          <w14:textFill>
            <w14:solidFill>
              <w14:schemeClr w14:val="tx1"/>
            </w14:solidFill>
          </w14:textFill>
        </w:rPr>
        <w:t>三</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Theme="minorEastAsia" w:hAnsiTheme="minorEastAsia" w:cstheme="minorEastAsia"/>
          <w:b/>
          <w:bCs/>
          <w:color w:val="auto"/>
          <w:sz w:val="28"/>
          <w:szCs w:val="28"/>
          <w:lang w:eastAsia="zh-CN"/>
        </w:rPr>
        <w:t>总监理工程师</w:t>
      </w:r>
      <w:r>
        <w:rPr>
          <w:rFonts w:hint="eastAsia" w:ascii="宋体" w:hAnsi="宋体" w:eastAsia="宋体" w:cs="宋体"/>
          <w:b/>
          <w:bCs/>
          <w:color w:val="auto"/>
          <w:kern w:val="0"/>
          <w:sz w:val="28"/>
          <w:szCs w:val="28"/>
          <w:lang w:val="en-US" w:eastAsia="zh-CN" w:bidi="ar-SA"/>
        </w:rPr>
        <w:t>执业资格</w:t>
      </w:r>
    </w:p>
    <w:p>
      <w:pPr>
        <w:rPr>
          <w:rFonts w:hint="default"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asciiTheme="minorEastAsia" w:hAnsiTheme="minorEastAsia" w:cstheme="minorEastAsia"/>
          <w:color w:val="auto"/>
          <w:sz w:val="24"/>
          <w:szCs w:val="24"/>
        </w:rPr>
        <w:t>拟委派的</w:t>
      </w:r>
      <w:r>
        <w:rPr>
          <w:rFonts w:hint="eastAsia" w:asciiTheme="minorEastAsia" w:hAnsiTheme="minorEastAsia" w:cstheme="minorEastAsia"/>
          <w:color w:val="auto"/>
          <w:sz w:val="24"/>
          <w:szCs w:val="24"/>
          <w:lang w:eastAsia="zh-CN"/>
        </w:rPr>
        <w:t>总监理工程师</w:t>
      </w:r>
      <w:r>
        <w:rPr>
          <w:rFonts w:hint="eastAsia" w:asciiTheme="minorEastAsia" w:hAnsiTheme="minorEastAsia" w:cstheme="minorEastAsia"/>
          <w:color w:val="auto"/>
          <w:sz w:val="24"/>
          <w:szCs w:val="24"/>
        </w:rPr>
        <w:t>具有</w:t>
      </w:r>
      <w:r>
        <w:rPr>
          <w:rFonts w:hint="eastAsia" w:asciiTheme="minorEastAsia" w:hAnsiTheme="minorEastAsia" w:cstheme="minorEastAsia"/>
          <w:color w:val="auto"/>
          <w:sz w:val="24"/>
          <w:szCs w:val="24"/>
          <w:lang w:eastAsia="zh-CN"/>
        </w:rPr>
        <w:t>文物保护工程责任监理师资格</w:t>
      </w:r>
      <w:r>
        <w:rPr>
          <w:rFonts w:hint="eastAsia" w:asciiTheme="minorEastAsia" w:hAnsiTheme="minorEastAsia" w:cstheme="minorEastAsia"/>
          <w:color w:val="auto"/>
          <w:sz w:val="24"/>
          <w:szCs w:val="24"/>
          <w:highlight w:val="none"/>
          <w:lang w:val="en-US" w:eastAsia="zh-CN"/>
        </w:rPr>
        <w:t>或具有</w:t>
      </w:r>
      <w:r>
        <w:rPr>
          <w:rFonts w:hint="eastAsia" w:asciiTheme="minorEastAsia" w:hAnsiTheme="minorEastAsia" w:cstheme="minorEastAsia"/>
          <w:color w:val="auto"/>
          <w:sz w:val="24"/>
          <w:szCs w:val="24"/>
          <w:highlight w:val="none"/>
          <w:lang w:eastAsia="zh-CN"/>
        </w:rPr>
        <w:t>注册监理工程师执业</w:t>
      </w:r>
      <w:r>
        <w:rPr>
          <w:rFonts w:hint="eastAsia" w:asciiTheme="minorEastAsia" w:hAnsiTheme="minorEastAsia" w:cstheme="minorEastAsia"/>
          <w:color w:val="auto"/>
          <w:sz w:val="24"/>
          <w:szCs w:val="24"/>
          <w:highlight w:val="none"/>
          <w:lang w:val="en-US" w:eastAsia="zh-CN"/>
        </w:rPr>
        <w:t>资格</w:t>
      </w:r>
      <w:r>
        <w:rPr>
          <w:rFonts w:hint="eastAsia" w:asciiTheme="minorEastAsia" w:hAnsiTheme="minorEastAsia" w:cstheme="minorEastAsia"/>
          <w:color w:val="auto"/>
          <w:sz w:val="24"/>
          <w:szCs w:val="24"/>
          <w:lang w:eastAsia="zh-CN"/>
        </w:rPr>
        <w:t>。提供有效的资格证</w:t>
      </w:r>
      <w:r>
        <w:rPr>
          <w:rFonts w:hint="eastAsia" w:asciiTheme="minorEastAsia" w:hAnsiTheme="minorEastAsia" w:cstheme="minorEastAsia"/>
          <w:color w:val="auto"/>
          <w:sz w:val="24"/>
          <w:szCs w:val="24"/>
          <w:lang w:val="en-US" w:eastAsia="zh-CN"/>
        </w:rPr>
        <w:t>书</w:t>
      </w:r>
      <w:r>
        <w:rPr>
          <w:rFonts w:hint="eastAsia" w:asciiTheme="minorEastAsia" w:hAnsiTheme="minorEastAsia" w:cstheme="minorEastAsia"/>
          <w:color w:val="auto"/>
          <w:sz w:val="24"/>
          <w:szCs w:val="24"/>
          <w:lang w:eastAsia="zh-CN"/>
        </w:rPr>
        <w:t>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ascii="宋体" w:hAnsi="宋体" w:eastAsia="宋体" w:cs="宋体"/>
          <w:color w:val="auto"/>
          <w:kern w:val="2"/>
          <w:sz w:val="24"/>
          <w:szCs w:val="24"/>
          <w:lang w:val="en-US" w:eastAsia="zh-CN" w:bidi="ar-SA"/>
        </w:rPr>
        <w:t>盖供应商公章。</w:t>
      </w:r>
    </w:p>
    <w:p>
      <w:pPr>
        <w:rPr>
          <w:rFonts w:hint="eastAsia" w:ascii="宋体" w:hAnsi="宋体" w:eastAsia="宋体" w:cs="宋体"/>
          <w:color w:val="auto"/>
          <w:kern w:val="2"/>
          <w:sz w:val="24"/>
          <w:szCs w:val="24"/>
          <w:lang w:val="en-US" w:eastAsia="zh-CN" w:bidi="ar-SA"/>
        </w:rPr>
      </w:pPr>
    </w:p>
    <w:p>
      <w:pPr>
        <w:pStyle w:val="42"/>
        <w:tabs>
          <w:tab w:val="left" w:pos="1050"/>
          <w:tab w:val="center" w:pos="4535"/>
        </w:tabs>
        <w:spacing w:line="360" w:lineRule="auto"/>
        <w:jc w:val="center"/>
        <w:outlineLvl w:val="0"/>
        <w:rPr>
          <w:b/>
          <w:bCs/>
          <w:sz w:val="32"/>
          <w:szCs w:val="32"/>
        </w:rPr>
      </w:pPr>
    </w:p>
    <w:p>
      <w:pPr>
        <w:pStyle w:val="42"/>
        <w:tabs>
          <w:tab w:val="left" w:pos="1050"/>
          <w:tab w:val="center" w:pos="4535"/>
        </w:tabs>
        <w:spacing w:line="360" w:lineRule="auto"/>
        <w:jc w:val="center"/>
        <w:outlineLvl w:val="0"/>
        <w:rPr>
          <w:b/>
          <w:bCs/>
          <w:sz w:val="32"/>
          <w:szCs w:val="32"/>
        </w:rPr>
      </w:pPr>
    </w:p>
    <w:p>
      <w:pPr>
        <w:pStyle w:val="42"/>
        <w:tabs>
          <w:tab w:val="left" w:pos="1050"/>
          <w:tab w:val="center" w:pos="4535"/>
        </w:tabs>
        <w:spacing w:line="360" w:lineRule="auto"/>
        <w:jc w:val="center"/>
        <w:outlineLvl w:val="0"/>
        <w:rPr>
          <w:b/>
          <w:bCs/>
          <w:sz w:val="32"/>
          <w:szCs w:val="32"/>
        </w:rPr>
      </w:pPr>
    </w:p>
    <w:p>
      <w:pPr>
        <w:pStyle w:val="42"/>
        <w:tabs>
          <w:tab w:val="left" w:pos="1050"/>
          <w:tab w:val="center" w:pos="4535"/>
        </w:tabs>
        <w:spacing w:line="360" w:lineRule="auto"/>
        <w:jc w:val="both"/>
        <w:outlineLvl w:val="0"/>
        <w:rPr>
          <w:b/>
          <w:bCs/>
          <w:sz w:val="32"/>
          <w:szCs w:val="32"/>
        </w:rPr>
      </w:pPr>
    </w:p>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pStyle w:val="27"/>
        <w:ind w:firstLine="400"/>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kern w:val="2"/>
          <w:sz w:val="24"/>
          <w:szCs w:val="24"/>
          <w:lang w:val="en-US" w:eastAsia="zh-CN" w:bidi="ar-SA"/>
        </w:rPr>
      </w:pPr>
    </w:p>
    <w:p>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pPr>
        <w:spacing w:line="360" w:lineRule="auto"/>
        <w:jc w:val="left"/>
        <w:rPr>
          <w:rFonts w:hint="eastAsia" w:eastAsia="宋体" w:asciiTheme="minorEastAsia" w:hAnsiTheme="minorEastAsia" w:cstheme="minorEastAsia"/>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报</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价</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pStyle w:val="18"/>
        <w:rPr>
          <w:rFonts w:hint="eastAsia" w:eastAsia="宋体" w:asciiTheme="minorEastAsia" w:hAnsiTheme="minorEastAsia" w:cstheme="minorEastAsia"/>
          <w:color w:val="auto"/>
          <w:kern w:val="2"/>
          <w:sz w:val="28"/>
          <w:szCs w:val="28"/>
          <w:lang w:val="en-US" w:eastAsia="zh-CN" w:bidi="ar-SA"/>
        </w:rPr>
      </w:pPr>
    </w:p>
    <w:p>
      <w:pPr>
        <w:spacing w:line="360" w:lineRule="auto"/>
        <w:jc w:val="left"/>
        <w:rPr>
          <w:rFonts w:ascii="华文中宋" w:hAnsi="华文中宋" w:eastAsia="华文中宋"/>
          <w:sz w:val="28"/>
          <w:szCs w:val="28"/>
        </w:rPr>
      </w:pPr>
    </w:p>
    <w:p>
      <w:pPr>
        <w:spacing w:line="360" w:lineRule="auto"/>
        <w:ind w:left="0" w:leftChars="0" w:firstLine="0" w:firstLineChars="0"/>
        <w:jc w:val="center"/>
        <w:rPr>
          <w:rFonts w:hint="eastAsia" w:ascii="宋体" w:hAnsi="宋体"/>
          <w:b/>
          <w:sz w:val="32"/>
          <w:szCs w:val="32"/>
        </w:rPr>
      </w:pPr>
    </w:p>
    <w:p>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pPr>
        <w:spacing w:line="360" w:lineRule="auto"/>
        <w:ind w:firstLine="621" w:firstLineChars="222"/>
        <w:jc w:val="center"/>
        <w:rPr>
          <w:rFonts w:ascii="华文中宋" w:hAnsi="华文中宋" w:eastAsia="华文中宋"/>
          <w:sz w:val="28"/>
          <w:szCs w:val="28"/>
        </w:rPr>
      </w:pPr>
    </w:p>
    <w:p>
      <w:pPr>
        <w:pStyle w:val="18"/>
      </w:pPr>
    </w:p>
    <w:p>
      <w:pPr>
        <w:spacing w:line="360" w:lineRule="auto"/>
        <w:ind w:firstLine="621" w:firstLineChars="222"/>
        <w:jc w:val="center"/>
        <w:rPr>
          <w:rFonts w:ascii="华文中宋" w:hAnsi="华文中宋" w:eastAsia="华文中宋"/>
          <w:sz w:val="28"/>
          <w:szCs w:val="28"/>
        </w:rPr>
      </w:pPr>
    </w:p>
    <w:p>
      <w:pPr>
        <w:spacing w:line="360" w:lineRule="auto"/>
        <w:ind w:left="0" w:leftChars="0" w:firstLine="0" w:firstLineChars="0"/>
        <w:jc w:val="center"/>
        <w:rPr>
          <w:rFonts w:hint="eastAsia" w:ascii="宋体" w:hAnsi="宋体" w:eastAsia="宋体"/>
          <w:b/>
          <w:sz w:val="44"/>
          <w:szCs w:val="44"/>
          <w:lang w:eastAsia="zh-CN"/>
        </w:rPr>
      </w:pPr>
      <w:r>
        <w:rPr>
          <w:rFonts w:hint="eastAsia" w:ascii="宋体" w:hAnsi="宋体"/>
          <w:b/>
          <w:sz w:val="44"/>
          <w:szCs w:val="44"/>
          <w:lang w:eastAsia="zh-CN"/>
        </w:rPr>
        <w:t>报</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价</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pPr>
        <w:spacing w:line="360" w:lineRule="auto"/>
        <w:ind w:firstLine="621" w:firstLineChars="222"/>
        <w:jc w:val="center"/>
        <w:rPr>
          <w:rFonts w:ascii="华文中宋" w:hAnsi="华文中宋" w:eastAsia="华文中宋"/>
          <w:sz w:val="28"/>
          <w:szCs w:val="28"/>
        </w:rPr>
      </w:pPr>
    </w:p>
    <w:p>
      <w:pPr>
        <w:pStyle w:val="18"/>
      </w:pPr>
    </w:p>
    <w:p>
      <w:pPr>
        <w:spacing w:line="360" w:lineRule="auto"/>
        <w:ind w:firstLine="621" w:firstLineChars="222"/>
        <w:jc w:val="center"/>
        <w:rPr>
          <w:rFonts w:ascii="华文中宋" w:hAnsi="华文中宋" w:eastAsia="华文中宋"/>
          <w:sz w:val="28"/>
          <w:szCs w:val="28"/>
        </w:rPr>
      </w:pPr>
    </w:p>
    <w:p>
      <w:pPr>
        <w:spacing w:line="360" w:lineRule="auto"/>
        <w:ind w:firstLine="621" w:firstLineChars="222"/>
        <w:jc w:val="center"/>
        <w:rPr>
          <w:rFonts w:ascii="华文中宋" w:hAnsi="华文中宋" w:eastAsia="华文中宋"/>
          <w:sz w:val="28"/>
          <w:szCs w:val="28"/>
        </w:rPr>
      </w:pP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pPr>
        <w:pStyle w:val="4"/>
        <w:rPr>
          <w:rFonts w:hint="default"/>
          <w:lang w:val="en-US" w:eastAsia="zh-CN"/>
        </w:rPr>
      </w:pPr>
    </w:p>
    <w:p>
      <w:pPr>
        <w:spacing w:line="500" w:lineRule="atLeast"/>
        <w:rPr>
          <w:rFonts w:hint="eastAsia" w:ascii="宋体" w:hAnsi="宋体"/>
          <w:b/>
          <w:sz w:val="28"/>
          <w:szCs w:val="28"/>
        </w:rPr>
      </w:pPr>
    </w:p>
    <w:p>
      <w:pPr>
        <w:pStyle w:val="3"/>
        <w:pageBreakBefore/>
        <w:jc w:val="center"/>
        <w:rPr>
          <w:rFonts w:ascii="Calibri" w:hAnsi="Calibri" w:eastAsia="宋体" w:cs="宋体"/>
          <w:sz w:val="24"/>
        </w:rPr>
      </w:pPr>
      <w:bookmarkStart w:id="114" w:name="_Toc97049462"/>
      <w:r>
        <w:rPr>
          <w:rFonts w:hint="eastAsia" w:ascii="黑体" w:hAnsi="黑体" w:cs="黑体"/>
          <w:sz w:val="36"/>
          <w:szCs w:val="36"/>
          <w:lang w:eastAsia="zh-CN"/>
        </w:rPr>
        <w:t>报价</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pStyle w:val="18"/>
      </w:pPr>
    </w:p>
    <w:p>
      <w:pPr>
        <w:pStyle w:val="18"/>
      </w:pPr>
    </w:p>
    <w:p>
      <w:pPr>
        <w:shd w:val="clear" w:color="auto" w:fill="FFFFFF"/>
        <w:spacing w:line="360" w:lineRule="auto"/>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pPr>
        <w:pStyle w:val="27"/>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监理人资质</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总监理工程师资格</w:t>
      </w:r>
      <w:r>
        <w:rPr>
          <w:rFonts w:hint="eastAsia" w:ascii="宋体" w:hAnsi="宋体" w:cs="宋体"/>
          <w:sz w:val="24"/>
          <w:szCs w:val="36"/>
        </w:rPr>
        <w:t>……………………………………………………第（  ）页</w:t>
      </w:r>
    </w:p>
    <w:p>
      <w:pPr>
        <w:pStyle w:val="27"/>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承诺函</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pPr>
        <w:pStyle w:val="27"/>
        <w:numPr>
          <w:ilvl w:val="0"/>
          <w:numId w:val="0"/>
        </w:numPr>
        <w:ind w:leftChars="0"/>
        <w:jc w:val="left"/>
        <w:rPr>
          <w:rFonts w:hint="eastAsia" w:ascii="黑体" w:hAnsi="黑体" w:eastAsia="黑体" w:cs="黑体"/>
          <w:b/>
          <w:bCs/>
          <w:kern w:val="2"/>
          <w:sz w:val="40"/>
          <w:szCs w:val="40"/>
          <w:lang w:val="en-US" w:eastAsia="zh-CN" w:bidi="ar-SA"/>
        </w:rPr>
      </w:pPr>
    </w:p>
    <w:p>
      <w:pPr>
        <w:pStyle w:val="27"/>
        <w:spacing w:line="360" w:lineRule="auto"/>
        <w:ind w:firstLine="0" w:firstLineChars="0"/>
        <w:rPr>
          <w:rFonts w:hint="eastAsia" w:ascii="宋体" w:hAnsi="宋体" w:cs="宋体"/>
          <w:sz w:val="24"/>
          <w:szCs w:val="36"/>
        </w:rPr>
      </w:pPr>
    </w:p>
    <w:p>
      <w:pPr>
        <w:shd w:val="clear" w:color="auto" w:fill="FFFFFF"/>
        <w:spacing w:line="360" w:lineRule="auto"/>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18"/>
        <w:rPr>
          <w:rFonts w:ascii="宋体" w:hAnsi="宋体" w:cs="宋体"/>
          <w:sz w:val="24"/>
          <w:szCs w:val="36"/>
        </w:rPr>
      </w:pPr>
    </w:p>
    <w:p>
      <w:pPr>
        <w:pStyle w:val="27"/>
        <w:ind w:firstLine="0" w:firstLineChars="0"/>
      </w:pPr>
    </w:p>
    <w:p>
      <w:pPr>
        <w:pStyle w:val="27"/>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ascii="宋体" w:hAnsi="宋体" w:cs="宋体"/>
          <w:sz w:val="24"/>
        </w:rPr>
      </w:pPr>
    </w:p>
    <w:p>
      <w:pPr>
        <w:pStyle w:val="27"/>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pPr>
        <w:pStyle w:val="14"/>
        <w:spacing w:line="360" w:lineRule="auto"/>
        <w:ind w:left="0" w:leftChars="0"/>
        <w:rPr>
          <w:rFonts w:ascii="宋体" w:hAnsi="宋体" w:cs="宋体"/>
          <w:sz w:val="24"/>
        </w:rPr>
      </w:pPr>
    </w:p>
    <w:p>
      <w:pPr>
        <w:spacing w:line="500" w:lineRule="atLeast"/>
        <w:rPr>
          <w:rFonts w:hint="eastAsia" w:ascii="宋体" w:hAnsi="宋体"/>
          <w:b/>
          <w:sz w:val="28"/>
          <w:szCs w:val="28"/>
        </w:rPr>
      </w:pPr>
      <w:r>
        <w:rPr>
          <w:rFonts w:ascii="宋体" w:hAnsi="宋体"/>
          <w:b/>
          <w:bCs/>
          <w:sz w:val="24"/>
          <w:lang w:val="zh-CN"/>
        </w:rPr>
        <w:fldChar w:fldCharType="end"/>
      </w:r>
    </w:p>
    <w:p>
      <w:pPr>
        <w:spacing w:line="500" w:lineRule="atLeast"/>
        <w:rPr>
          <w:rFonts w:hint="eastAsia" w:ascii="宋体" w:hAnsi="宋体"/>
          <w:b/>
          <w:sz w:val="28"/>
          <w:szCs w:val="28"/>
        </w:rPr>
      </w:pPr>
    </w:p>
    <w:p>
      <w:pPr>
        <w:spacing w:line="500" w:lineRule="atLeast"/>
        <w:rPr>
          <w:rFonts w:hint="eastAsia" w:ascii="宋体" w:hAnsi="宋体"/>
          <w:b/>
          <w:sz w:val="28"/>
          <w:szCs w:val="28"/>
        </w:rPr>
      </w:pPr>
    </w:p>
    <w:p>
      <w:pPr>
        <w:pStyle w:val="27"/>
        <w:rPr>
          <w:rFonts w:hint="eastAsia"/>
        </w:rPr>
      </w:pPr>
    </w:p>
    <w:p>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pPr>
        <w:tabs>
          <w:tab w:val="left" w:pos="7830"/>
        </w:tabs>
        <w:rPr>
          <w:rFonts w:hint="eastAsia" w:ascii="宋体" w:hAnsi="宋体"/>
          <w:sz w:val="28"/>
          <w:szCs w:val="28"/>
        </w:rPr>
      </w:pPr>
    </w:p>
    <w:p>
      <w:pPr>
        <w:tabs>
          <w:tab w:val="left" w:pos="7830"/>
        </w:tabs>
        <w:rPr>
          <w:rFonts w:ascii="宋体" w:hAnsi="宋体"/>
          <w:sz w:val="28"/>
          <w:szCs w:val="28"/>
        </w:rPr>
      </w:pPr>
      <w:r>
        <w:rPr>
          <w:rFonts w:hint="eastAsia" w:ascii="宋体" w:hAnsi="宋体"/>
          <w:sz w:val="28"/>
          <w:szCs w:val="28"/>
        </w:rPr>
        <w:t>中山大学孙逸仙纪念医院：</w:t>
      </w:r>
    </w:p>
    <w:p>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监理</w:t>
      </w:r>
      <w:r>
        <w:rPr>
          <w:rFonts w:hint="eastAsia" w:ascii="宋体" w:hAnsi="宋体"/>
          <w:sz w:val="28"/>
          <w:szCs w:val="28"/>
        </w:rPr>
        <w:t>费</w:t>
      </w:r>
      <w:r>
        <w:rPr>
          <w:rFonts w:hint="eastAsia" w:ascii="宋体" w:hAnsi="宋体"/>
          <w:sz w:val="28"/>
          <w:szCs w:val="28"/>
          <w:lang w:val="en-US" w:eastAsia="zh-CN"/>
        </w:rPr>
        <w:t>率</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监理服务</w:t>
      </w:r>
      <w:r>
        <w:rPr>
          <w:rFonts w:hint="eastAsia" w:ascii="宋体" w:hAnsi="宋体" w:eastAsia="宋体" w:cs="Times New Roman"/>
          <w:color w:val="auto"/>
          <w:sz w:val="28"/>
          <w:szCs w:val="28"/>
        </w:rPr>
        <w:t>项目。</w:t>
      </w:r>
    </w:p>
    <w:p>
      <w:pPr>
        <w:ind w:right="-333" w:rightChars="-159"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sz w:val="28"/>
          <w:szCs w:val="28"/>
          <w:lang w:val="en-US" w:eastAsia="zh-CN"/>
        </w:rPr>
        <w:t>最终监理合同价以</w:t>
      </w:r>
      <w:r>
        <w:rPr>
          <w:rFonts w:hint="eastAsia" w:ascii="宋体" w:hAnsi="宋体"/>
          <w:sz w:val="28"/>
          <w:szCs w:val="28"/>
          <w:u w:val="single"/>
          <w:lang w:val="en-US" w:eastAsia="zh-CN"/>
        </w:rPr>
        <w:t>施工合同价</w:t>
      </w:r>
      <w:r>
        <w:rPr>
          <w:rFonts w:hint="eastAsia" w:ascii="宋体" w:hAnsi="宋体"/>
          <w:sz w:val="28"/>
          <w:szCs w:val="28"/>
          <w:lang w:val="en-US" w:eastAsia="zh-CN"/>
        </w:rPr>
        <w:t>乘以</w:t>
      </w:r>
      <w:r>
        <w:rPr>
          <w:rFonts w:hint="eastAsia" w:ascii="宋体" w:hAnsi="宋体"/>
          <w:sz w:val="28"/>
          <w:szCs w:val="28"/>
          <w:u w:val="single"/>
          <w:lang w:val="en-US" w:eastAsia="zh-CN"/>
        </w:rPr>
        <w:t>响应</w:t>
      </w:r>
      <w:r>
        <w:rPr>
          <w:rFonts w:hint="eastAsia" w:ascii="宋体" w:hAnsi="宋体"/>
          <w:sz w:val="28"/>
          <w:szCs w:val="28"/>
          <w:u w:val="single"/>
          <w:lang w:eastAsia="zh-CN"/>
        </w:rPr>
        <w:t>监理</w:t>
      </w:r>
      <w:r>
        <w:rPr>
          <w:rFonts w:hint="eastAsia" w:ascii="宋体" w:hAnsi="宋体"/>
          <w:sz w:val="28"/>
          <w:szCs w:val="28"/>
          <w:u w:val="single"/>
        </w:rPr>
        <w:t>费</w:t>
      </w:r>
      <w:r>
        <w:rPr>
          <w:rFonts w:hint="eastAsia" w:ascii="宋体" w:hAnsi="宋体"/>
          <w:sz w:val="28"/>
          <w:szCs w:val="28"/>
          <w:u w:val="single"/>
          <w:lang w:val="en-US" w:eastAsia="zh-CN"/>
        </w:rPr>
        <w:t>率</w:t>
      </w:r>
      <w:r>
        <w:rPr>
          <w:rFonts w:hint="eastAsia" w:ascii="宋体" w:hAnsi="宋体"/>
          <w:sz w:val="28"/>
          <w:szCs w:val="28"/>
          <w:lang w:val="en-US" w:eastAsia="zh-CN"/>
        </w:rPr>
        <w:t>计算，监理合同价即为结算价，不以施工工期长短、施工费用增减等因素而变化。</w:t>
      </w:r>
    </w:p>
    <w:p>
      <w:pPr>
        <w:ind w:right="-333" w:rightChars="-159"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pPr>
        <w:ind w:right="-333" w:rightChars="-159"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pPr>
        <w:ind w:right="-333" w:rightChars="-159" w:firstLine="2520" w:firstLineChars="900"/>
        <w:jc w:val="left"/>
        <w:rPr>
          <w:rFonts w:hint="eastAsia" w:ascii="宋体" w:hAnsi="宋体"/>
          <w:color w:val="000000"/>
          <w:sz w:val="28"/>
          <w:szCs w:val="28"/>
        </w:rPr>
      </w:pPr>
    </w:p>
    <w:p>
      <w:pPr>
        <w:ind w:right="-333" w:rightChars="-159" w:firstLine="2520" w:firstLineChars="900"/>
        <w:jc w:val="left"/>
        <w:rPr>
          <w:rFonts w:hint="eastAsia" w:ascii="宋体" w:hAnsi="宋体"/>
          <w:color w:val="000000"/>
          <w:sz w:val="28"/>
          <w:szCs w:val="28"/>
        </w:rPr>
      </w:pPr>
    </w:p>
    <w:p>
      <w:pPr>
        <w:ind w:right="-333" w:rightChars="-159" w:firstLine="2520" w:firstLineChars="900"/>
        <w:jc w:val="left"/>
        <w:rPr>
          <w:rFonts w:hint="eastAsia" w:ascii="宋体" w:hAnsi="宋体"/>
          <w:color w:val="000000"/>
          <w:sz w:val="28"/>
          <w:szCs w:val="28"/>
        </w:rPr>
      </w:pPr>
    </w:p>
    <w:p>
      <w:pPr>
        <w:ind w:right="-333" w:rightChars="-159" w:firstLine="2520" w:firstLineChars="900"/>
        <w:jc w:val="left"/>
        <w:rPr>
          <w:rFonts w:hint="eastAsia" w:ascii="宋体" w:hAnsi="宋体"/>
          <w:color w:val="000000"/>
          <w:sz w:val="28"/>
          <w:szCs w:val="28"/>
        </w:rPr>
      </w:pPr>
    </w:p>
    <w:p>
      <w:pPr>
        <w:ind w:right="-333"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pPr>
        <w:ind w:right="-333"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pPr>
        <w:ind w:right="-333"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pPr>
        <w:spacing w:line="500" w:lineRule="atLeast"/>
        <w:rPr>
          <w:rFonts w:hint="eastAsia" w:ascii="宋体" w:hAnsi="宋体"/>
          <w:b/>
          <w:sz w:val="28"/>
          <w:szCs w:val="28"/>
        </w:rPr>
      </w:pPr>
    </w:p>
    <w:p>
      <w:pPr>
        <w:pStyle w:val="27"/>
        <w:rPr>
          <w:rFonts w:hint="eastAsia" w:ascii="宋体" w:hAnsi="宋体"/>
          <w:b/>
          <w:sz w:val="28"/>
          <w:szCs w:val="28"/>
        </w:rPr>
      </w:pPr>
    </w:p>
    <w:p>
      <w:pPr>
        <w:pStyle w:val="27"/>
        <w:rPr>
          <w:rFonts w:hint="eastAsia" w:ascii="宋体" w:hAnsi="宋体"/>
          <w:b/>
          <w:sz w:val="28"/>
          <w:szCs w:val="28"/>
        </w:rPr>
      </w:pPr>
    </w:p>
    <w:p>
      <w:pPr>
        <w:spacing w:line="500" w:lineRule="atLeast"/>
        <w:rPr>
          <w:rFonts w:hint="eastAsia" w:ascii="宋体" w:hAnsi="宋体"/>
          <w:b/>
          <w:sz w:val="28"/>
          <w:szCs w:val="28"/>
        </w:rPr>
      </w:pPr>
    </w:p>
    <w:p>
      <w:pPr>
        <w:spacing w:line="500" w:lineRule="atLeast"/>
        <w:rPr>
          <w:rFonts w:hint="eastAsia" w:ascii="宋体" w:hAnsi="宋体"/>
          <w:b/>
          <w:sz w:val="28"/>
          <w:szCs w:val="28"/>
        </w:rPr>
      </w:pPr>
    </w:p>
    <w:p>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pPr>
        <w:numPr>
          <w:ilvl w:val="0"/>
          <w:numId w:val="0"/>
        </w:numPr>
        <w:ind w:right="-333"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8"/>
          <w:szCs w:val="28"/>
          <w:lang w:val="en-US" w:eastAsia="zh-CN"/>
        </w:rPr>
        <w:t>注：</w:t>
      </w:r>
      <w:r>
        <w:rPr>
          <w:rFonts w:hint="eastAsia" w:asciiTheme="minorEastAsia" w:hAnsiTheme="minorEastAsia" w:cstheme="minorEastAsia"/>
          <w:color w:val="auto"/>
          <w:sz w:val="28"/>
          <w:szCs w:val="28"/>
        </w:rPr>
        <w:t>提供有效的营业执照复印件，如非“三证合一”证照，同时提供税务登记证复印件</w:t>
      </w:r>
      <w:r>
        <w:rPr>
          <w:rFonts w:hint="eastAsia" w:asciiTheme="minorEastAsia" w:hAnsiTheme="minorEastAsia" w:cstheme="minorEastAsia"/>
          <w:color w:val="auto"/>
          <w:sz w:val="28"/>
          <w:szCs w:val="28"/>
          <w:lang w:eastAsia="zh-CN"/>
        </w:rPr>
        <w:t>。</w:t>
      </w: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numPr>
          <w:ilvl w:val="0"/>
          <w:numId w:val="0"/>
        </w:numPr>
        <w:ind w:right="-333" w:rightChars="-159"/>
        <w:jc w:val="left"/>
        <w:rPr>
          <w:rFonts w:hint="eastAsia" w:asciiTheme="minorEastAsia" w:hAnsiTheme="minorEastAsia" w:cstheme="minorEastAsia"/>
          <w:color w:val="auto"/>
          <w:sz w:val="28"/>
          <w:szCs w:val="28"/>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pStyle w:val="4"/>
        <w:rPr>
          <w:rFonts w:hint="eastAsia" w:asciiTheme="minorEastAsia" w:hAnsiTheme="minorEastAsia" w:cstheme="minorEastAsia"/>
          <w:color w:val="auto"/>
          <w:sz w:val="28"/>
          <w:szCs w:val="28"/>
          <w:lang w:val="en-US" w:eastAsia="zh-CN"/>
        </w:rPr>
      </w:pPr>
    </w:p>
    <w:p>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监理人</w:t>
      </w:r>
      <w:r>
        <w:rPr>
          <w:rFonts w:hint="eastAsia" w:ascii="宋体" w:hAnsi="宋体" w:eastAsia="宋体" w:cs="Times New Roman"/>
          <w:b/>
          <w:sz w:val="32"/>
          <w:szCs w:val="32"/>
          <w:lang w:val="en-US" w:eastAsia="zh-CN"/>
        </w:rPr>
        <w:t>资质</w:t>
      </w:r>
    </w:p>
    <w:p>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w:t>
      </w:r>
      <w:r>
        <w:rPr>
          <w:rFonts w:hint="eastAsia" w:ascii="宋体" w:hAnsi="宋体" w:eastAsia="宋体" w:cs="宋体"/>
          <w:color w:val="auto"/>
          <w:kern w:val="2"/>
          <w:sz w:val="28"/>
          <w:szCs w:val="28"/>
          <w:lang w:val="en-US" w:eastAsia="zh-CN" w:bidi="ar-SA"/>
        </w:rPr>
        <w:t>提供</w:t>
      </w:r>
      <w:r>
        <w:rPr>
          <w:rFonts w:hint="eastAsia" w:asciiTheme="minorEastAsia" w:hAnsiTheme="minorEastAsia" w:cstheme="minorEastAsia"/>
          <w:color w:val="auto"/>
          <w:sz w:val="28"/>
          <w:szCs w:val="28"/>
        </w:rPr>
        <w:t>文物</w:t>
      </w:r>
      <w:r>
        <w:rPr>
          <w:rFonts w:hint="eastAsia" w:asciiTheme="minorEastAsia" w:hAnsiTheme="minorEastAsia" w:cstheme="minorEastAsia"/>
          <w:color w:val="auto"/>
          <w:sz w:val="28"/>
          <w:szCs w:val="28"/>
          <w:lang w:eastAsia="zh-CN"/>
        </w:rPr>
        <w:t>部门</w:t>
      </w:r>
      <w:r>
        <w:rPr>
          <w:rFonts w:hint="eastAsia" w:asciiTheme="minorEastAsia" w:hAnsiTheme="minorEastAsia" w:cstheme="minorEastAsia"/>
          <w:color w:val="auto"/>
          <w:sz w:val="28"/>
          <w:szCs w:val="28"/>
        </w:rPr>
        <w:t>核发的《文物保护工程监理资质证书》，资质等级：乙级（含）以上，业务范围：古建筑维修保护、近现代文物建筑维修保护。提供有效的</w:t>
      </w:r>
      <w:r>
        <w:rPr>
          <w:rFonts w:hint="eastAsia" w:asciiTheme="minorEastAsia" w:hAnsiTheme="minorEastAsia" w:cstheme="minorEastAsia"/>
          <w:color w:val="auto"/>
          <w:sz w:val="28"/>
          <w:szCs w:val="28"/>
          <w:lang w:eastAsia="zh-CN"/>
        </w:rPr>
        <w:t>资质证书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eastAsia="zh-CN"/>
        </w:rPr>
        <w:t>。</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）总监理工程师执业资格</w:t>
      </w:r>
    </w:p>
    <w:p>
      <w:pPr>
        <w:pStyle w:val="4"/>
        <w:widowControl w:val="0"/>
        <w:numPr>
          <w:ilvl w:val="0"/>
          <w:numId w:val="0"/>
        </w:numPr>
        <w:jc w:val="both"/>
        <w:rPr>
          <w:rFonts w:hint="eastAsia" w:ascii="宋体" w:hAnsi="宋体" w:cs="宋体"/>
          <w:color w:val="auto"/>
          <w:kern w:val="2"/>
          <w:sz w:val="24"/>
          <w:szCs w:val="24"/>
          <w:highlight w:val="none"/>
          <w:lang w:val="en-US" w:eastAsia="zh-CN" w:bidi="ar-SA"/>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rPr>
        <w:t>拟委派的</w:t>
      </w:r>
      <w:r>
        <w:rPr>
          <w:rFonts w:hint="eastAsia" w:asciiTheme="minorEastAsia" w:hAnsiTheme="minorEastAsia" w:cstheme="minorEastAsia"/>
          <w:color w:val="auto"/>
          <w:sz w:val="28"/>
          <w:szCs w:val="28"/>
          <w:lang w:eastAsia="zh-CN"/>
        </w:rPr>
        <w:t>总监理工程师</w:t>
      </w:r>
      <w:r>
        <w:rPr>
          <w:rFonts w:hint="eastAsia" w:asciiTheme="minorEastAsia" w:hAnsiTheme="minorEastAsia" w:cstheme="minorEastAsia"/>
          <w:color w:val="auto"/>
          <w:sz w:val="28"/>
          <w:szCs w:val="28"/>
        </w:rPr>
        <w:t>具有</w:t>
      </w:r>
      <w:r>
        <w:rPr>
          <w:rFonts w:hint="eastAsia" w:asciiTheme="minorEastAsia" w:hAnsiTheme="minorEastAsia" w:cstheme="minorEastAsia"/>
          <w:color w:val="auto"/>
          <w:sz w:val="28"/>
          <w:szCs w:val="28"/>
          <w:lang w:eastAsia="zh-CN"/>
        </w:rPr>
        <w:t>文物保护工程责任监理师资格</w:t>
      </w:r>
      <w:r>
        <w:rPr>
          <w:rFonts w:hint="eastAsia" w:asciiTheme="minorEastAsia" w:hAnsiTheme="minorEastAsia" w:cstheme="minorEastAsia"/>
          <w:color w:val="auto"/>
          <w:sz w:val="28"/>
          <w:szCs w:val="28"/>
          <w:highlight w:val="none"/>
          <w:lang w:val="en-US" w:eastAsia="zh-CN"/>
        </w:rPr>
        <w:t>或具有</w:t>
      </w:r>
      <w:r>
        <w:rPr>
          <w:rFonts w:hint="eastAsia" w:asciiTheme="minorEastAsia" w:hAnsiTheme="minorEastAsia" w:cstheme="minorEastAsia"/>
          <w:color w:val="auto"/>
          <w:sz w:val="28"/>
          <w:szCs w:val="28"/>
          <w:highlight w:val="none"/>
          <w:lang w:eastAsia="zh-CN"/>
        </w:rPr>
        <w:t>注册监理工程师执业</w:t>
      </w:r>
      <w:r>
        <w:rPr>
          <w:rFonts w:hint="eastAsia" w:asciiTheme="minorEastAsia" w:hAnsiTheme="minorEastAsia" w:cstheme="minorEastAsia"/>
          <w:color w:val="auto"/>
          <w:sz w:val="28"/>
          <w:szCs w:val="28"/>
          <w:highlight w:val="none"/>
          <w:lang w:val="en-US" w:eastAsia="zh-CN"/>
        </w:rPr>
        <w:t>资格</w:t>
      </w:r>
      <w:r>
        <w:rPr>
          <w:rFonts w:hint="eastAsia" w:asciiTheme="minorEastAsia" w:hAnsiTheme="minorEastAsia" w:cstheme="minorEastAsia"/>
          <w:color w:val="auto"/>
          <w:sz w:val="28"/>
          <w:szCs w:val="28"/>
          <w:lang w:eastAsia="zh-CN"/>
        </w:rPr>
        <w:t>。提供有效的</w:t>
      </w:r>
      <w:bookmarkStart w:id="118" w:name="_GoBack"/>
      <w:bookmarkEnd w:id="118"/>
      <w:r>
        <w:rPr>
          <w:rFonts w:hint="eastAsia" w:asciiTheme="minorEastAsia" w:hAnsiTheme="minorEastAsia" w:cstheme="minorEastAsia"/>
          <w:color w:val="auto"/>
          <w:sz w:val="28"/>
          <w:szCs w:val="28"/>
          <w:lang w:eastAsia="zh-CN"/>
        </w:rPr>
        <w:t>资格证</w:t>
      </w:r>
      <w:r>
        <w:rPr>
          <w:rFonts w:hint="eastAsia" w:asciiTheme="minorEastAsia" w:hAnsiTheme="minorEastAsia" w:cstheme="minorEastAsia"/>
          <w:color w:val="auto"/>
          <w:sz w:val="28"/>
          <w:szCs w:val="28"/>
          <w:lang w:val="en-US" w:eastAsia="zh-CN"/>
        </w:rPr>
        <w:t>书</w:t>
      </w:r>
      <w:r>
        <w:rPr>
          <w:rFonts w:hint="eastAsia" w:asciiTheme="minorEastAsia" w:hAnsiTheme="minorEastAsia" w:cstheme="minorEastAsia"/>
          <w:color w:val="auto"/>
          <w:sz w:val="28"/>
          <w:szCs w:val="28"/>
          <w:lang w:eastAsia="zh-CN"/>
        </w:rPr>
        <w:t>复印件，同时</w:t>
      </w:r>
      <w:r>
        <w:rPr>
          <w:rFonts w:hint="eastAsia" w:asciiTheme="minorEastAsia" w:hAnsiTheme="minorEastAsia" w:cstheme="minorEastAsia"/>
          <w:color w:val="auto"/>
          <w:sz w:val="28"/>
          <w:szCs w:val="28"/>
          <w:lang w:val="en-US" w:eastAsia="zh-CN"/>
        </w:rPr>
        <w:t>提供</w:t>
      </w:r>
      <w:r>
        <w:rPr>
          <w:rFonts w:hint="eastAsia" w:ascii="宋体" w:hAnsi="宋体" w:eastAsia="宋体" w:cs="宋体"/>
          <w:color w:val="auto"/>
          <w:kern w:val="2"/>
          <w:sz w:val="28"/>
          <w:szCs w:val="28"/>
          <w:highlight w:val="none"/>
          <w:lang w:val="en-US" w:eastAsia="zh-CN" w:bidi="ar-SA"/>
        </w:rPr>
        <w:t>响应截止日前</w:t>
      </w:r>
      <w:r>
        <w:rPr>
          <w:rFonts w:hint="eastAsia" w:ascii="宋体" w:hAnsi="宋体" w:cs="宋体"/>
          <w:color w:val="auto"/>
          <w:kern w:val="2"/>
          <w:sz w:val="28"/>
          <w:szCs w:val="28"/>
          <w:highlight w:val="none"/>
          <w:lang w:val="en-US" w:eastAsia="zh-CN" w:bidi="ar-SA"/>
        </w:rPr>
        <w:t>六</w:t>
      </w:r>
      <w:r>
        <w:rPr>
          <w:rFonts w:hint="eastAsia" w:ascii="宋体" w:hAnsi="宋体" w:eastAsia="宋体" w:cs="宋体"/>
          <w:color w:val="auto"/>
          <w:kern w:val="2"/>
          <w:sz w:val="28"/>
          <w:szCs w:val="28"/>
          <w:highlight w:val="none"/>
          <w:lang w:val="en-US" w:eastAsia="zh-CN" w:bidi="ar-SA"/>
        </w:rPr>
        <w:t>个月内任一月</w:t>
      </w:r>
      <w:r>
        <w:rPr>
          <w:rFonts w:hint="eastAsia" w:ascii="宋体" w:hAnsi="宋体" w:cs="宋体"/>
          <w:color w:val="auto"/>
          <w:kern w:val="2"/>
          <w:sz w:val="28"/>
          <w:szCs w:val="28"/>
          <w:highlight w:val="none"/>
          <w:lang w:val="en-US" w:eastAsia="zh-CN" w:bidi="ar-SA"/>
        </w:rPr>
        <w:t>份由</w:t>
      </w:r>
      <w:r>
        <w:rPr>
          <w:rFonts w:hint="eastAsia" w:ascii="宋体" w:hAnsi="宋体" w:eastAsia="宋体" w:cs="宋体"/>
          <w:color w:val="auto"/>
          <w:kern w:val="2"/>
          <w:sz w:val="28"/>
          <w:szCs w:val="28"/>
          <w:highlight w:val="none"/>
          <w:lang w:val="en-US" w:eastAsia="zh-CN" w:bidi="ar-SA"/>
        </w:rPr>
        <w:t>供应商</w:t>
      </w:r>
      <w:r>
        <w:rPr>
          <w:rFonts w:hint="eastAsia" w:ascii="宋体" w:hAnsi="宋体" w:cs="宋体"/>
          <w:color w:val="auto"/>
          <w:kern w:val="2"/>
          <w:sz w:val="28"/>
          <w:szCs w:val="28"/>
          <w:highlight w:val="none"/>
          <w:lang w:val="en-US" w:eastAsia="zh-CN" w:bidi="ar-SA"/>
        </w:rPr>
        <w:t>为其</w:t>
      </w:r>
      <w:r>
        <w:rPr>
          <w:rFonts w:hint="eastAsia" w:ascii="宋体" w:hAnsi="宋体" w:eastAsia="宋体" w:cs="宋体"/>
          <w:color w:val="auto"/>
          <w:kern w:val="2"/>
          <w:sz w:val="28"/>
          <w:szCs w:val="28"/>
          <w:highlight w:val="none"/>
          <w:lang w:val="en-US" w:eastAsia="zh-CN" w:bidi="ar-SA"/>
        </w:rPr>
        <w:t>缴纳的社保证明</w:t>
      </w:r>
      <w:r>
        <w:rPr>
          <w:rFonts w:hint="eastAsia" w:ascii="宋体" w:hAnsi="宋体" w:cs="宋体"/>
          <w:color w:val="auto"/>
          <w:kern w:val="2"/>
          <w:sz w:val="28"/>
          <w:szCs w:val="28"/>
          <w:highlight w:val="none"/>
          <w:lang w:val="en-US" w:eastAsia="zh-CN" w:bidi="ar-SA"/>
        </w:rPr>
        <w:t>复印件。</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both"/>
        <w:rPr>
          <w:rFonts w:hint="eastAsia"/>
          <w:lang w:val="en-US" w:eastAsia="zh-CN"/>
        </w:rPr>
      </w:pPr>
    </w:p>
    <w:p>
      <w:pPr>
        <w:pStyle w:val="4"/>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承诺函</w:t>
      </w:r>
    </w:p>
    <w:p>
      <w:pPr>
        <w:pStyle w:val="4"/>
        <w:widowControl w:val="0"/>
        <w:numPr>
          <w:ilvl w:val="0"/>
          <w:numId w:val="0"/>
        </w:numPr>
        <w:jc w:val="both"/>
        <w:rPr>
          <w:rFonts w:hint="eastAsia" w:ascii="宋体" w:hAnsi="宋体" w:cs="宋体"/>
          <w:sz w:val="28"/>
          <w:szCs w:val="28"/>
          <w:lang w:eastAsia="zh-CN"/>
        </w:rPr>
      </w:pPr>
      <w:r>
        <w:rPr>
          <w:rFonts w:hint="eastAsia"/>
          <w:sz w:val="28"/>
          <w:szCs w:val="28"/>
          <w:lang w:val="en-US" w:eastAsia="zh-CN"/>
        </w:rPr>
        <w:t>注：本项目</w:t>
      </w:r>
      <w:r>
        <w:rPr>
          <w:rFonts w:hint="eastAsia" w:ascii="宋体" w:hAnsi="宋体" w:cs="宋体"/>
          <w:sz w:val="28"/>
          <w:szCs w:val="28"/>
        </w:rPr>
        <w:t>不接受联合体报价</w:t>
      </w:r>
      <w:r>
        <w:rPr>
          <w:rFonts w:hint="eastAsia" w:ascii="宋体" w:hAnsi="宋体" w:cs="宋体"/>
          <w:sz w:val="28"/>
          <w:szCs w:val="28"/>
          <w:lang w:eastAsia="zh-CN"/>
        </w:rPr>
        <w:t>；不得分包、转包。</w:t>
      </w:r>
    </w:p>
    <w:p>
      <w:pPr>
        <w:pStyle w:val="4"/>
        <w:widowControl w:val="0"/>
        <w:numPr>
          <w:ilvl w:val="0"/>
          <w:numId w:val="0"/>
        </w:numPr>
        <w:ind w:firstLine="560" w:firstLineChars="200"/>
        <w:jc w:val="both"/>
        <w:rPr>
          <w:rFonts w:hint="eastAsia"/>
          <w:sz w:val="28"/>
          <w:szCs w:val="28"/>
          <w:lang w:val="en-US" w:eastAsia="zh-CN"/>
        </w:rPr>
      </w:pPr>
      <w:r>
        <w:rPr>
          <w:rFonts w:hint="eastAsia" w:ascii="宋体" w:hAnsi="宋体" w:cs="宋体"/>
          <w:sz w:val="28"/>
          <w:szCs w:val="28"/>
          <w:lang w:eastAsia="zh-CN"/>
        </w:rPr>
        <w:t>提供承诺函，格式自拟。</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rPr>
          <w:rFonts w:ascii="宋体" w:hAnsi="宋体" w:cs="宋体"/>
          <w:b/>
          <w:sz w:val="24"/>
        </w:rPr>
      </w:pPr>
    </w:p>
    <w:p>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pStyle w:val="4"/>
        <w:widowControl w:val="0"/>
        <w:numPr>
          <w:ilvl w:val="0"/>
          <w:numId w:val="0"/>
        </w:numPr>
        <w:jc w:val="both"/>
        <w:rPr>
          <w:rFonts w:hint="eastAsia"/>
          <w:sz w:val="28"/>
          <w:szCs w:val="28"/>
          <w:lang w:val="en-US" w:eastAsia="zh-CN"/>
        </w:rPr>
      </w:pPr>
    </w:p>
    <w:p>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pPr>
        <w:pStyle w:val="18"/>
      </w:pPr>
    </w:p>
    <w:p>
      <w:pPr>
        <w:tabs>
          <w:tab w:val="left" w:pos="7830"/>
        </w:tabs>
        <w:jc w:val="center"/>
        <w:rPr>
          <w:rFonts w:eastAsia="仿宋_GB2312"/>
          <w:sz w:val="32"/>
          <w:u w:val="single"/>
        </w:rPr>
      </w:pPr>
      <w:r>
        <w:rPr>
          <w:rFonts w:hint="eastAsia" w:ascii="宋体" w:hAnsi="宋体"/>
          <w:b/>
          <w:color w:val="000000"/>
          <w:sz w:val="32"/>
          <w:szCs w:val="32"/>
        </w:rPr>
        <w:t>法定代表人证明书</w:t>
      </w:r>
    </w:p>
    <w:p>
      <w:pPr>
        <w:tabs>
          <w:tab w:val="left" w:pos="7830"/>
        </w:tabs>
        <w:rPr>
          <w:rFonts w:ascii="宋体" w:hAnsi="宋体"/>
          <w:sz w:val="28"/>
          <w:szCs w:val="28"/>
        </w:rPr>
      </w:pPr>
      <w:r>
        <w:rPr>
          <w:rFonts w:hint="eastAsia" w:ascii="宋体" w:hAnsi="宋体"/>
          <w:sz w:val="28"/>
          <w:szCs w:val="28"/>
        </w:rPr>
        <w:t>中山大学孙逸仙纪念医院：</w:t>
      </w:r>
    </w:p>
    <w:p>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pPr>
        <w:adjustRightInd w:val="0"/>
        <w:snapToGrid w:val="0"/>
        <w:spacing w:beforeLines="30" w:line="400" w:lineRule="exact"/>
        <w:rPr>
          <w:rFonts w:ascii="宋体" w:hAnsi="宋体"/>
          <w:sz w:val="28"/>
          <w:szCs w:val="28"/>
        </w:rPr>
      </w:pP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ind w:firstLine="560" w:firstLineChars="200"/>
        <w:rPr>
          <w:rFonts w:ascii="宋体" w:hAnsi="宋体"/>
          <w:sz w:val="28"/>
          <w:szCs w:val="28"/>
        </w:rPr>
      </w:pPr>
    </w:p>
    <w:p>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pPr>
        <w:adjustRightInd w:val="0"/>
        <w:snapToGrid w:val="0"/>
        <w:spacing w:beforeLines="30" w:line="400" w:lineRule="exact"/>
        <w:ind w:firstLine="3967" w:firstLineChars="1417"/>
        <w:jc w:val="left"/>
        <w:rPr>
          <w:rFonts w:ascii="宋体" w:hAnsi="宋体"/>
          <w:sz w:val="28"/>
          <w:szCs w:val="28"/>
        </w:rPr>
      </w:pPr>
    </w:p>
    <w:p>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tabs>
          <w:tab w:val="left" w:pos="8280"/>
        </w:tabs>
        <w:spacing w:line="360" w:lineRule="auto"/>
        <w:jc w:val="center"/>
        <w:rPr>
          <w:rFonts w:ascii="宋体" w:hAnsi="宋体"/>
          <w:b/>
          <w:color w:val="000000"/>
          <w:sz w:val="28"/>
          <w:szCs w:val="28"/>
        </w:rPr>
      </w:pPr>
    </w:p>
    <w:p>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pPr>
        <w:tabs>
          <w:tab w:val="left" w:pos="8280"/>
        </w:tabs>
        <w:spacing w:line="360" w:lineRule="auto"/>
        <w:jc w:val="center"/>
        <w:rPr>
          <w:rFonts w:hint="eastAsia" w:ascii="宋体" w:hAnsi="宋体"/>
          <w:b/>
          <w:color w:val="000000"/>
          <w:sz w:val="32"/>
          <w:szCs w:val="32"/>
        </w:rPr>
      </w:pPr>
    </w:p>
    <w:p>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pPr>
        <w:tabs>
          <w:tab w:val="left" w:pos="7830"/>
        </w:tabs>
        <w:rPr>
          <w:rFonts w:eastAsia="仿宋_GB2312"/>
          <w:sz w:val="32"/>
        </w:rPr>
      </w:pPr>
    </w:p>
    <w:p>
      <w:pPr>
        <w:tabs>
          <w:tab w:val="left" w:pos="7830"/>
        </w:tabs>
        <w:rPr>
          <w:rFonts w:ascii="宋体" w:hAnsi="宋体"/>
          <w:sz w:val="28"/>
          <w:szCs w:val="28"/>
        </w:rPr>
      </w:pPr>
      <w:r>
        <w:rPr>
          <w:rFonts w:hint="eastAsia" w:ascii="宋体" w:hAnsi="宋体"/>
          <w:sz w:val="28"/>
          <w:szCs w:val="28"/>
        </w:rPr>
        <w:t>中山大学孙逸仙纪念医院：</w:t>
      </w:r>
    </w:p>
    <w:p>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pPr>
        <w:adjustRightInd w:val="0"/>
        <w:snapToGrid w:val="0"/>
        <w:spacing w:beforeLines="30" w:line="400" w:lineRule="exact"/>
        <w:ind w:firstLine="560" w:firstLineChars="200"/>
        <w:rPr>
          <w:rFonts w:ascii="宋体" w:hAnsi="宋体"/>
          <w:sz w:val="28"/>
          <w:szCs w:val="28"/>
          <w:u w:val="single"/>
        </w:rPr>
      </w:pPr>
    </w:p>
    <w:p>
      <w:pPr>
        <w:adjustRightInd w:val="0"/>
        <w:snapToGrid w:val="0"/>
        <w:spacing w:beforeLines="30" w:line="400" w:lineRule="exact"/>
        <w:ind w:firstLine="560" w:firstLineChars="200"/>
        <w:rPr>
          <w:rFonts w:ascii="宋体" w:hAnsi="宋体"/>
          <w:sz w:val="28"/>
          <w:szCs w:val="28"/>
          <w:u w:val="single"/>
        </w:rPr>
      </w:pPr>
    </w:p>
    <w:p>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pPr>
        <w:adjustRightInd w:val="0"/>
        <w:snapToGrid w:val="0"/>
        <w:spacing w:beforeLines="30" w:line="400" w:lineRule="exact"/>
        <w:ind w:firstLine="560" w:firstLineChars="200"/>
        <w:rPr>
          <w:rFonts w:ascii="宋体" w:hAnsi="宋体"/>
          <w:sz w:val="28"/>
          <w:szCs w:val="28"/>
        </w:rPr>
      </w:pPr>
    </w:p>
    <w:p>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pPr>
        <w:adjustRightInd w:val="0"/>
        <w:snapToGrid w:val="0"/>
        <w:spacing w:beforeLines="30" w:line="400" w:lineRule="exact"/>
        <w:rPr>
          <w:rFonts w:ascii="宋体" w:hAnsi="宋体"/>
          <w:sz w:val="28"/>
          <w:szCs w:val="28"/>
        </w:rPr>
      </w:pPr>
    </w:p>
    <w:p>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djustRightInd w:val="0"/>
        <w:snapToGrid w:val="0"/>
        <w:spacing w:beforeLines="30" w:line="400" w:lineRule="exact"/>
        <w:ind w:left="560" w:hanging="560" w:hangingChars="200"/>
        <w:rPr>
          <w:rFonts w:ascii="宋体" w:hAnsi="宋体"/>
          <w:sz w:val="28"/>
          <w:szCs w:val="28"/>
        </w:rPr>
      </w:pPr>
    </w:p>
    <w:p>
      <w:pPr>
        <w:spacing w:line="500" w:lineRule="atLeast"/>
        <w:jc w:val="center"/>
        <w:rPr>
          <w:rFonts w:ascii="宋体" w:hAnsi="宋体"/>
          <w:sz w:val="28"/>
          <w:szCs w:val="28"/>
        </w:rPr>
      </w:pPr>
    </w:p>
    <w:p>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pPr>
        <w:spacing w:line="500" w:lineRule="atLeast"/>
        <w:rPr>
          <w:rFonts w:ascii="宋体" w:hAnsi="宋体"/>
          <w:sz w:val="28"/>
          <w:szCs w:val="28"/>
        </w:rPr>
      </w:pPr>
    </w:p>
    <w:p>
      <w:pPr>
        <w:spacing w:line="500" w:lineRule="atLeast"/>
        <w:rPr>
          <w:rFonts w:ascii="宋体" w:hAnsi="宋体"/>
          <w:sz w:val="28"/>
          <w:szCs w:val="28"/>
        </w:rPr>
      </w:pPr>
    </w:p>
    <w:p>
      <w:pPr>
        <w:spacing w:line="500" w:lineRule="atLeast"/>
        <w:rPr>
          <w:rFonts w:ascii="宋体" w:hAnsi="宋体"/>
          <w:sz w:val="28"/>
          <w:szCs w:val="28"/>
        </w:rPr>
      </w:pPr>
    </w:p>
    <w:p>
      <w:pPr>
        <w:spacing w:line="500" w:lineRule="atLeast"/>
        <w:rPr>
          <w:rFonts w:ascii="宋体" w:hAnsi="宋体"/>
          <w:sz w:val="28"/>
          <w:szCs w:val="28"/>
        </w:rPr>
      </w:pPr>
    </w:p>
    <w:p>
      <w:pPr>
        <w:snapToGrid w:val="0"/>
        <w:spacing w:line="360" w:lineRule="auto"/>
        <w:ind w:firstLine="1320" w:firstLineChars="550"/>
        <w:rPr>
          <w:rFonts w:hint="eastAsia" w:ascii="宋体" w:hAnsi="宋体" w:cs="仿宋_GB2312"/>
          <w:sz w:val="24"/>
          <w:szCs w:val="24"/>
        </w:rPr>
      </w:pPr>
    </w:p>
    <w:p>
      <w:pPr>
        <w:rPr>
          <w:rFonts w:hint="eastAsia" w:ascii="宋体" w:hAnsi="宋体" w:eastAsia="宋体"/>
          <w:b/>
          <w:sz w:val="28"/>
          <w:szCs w:val="28"/>
          <w:lang w:val="en-US" w:eastAsia="zh-CN"/>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bookmarkEnd w:id="115"/>
    <w:p>
      <w:pPr>
        <w:rPr>
          <w:rFonts w:hint="eastAsia" w:ascii="宋体" w:hAnsi="宋体" w:cs="宋体"/>
          <w:b/>
          <w:sz w:val="24"/>
        </w:rPr>
      </w:pPr>
    </w:p>
    <w:p>
      <w:pPr>
        <w:jc w:val="center"/>
        <w:rPr>
          <w:rFonts w:ascii="黑体" w:eastAsia="黑体"/>
          <w:sz w:val="36"/>
          <w:szCs w:val="36"/>
        </w:rPr>
      </w:pPr>
      <w:r>
        <w:rPr>
          <w:rFonts w:hint="eastAsia" w:ascii="宋体" w:hAnsi="宋体"/>
          <w:b/>
          <w:sz w:val="24"/>
        </w:rPr>
        <w:t xml:space="preserve">                                        合同编号：</w:t>
      </w:r>
    </w:p>
    <w:p>
      <w:pPr>
        <w:rPr>
          <w:rFonts w:hint="eastAsia" w:ascii="宋体" w:hAnsi="宋体"/>
          <w:b/>
          <w:sz w:val="32"/>
          <w:szCs w:val="32"/>
        </w:rPr>
      </w:pPr>
    </w:p>
    <w:p>
      <w:pPr>
        <w:spacing w:line="480" w:lineRule="auto"/>
        <w:ind w:right="-38"/>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中山大学孙逸仙纪念医院北院区</w:t>
      </w:r>
    </w:p>
    <w:p>
      <w:pPr>
        <w:spacing w:line="480" w:lineRule="auto"/>
        <w:ind w:right="-38"/>
        <w:jc w:val="center"/>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检验科小教堂屋盖结构加固工程监理服务</w:t>
      </w:r>
    </w:p>
    <w:p>
      <w:pPr>
        <w:wordWrap w:val="0"/>
        <w:topLinePunct/>
        <w:spacing w:line="240" w:lineRule="atLeast"/>
        <w:ind w:left="645"/>
        <w:jc w:val="center"/>
        <w:rPr>
          <w:rFonts w:hint="eastAsia" w:ascii="宋体" w:hAnsi="宋体"/>
          <w:sz w:val="32"/>
        </w:rPr>
      </w:pPr>
    </w:p>
    <w:p>
      <w:pPr>
        <w:topLinePunct/>
        <w:spacing w:line="480" w:lineRule="auto"/>
        <w:ind w:left="645"/>
        <w:jc w:val="center"/>
        <w:rPr>
          <w:rFonts w:hint="eastAsia" w:ascii="宋体" w:hAnsi="宋体"/>
          <w:b/>
          <w:sz w:val="28"/>
        </w:rPr>
      </w:pPr>
    </w:p>
    <w:p>
      <w:pPr>
        <w:spacing w:line="480" w:lineRule="auto"/>
        <w:jc w:val="center"/>
        <w:rPr>
          <w:rFonts w:hint="eastAsia" w:ascii="华文中宋" w:hAnsi="华文中宋" w:eastAsia="华文中宋" w:cs="华文中宋"/>
          <w:b/>
          <w:bCs/>
          <w:sz w:val="52"/>
          <w:szCs w:val="52"/>
        </w:rPr>
      </w:pPr>
      <w:r>
        <w:rPr>
          <w:rFonts w:hint="eastAsia" w:ascii="华文中宋" w:hAnsi="华文中宋" w:eastAsia="华文中宋" w:cs="华文中宋"/>
          <w:b/>
          <w:bCs/>
          <w:sz w:val="52"/>
          <w:szCs w:val="52"/>
        </w:rPr>
        <w:t>委托监理合同</w:t>
      </w:r>
    </w:p>
    <w:p>
      <w:pPr>
        <w:adjustRightInd w:val="0"/>
        <w:snapToGrid w:val="0"/>
        <w:spacing w:line="480" w:lineRule="auto"/>
        <w:ind w:left="2260" w:leftChars="410" w:hanging="1400" w:hangingChars="500"/>
        <w:jc w:val="left"/>
        <w:rPr>
          <w:rFonts w:hint="eastAsia" w:ascii="宋体" w:hAnsi="宋体"/>
          <w:b/>
          <w:sz w:val="28"/>
          <w:szCs w:val="28"/>
        </w:rPr>
      </w:pPr>
    </w:p>
    <w:p>
      <w:pPr>
        <w:adjustRightInd w:val="0"/>
        <w:snapToGrid w:val="0"/>
        <w:spacing w:line="480" w:lineRule="auto"/>
        <w:ind w:left="2260" w:leftChars="410" w:hanging="1400" w:hangingChars="500"/>
        <w:jc w:val="left"/>
        <w:rPr>
          <w:rFonts w:hint="eastAsia" w:ascii="宋体" w:hAnsi="宋体"/>
          <w:b/>
          <w:sz w:val="28"/>
          <w:szCs w:val="28"/>
        </w:rPr>
      </w:pPr>
    </w:p>
    <w:p>
      <w:pPr>
        <w:adjustRightInd w:val="0"/>
        <w:snapToGrid w:val="0"/>
        <w:spacing w:line="480" w:lineRule="auto"/>
        <w:ind w:left="2260" w:leftChars="410" w:hanging="1400" w:hangingChars="500"/>
        <w:jc w:val="left"/>
        <w:rPr>
          <w:rFonts w:hint="eastAsia" w:ascii="宋体" w:hAnsi="宋体"/>
          <w:b/>
          <w:sz w:val="28"/>
          <w:szCs w:val="28"/>
          <w:u w:val="single"/>
        </w:rPr>
      </w:pPr>
      <w:r>
        <w:rPr>
          <w:rFonts w:hint="eastAsia" w:ascii="宋体" w:hAnsi="宋体"/>
          <w:b/>
          <w:sz w:val="28"/>
          <w:szCs w:val="28"/>
        </w:rPr>
        <w:t>项目名称：</w:t>
      </w:r>
      <w:r>
        <w:rPr>
          <w:rFonts w:hint="eastAsia" w:ascii="宋体" w:hAnsi="宋体"/>
          <w:b/>
          <w:sz w:val="28"/>
          <w:szCs w:val="28"/>
          <w:u w:val="single"/>
        </w:rPr>
        <w:t xml:space="preserve">中山大学孙逸仙纪念医院北院区检验科小教堂屋盖结构加固工程监理服务  </w:t>
      </w:r>
    </w:p>
    <w:p>
      <w:pPr>
        <w:adjustRightInd w:val="0"/>
        <w:snapToGrid w:val="0"/>
        <w:spacing w:line="480" w:lineRule="auto"/>
        <w:ind w:left="1414" w:leftChars="407" w:hanging="560" w:hangingChars="200"/>
        <w:jc w:val="left"/>
        <w:rPr>
          <w:rFonts w:hint="eastAsia" w:ascii="宋体" w:hAnsi="宋体"/>
          <w:b/>
          <w:sz w:val="28"/>
          <w:szCs w:val="28"/>
        </w:rPr>
      </w:pPr>
      <w:r>
        <w:rPr>
          <w:rFonts w:hint="eastAsia" w:ascii="宋体" w:hAnsi="宋体"/>
          <w:b/>
          <w:sz w:val="28"/>
          <w:szCs w:val="28"/>
        </w:rPr>
        <w:t>甲    方：</w:t>
      </w:r>
      <w:r>
        <w:rPr>
          <w:rFonts w:hint="eastAsia" w:ascii="宋体" w:hAnsi="宋体"/>
          <w:b/>
          <w:sz w:val="28"/>
          <w:szCs w:val="28"/>
          <w:u w:val="single"/>
        </w:rPr>
        <w:t>中山大学孙逸仙纪念医院</w:t>
      </w:r>
      <w:r>
        <w:rPr>
          <w:rFonts w:hint="eastAsia" w:ascii="宋体" w:hAnsi="宋体"/>
          <w:b/>
          <w:sz w:val="28"/>
          <w:szCs w:val="28"/>
        </w:rPr>
        <w:t xml:space="preserve">          </w:t>
      </w:r>
    </w:p>
    <w:p>
      <w:pPr>
        <w:adjustRightInd w:val="0"/>
        <w:snapToGrid w:val="0"/>
        <w:spacing w:line="480" w:lineRule="auto"/>
        <w:ind w:left="1414" w:leftChars="407" w:hanging="560" w:hangingChars="200"/>
        <w:jc w:val="left"/>
        <w:rPr>
          <w:rFonts w:hint="default" w:ascii="宋体" w:hAnsi="宋体" w:eastAsia="宋体"/>
          <w:b/>
          <w:sz w:val="28"/>
          <w:szCs w:val="28"/>
          <w:u w:val="single"/>
          <w:lang w:val="en-US" w:eastAsia="zh-CN"/>
        </w:rPr>
      </w:pPr>
      <w:r>
        <w:rPr>
          <w:rFonts w:hint="eastAsia" w:ascii="宋体" w:hAnsi="宋体"/>
          <w:b/>
          <w:sz w:val="28"/>
          <w:szCs w:val="28"/>
        </w:rPr>
        <w:t>乙    方：</w:t>
      </w:r>
      <w:r>
        <w:rPr>
          <w:rFonts w:hint="eastAsia" w:ascii="宋体" w:hAnsi="宋体"/>
          <w:b/>
          <w:sz w:val="28"/>
          <w:szCs w:val="28"/>
          <w:u w:val="single"/>
          <w:lang w:val="en-US" w:eastAsia="zh-CN"/>
        </w:rPr>
        <w:t xml:space="preserve">                      </w:t>
      </w:r>
    </w:p>
    <w:p>
      <w:pPr>
        <w:spacing w:before="156" w:beforeLines="50" w:after="156" w:afterLines="50" w:line="360" w:lineRule="auto"/>
        <w:jc w:val="center"/>
        <w:rPr>
          <w:rFonts w:hint="eastAsia" w:ascii="宋体" w:hAnsi="宋体"/>
          <w:b/>
          <w:spacing w:val="12"/>
          <w:szCs w:val="21"/>
        </w:rPr>
      </w:pPr>
    </w:p>
    <w:p>
      <w:pPr>
        <w:spacing w:before="156" w:beforeLines="50" w:after="156" w:afterLines="50" w:line="360" w:lineRule="auto"/>
        <w:ind w:firstLine="848" w:firstLineChars="279"/>
        <w:jc w:val="left"/>
        <w:rPr>
          <w:rFonts w:ascii="宋体"/>
          <w:b/>
          <w:spacing w:val="12"/>
          <w:sz w:val="28"/>
          <w:szCs w:val="28"/>
        </w:rPr>
      </w:pPr>
      <w:r>
        <w:rPr>
          <w:rFonts w:hint="eastAsia" w:ascii="宋体" w:hAnsi="宋体"/>
          <w:b/>
          <w:spacing w:val="12"/>
          <w:sz w:val="28"/>
          <w:szCs w:val="28"/>
        </w:rPr>
        <w:t>签</w:t>
      </w:r>
      <w:r>
        <w:rPr>
          <w:rFonts w:hint="eastAsia" w:ascii="宋体" w:hAnsi="宋体"/>
          <w:b/>
          <w:spacing w:val="12"/>
          <w:sz w:val="28"/>
          <w:szCs w:val="28"/>
          <w:lang w:eastAsia="zh-CN"/>
        </w:rPr>
        <w:t>订</w:t>
      </w:r>
      <w:r>
        <w:rPr>
          <w:rFonts w:hint="eastAsia" w:ascii="宋体" w:hAnsi="宋体"/>
          <w:b/>
          <w:spacing w:val="12"/>
          <w:sz w:val="28"/>
          <w:szCs w:val="28"/>
        </w:rPr>
        <w:t>地点：广州市</w:t>
      </w:r>
    </w:p>
    <w:p>
      <w:pPr>
        <w:spacing w:before="156" w:beforeLines="50" w:after="156" w:afterLines="50" w:line="360" w:lineRule="auto"/>
        <w:ind w:firstLine="848" w:firstLineChars="279"/>
        <w:jc w:val="left"/>
        <w:rPr>
          <w:rFonts w:hint="eastAsia" w:ascii="宋体" w:hAnsi="宋体"/>
          <w:b/>
          <w:spacing w:val="12"/>
          <w:sz w:val="28"/>
          <w:szCs w:val="28"/>
        </w:rPr>
      </w:pPr>
      <w:r>
        <w:rPr>
          <w:rFonts w:hint="eastAsia" w:ascii="宋体" w:hAnsi="宋体"/>
          <w:b/>
          <w:spacing w:val="12"/>
          <w:sz w:val="28"/>
          <w:szCs w:val="28"/>
        </w:rPr>
        <w:t>签</w:t>
      </w:r>
      <w:r>
        <w:rPr>
          <w:rFonts w:hint="eastAsia" w:ascii="宋体" w:hAnsi="宋体"/>
          <w:b/>
          <w:spacing w:val="12"/>
          <w:sz w:val="28"/>
          <w:szCs w:val="28"/>
          <w:lang w:eastAsia="zh-CN"/>
        </w:rPr>
        <w:t>订</w:t>
      </w:r>
      <w:r>
        <w:rPr>
          <w:rFonts w:hint="eastAsia" w:ascii="宋体" w:hAnsi="宋体"/>
          <w:b/>
          <w:spacing w:val="12"/>
          <w:sz w:val="28"/>
          <w:szCs w:val="28"/>
        </w:rPr>
        <w:t>日期：</w:t>
      </w:r>
      <w:r>
        <w:rPr>
          <w:rFonts w:hint="eastAsia" w:ascii="宋体" w:hAnsi="宋体"/>
          <w:b/>
          <w:spacing w:val="12"/>
          <w:sz w:val="28"/>
          <w:szCs w:val="28"/>
          <w:lang w:val="en-US" w:eastAsia="zh-CN"/>
        </w:rPr>
        <w:t>2025</w:t>
      </w:r>
      <w:r>
        <w:rPr>
          <w:rFonts w:hint="eastAsia" w:ascii="宋体" w:hAnsi="宋体"/>
          <w:b/>
          <w:spacing w:val="12"/>
          <w:sz w:val="28"/>
          <w:szCs w:val="28"/>
        </w:rPr>
        <w:t>年   月  日</w:t>
      </w:r>
    </w:p>
    <w:p>
      <w:pPr>
        <w:rPr>
          <w:sz w:val="24"/>
        </w:rPr>
      </w:pPr>
    </w:p>
    <w:p>
      <w:pPr>
        <w:rPr>
          <w:sz w:val="24"/>
        </w:rPr>
      </w:pPr>
      <w:r>
        <w:rPr>
          <w:rFonts w:hint="eastAsia"/>
          <w:sz w:val="24"/>
        </w:rPr>
        <w:t>注：本合同仅为合同的参考文本，合同签订双方可根据项目的具体要求进行修订，但不得偏离实质性条款。</w:t>
      </w:r>
    </w:p>
    <w:p>
      <w:pPr>
        <w:spacing w:before="156" w:beforeLines="50" w:after="156" w:afterLines="50" w:line="360" w:lineRule="auto"/>
        <w:jc w:val="center"/>
        <w:rPr>
          <w:rFonts w:hint="eastAsia" w:ascii="宋体" w:hAnsi="宋体"/>
          <w:b/>
          <w:spacing w:val="12"/>
          <w:sz w:val="28"/>
          <w:szCs w:val="28"/>
        </w:rPr>
      </w:pPr>
    </w:p>
    <w:p>
      <w:pPr>
        <w:rPr>
          <w:rFonts w:hint="eastAsia" w:ascii="华文中宋" w:hAnsi="华文中宋" w:eastAsia="华文中宋" w:cs="华文中宋"/>
          <w:sz w:val="52"/>
          <w:szCs w:val="52"/>
        </w:rPr>
        <w:sectPr>
          <w:footerReference r:id="rId4" w:type="first"/>
          <w:footerReference r:id="rId3" w:type="default"/>
          <w:pgSz w:w="11907" w:h="16840"/>
          <w:pgMar w:top="1134" w:right="1134" w:bottom="851" w:left="1134" w:header="851" w:footer="567" w:gutter="340"/>
          <w:pgNumType w:fmt="decimal" w:start="1"/>
          <w:cols w:space="720" w:num="1"/>
          <w:docGrid w:type="linesAndChars" w:linePitch="312" w:charSpace="0"/>
        </w:sectPr>
      </w:pPr>
    </w:p>
    <w:p>
      <w:pPr>
        <w:spacing w:line="500" w:lineRule="exact"/>
        <w:jc w:val="center"/>
        <w:rPr>
          <w:rFonts w:hint="eastAsia" w:ascii="宋体" w:hAnsi="宋体"/>
          <w:b/>
          <w:bCs/>
          <w:color w:val="000000"/>
          <w:sz w:val="32"/>
        </w:rPr>
      </w:pPr>
      <w:r>
        <w:rPr>
          <w:rFonts w:hint="eastAsia" w:ascii="宋体" w:hAnsi="宋体"/>
          <w:b/>
          <w:bCs/>
          <w:color w:val="000000"/>
          <w:sz w:val="32"/>
        </w:rPr>
        <w:t>第一部分    建设工程委托监理合同</w:t>
      </w:r>
    </w:p>
    <w:p>
      <w:pPr>
        <w:wordWrap w:val="0"/>
        <w:spacing w:line="240" w:lineRule="atLeast"/>
        <w:jc w:val="right"/>
        <w:rPr>
          <w:rFonts w:hint="eastAsia" w:ascii="宋体" w:hAnsi="宋体"/>
          <w:color w:val="000000"/>
        </w:rPr>
      </w:pPr>
    </w:p>
    <w:p>
      <w:pPr>
        <w:pStyle w:val="9"/>
        <w:spacing w:before="145" w:beforeLines="50" w:after="145" w:afterLines="50" w:line="360" w:lineRule="exact"/>
        <w:ind w:firstLine="430" w:firstLineChars="200"/>
        <w:jc w:val="left"/>
        <w:rPr>
          <w:rFonts w:hint="eastAsia" w:ascii="宋体" w:hAnsi="宋体"/>
          <w:bCs/>
        </w:rPr>
      </w:pPr>
      <w:r>
        <w:rPr>
          <w:rFonts w:hint="eastAsia" w:ascii="宋体" w:hAnsi="宋体"/>
        </w:rPr>
        <w:t>委托人</w:t>
      </w:r>
      <w:r>
        <w:rPr>
          <w:rFonts w:hint="eastAsia" w:ascii="宋体" w:hAnsi="宋体"/>
          <w:u w:val="single"/>
        </w:rPr>
        <w:t xml:space="preserve"> 中山大学孙逸仙纪念医院 </w:t>
      </w:r>
      <w:r>
        <w:rPr>
          <w:rFonts w:hint="eastAsia" w:ascii="宋体" w:hAnsi="宋体"/>
        </w:rPr>
        <w:t>与监理人</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rPr>
        <w:t>经双方协商一致，签订本协议。</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委托人委托监理人监理的工程（以下简称“本工程”）概况如下：</w:t>
      </w:r>
    </w:p>
    <w:p>
      <w:pPr>
        <w:tabs>
          <w:tab w:val="left" w:pos="1260"/>
        </w:tabs>
        <w:spacing w:before="145" w:beforeLines="50" w:after="145" w:afterLines="50" w:line="360" w:lineRule="exact"/>
        <w:ind w:left="601" w:firstLine="430" w:firstLineChars="200"/>
        <w:rPr>
          <w:rFonts w:hint="eastAsia" w:ascii="宋体" w:hAnsi="宋体"/>
        </w:rPr>
      </w:pPr>
      <w:r>
        <w:rPr>
          <w:rFonts w:hint="eastAsia" w:ascii="宋体" w:hAnsi="宋体"/>
        </w:rPr>
        <w:t>工程名称：北院区检验科小教堂屋盖结构加固工程（即：广州市文物局【文物20250414号】批复的“孙逸仙博士开始学医及革命运动策源地”纪念碑之教堂修缮工程 ）</w:t>
      </w:r>
    </w:p>
    <w:p>
      <w:pPr>
        <w:pStyle w:val="9"/>
        <w:spacing w:line="360" w:lineRule="exact"/>
        <w:ind w:firstLine="601"/>
        <w:jc w:val="left"/>
        <w:rPr>
          <w:rFonts w:hint="eastAsia" w:ascii="宋体" w:hAnsi="宋体"/>
        </w:rPr>
      </w:pPr>
      <w:r>
        <w:rPr>
          <w:rFonts w:hint="eastAsia" w:ascii="宋体" w:hAnsi="宋体"/>
        </w:rPr>
        <w:t>工程地点：</w:t>
      </w:r>
      <w:r>
        <w:rPr>
          <w:rFonts w:hint="eastAsia" w:ascii="宋体" w:hAnsi="宋体" w:cs="宋体"/>
          <w:kern w:val="0"/>
          <w:u w:val="single"/>
        </w:rPr>
        <w:t>广州市越秀区沿江西路107号</w:t>
      </w:r>
    </w:p>
    <w:p>
      <w:pPr>
        <w:pStyle w:val="9"/>
        <w:spacing w:line="360" w:lineRule="exact"/>
        <w:ind w:firstLine="601"/>
        <w:jc w:val="left"/>
        <w:rPr>
          <w:rFonts w:hint="eastAsia" w:ascii="宋体" w:hAnsi="宋体"/>
          <w:kern w:val="0"/>
        </w:rPr>
      </w:pPr>
      <w:r>
        <w:rPr>
          <w:rFonts w:hint="eastAsia" w:ascii="宋体" w:hAnsi="宋体"/>
        </w:rPr>
        <w:t>工程造价：约</w:t>
      </w:r>
      <w:r>
        <w:rPr>
          <w:rFonts w:hint="eastAsia" w:ascii="宋体" w:hAnsi="宋体"/>
          <w:kern w:val="0"/>
        </w:rPr>
        <w:t>115万元</w:t>
      </w:r>
    </w:p>
    <w:p>
      <w:pPr>
        <w:pStyle w:val="9"/>
        <w:spacing w:line="360" w:lineRule="exact"/>
        <w:ind w:firstLine="601"/>
        <w:jc w:val="left"/>
        <w:rPr>
          <w:rFonts w:hint="eastAsia" w:ascii="宋体" w:hAnsi="宋体"/>
          <w:kern w:val="0"/>
        </w:rPr>
      </w:pPr>
      <w:r>
        <w:rPr>
          <w:rFonts w:hint="eastAsia" w:ascii="宋体" w:hAnsi="宋体"/>
          <w:kern w:val="0"/>
        </w:rPr>
        <w:t>工程监理费：         元（大写：                  ）</w:t>
      </w:r>
    </w:p>
    <w:p>
      <w:pPr>
        <w:pStyle w:val="9"/>
        <w:spacing w:line="360" w:lineRule="exact"/>
        <w:ind w:firstLine="601"/>
        <w:jc w:val="left"/>
        <w:rPr>
          <w:rFonts w:hint="eastAsia" w:ascii="宋体" w:hAnsi="宋体"/>
        </w:rPr>
      </w:pPr>
      <w:r>
        <w:rPr>
          <w:rFonts w:hint="eastAsia" w:ascii="宋体" w:hAnsi="宋体"/>
        </w:rPr>
        <w:t>资金来源：</w:t>
      </w:r>
      <w:r>
        <w:rPr>
          <w:rFonts w:hint="eastAsia" w:ascii="宋体" w:hAnsi="宋体"/>
          <w:u w:val="single"/>
        </w:rPr>
        <w:t>自筹资金</w:t>
      </w:r>
      <w:r>
        <w:rPr>
          <w:rFonts w:hint="eastAsia" w:ascii="宋体" w:hAnsi="宋体"/>
        </w:rPr>
        <w:t>。</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项目监理范围：</w:t>
      </w:r>
    </w:p>
    <w:p>
      <w:pPr>
        <w:spacing w:line="500" w:lineRule="atLeast"/>
        <w:ind w:firstLine="577" w:firstLineChars="236"/>
        <w:jc w:val="left"/>
        <w:rPr>
          <w:rFonts w:hint="eastAsia" w:ascii="宋体" w:hAnsi="宋体" w:cs="宋体"/>
          <w:sz w:val="24"/>
          <w:highlight w:val="yellow"/>
        </w:rPr>
      </w:pPr>
      <w:r>
        <w:rPr>
          <w:rFonts w:hint="eastAsia" w:ascii="宋体" w:hAnsi="宋体" w:cs="宋体"/>
          <w:sz w:val="24"/>
          <w:highlight w:val="none"/>
        </w:rPr>
        <w:t>提供中山大学孙逸仙纪念医院北院区检验科小教堂屋盖结构加固工程（即：广州市文物局【文物20250414号】批复的“孙逸仙博士开始学医及革命运动策源地”纪念碑之教堂修缮工程 ）项目的全过程监理服务，包括但不限于文物修缮等专业</w:t>
      </w:r>
      <w:r>
        <w:rPr>
          <w:rFonts w:hint="eastAsia" w:ascii="宋体" w:hAnsi="宋体" w:cs="宋体"/>
          <w:sz w:val="24"/>
          <w:highlight w:val="none"/>
          <w:lang w:eastAsia="zh-CN"/>
        </w:rPr>
        <w:t>的</w:t>
      </w:r>
      <w:r>
        <w:rPr>
          <w:rFonts w:hint="eastAsia" w:ascii="宋体" w:hAnsi="宋体" w:cs="宋体"/>
          <w:sz w:val="24"/>
          <w:highlight w:val="none"/>
        </w:rPr>
        <w:t>质量管理、工期管理、投资管理、工程保修等全过程监理服务。</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本合同中的有关词语含义与本协议第二部分《标准条件》中赋予它们的定义相同。</w:t>
      </w:r>
    </w:p>
    <w:p>
      <w:pPr>
        <w:numPr>
          <w:ilvl w:val="0"/>
          <w:numId w:val="3"/>
        </w:numPr>
        <w:tabs>
          <w:tab w:val="left" w:pos="1276"/>
          <w:tab w:val="clear" w:pos="1200"/>
        </w:tabs>
        <w:spacing w:before="145" w:beforeLines="50" w:after="145" w:afterLines="50" w:line="360" w:lineRule="auto"/>
        <w:ind w:left="0" w:firstLine="567"/>
        <w:rPr>
          <w:rFonts w:hint="eastAsia" w:ascii="宋体" w:hAnsi="宋体" w:cs="宋体"/>
          <w:sz w:val="24"/>
        </w:rPr>
      </w:pPr>
      <w:r>
        <w:rPr>
          <w:rFonts w:hint="eastAsia" w:ascii="宋体" w:hAnsi="宋体" w:cs="宋体"/>
          <w:sz w:val="24"/>
        </w:rPr>
        <w:t>下列组成本合同的文件是一个同整体，彼此应当能相互解释，互为说明。当出现相互矛盾时，组成本合同文件的优先解释顺序如下：</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1.本合同履行期间发包人与监理人双方签订的补充合同（协议）或修正文件；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2.本合同协议书；</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3.委托人和监理人谈判过程资料；</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4.本合同《专用条件》；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5.本合同《标准条件》；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6.采购文件/需求书/议价文件（含工程量清单及编制说明、采购文件补充文件、澄清文件、答疑文件等）；</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7.报价文件及其附件（含报价文件澄清等）；</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8.发包人针对本工程建设管理的各项制度、规定；</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9.标准、规范及有关技术文件；</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10.图纸；</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11.监理人向委托人提交的监理人员架构；</w:t>
      </w:r>
    </w:p>
    <w:p>
      <w:pPr>
        <w:tabs>
          <w:tab w:val="left" w:pos="1260"/>
        </w:tabs>
        <w:spacing w:before="145" w:beforeLines="50" w:after="145" w:afterLines="50" w:line="360" w:lineRule="exact"/>
        <w:ind w:left="601"/>
        <w:rPr>
          <w:rFonts w:hint="eastAsia" w:ascii="宋体" w:hAnsi="宋体"/>
          <w:color w:val="000000"/>
          <w:sz w:val="24"/>
        </w:rPr>
      </w:pPr>
      <w:r>
        <w:rPr>
          <w:rFonts w:hint="eastAsia" w:ascii="宋体" w:hAnsi="宋体"/>
          <w:color w:val="000000"/>
          <w:sz w:val="24"/>
        </w:rPr>
        <w:t>12.组成合同的其他文件。</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监理人向委托人承诺，按照本合同的规定，承担本合同专用条件中议定范围内的监理业务。</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委托人向监理人承诺按照本合同注明的期限、方式、币种，向监理人支付酬金。</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本合同自委托人和监理人合同签字盖章生效之日起开始实施，到本项目结束(包括完成监理合同规定的全部监理服务工作)止。</w:t>
      </w:r>
    </w:p>
    <w:p>
      <w:pPr>
        <w:numPr>
          <w:ilvl w:val="0"/>
          <w:numId w:val="3"/>
        </w:numPr>
        <w:tabs>
          <w:tab w:val="left" w:pos="1260"/>
        </w:tabs>
        <w:spacing w:before="145" w:beforeLines="50" w:after="145" w:afterLines="50" w:line="360" w:lineRule="exact"/>
        <w:ind w:left="0" w:firstLine="601"/>
        <w:rPr>
          <w:rFonts w:hint="eastAsia" w:ascii="宋体" w:hAnsi="宋体"/>
          <w:color w:val="000000"/>
          <w:sz w:val="24"/>
        </w:rPr>
      </w:pPr>
      <w:r>
        <w:rPr>
          <w:rFonts w:hint="eastAsia" w:ascii="宋体" w:hAnsi="宋体"/>
          <w:color w:val="000000"/>
          <w:sz w:val="24"/>
        </w:rPr>
        <w:t>本合同一式</w:t>
      </w:r>
      <w:r>
        <w:rPr>
          <w:rFonts w:hint="eastAsia" w:ascii="宋体" w:hAnsi="宋体"/>
          <w:color w:val="000000"/>
          <w:sz w:val="24"/>
          <w:u w:val="single"/>
        </w:rPr>
        <w:t>伍</w:t>
      </w:r>
      <w:r>
        <w:rPr>
          <w:rFonts w:hint="eastAsia" w:ascii="宋体" w:hAnsi="宋体"/>
          <w:color w:val="000000"/>
          <w:sz w:val="24"/>
        </w:rPr>
        <w:t>份，委托人执</w:t>
      </w:r>
      <w:r>
        <w:rPr>
          <w:rFonts w:hint="eastAsia" w:ascii="宋体" w:hAnsi="宋体"/>
          <w:color w:val="000000"/>
          <w:sz w:val="24"/>
          <w:u w:val="single"/>
        </w:rPr>
        <w:t>叁</w:t>
      </w:r>
      <w:r>
        <w:rPr>
          <w:rFonts w:ascii="宋体" w:hAnsi="宋体"/>
          <w:color w:val="000000"/>
          <w:sz w:val="24"/>
        </w:rPr>
        <w:t>份，</w:t>
      </w:r>
      <w:r>
        <w:rPr>
          <w:rFonts w:hint="eastAsia" w:ascii="宋体" w:hAnsi="宋体"/>
          <w:color w:val="000000"/>
          <w:sz w:val="24"/>
        </w:rPr>
        <w:t>监理人</w:t>
      </w:r>
      <w:r>
        <w:rPr>
          <w:rFonts w:ascii="宋体" w:hAnsi="宋体"/>
          <w:color w:val="000000"/>
          <w:sz w:val="24"/>
        </w:rPr>
        <w:t>执</w:t>
      </w:r>
      <w:r>
        <w:rPr>
          <w:rFonts w:ascii="宋体" w:hAnsi="宋体"/>
          <w:color w:val="000000"/>
          <w:sz w:val="24"/>
          <w:u w:val="single"/>
        </w:rPr>
        <w:t>贰</w:t>
      </w:r>
      <w:r>
        <w:rPr>
          <w:rFonts w:ascii="宋体" w:hAnsi="宋体"/>
          <w:color w:val="000000"/>
          <w:sz w:val="24"/>
        </w:rPr>
        <w:t>份</w:t>
      </w:r>
      <w:r>
        <w:rPr>
          <w:rFonts w:hint="eastAsia" w:ascii="宋体" w:hAnsi="宋体"/>
          <w:color w:val="000000"/>
          <w:sz w:val="24"/>
        </w:rPr>
        <w:t>。</w:t>
      </w: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p>
    <w:p>
      <w:pPr>
        <w:spacing w:before="145" w:beforeLines="50" w:after="145" w:afterLines="50"/>
        <w:jc w:val="center"/>
        <w:rPr>
          <w:rFonts w:hint="eastAsia" w:ascii="宋体" w:hAnsi="宋体"/>
          <w:b/>
          <w:color w:val="000000"/>
          <w:sz w:val="32"/>
          <w:szCs w:val="32"/>
        </w:rPr>
      </w:pPr>
      <w:r>
        <w:rPr>
          <w:rFonts w:hint="eastAsia" w:ascii="宋体" w:hAnsi="宋体"/>
          <w:b/>
          <w:color w:val="000000"/>
          <w:sz w:val="32"/>
          <w:szCs w:val="32"/>
        </w:rPr>
        <w:t>第二部分  标准条件</w:t>
      </w:r>
    </w:p>
    <w:p>
      <w:pPr>
        <w:jc w:val="center"/>
        <w:rPr>
          <w:rFonts w:hint="eastAsia" w:ascii="宋体" w:hAnsi="宋体"/>
          <w:color w:val="000000"/>
          <w:sz w:val="28"/>
          <w:szCs w:val="28"/>
        </w:rPr>
      </w:pPr>
      <w:r>
        <w:rPr>
          <w:rFonts w:hint="eastAsia" w:ascii="宋体" w:hAnsi="宋体"/>
          <w:b/>
          <w:color w:val="000000"/>
          <w:sz w:val="28"/>
          <w:szCs w:val="28"/>
        </w:rPr>
        <w:t>词语定义、适用范围和法规</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第一条</w:t>
      </w:r>
      <w:r>
        <w:rPr>
          <w:rFonts w:hint="eastAsia" w:ascii="宋体" w:hAnsi="宋体"/>
          <w:color w:val="000000"/>
          <w:sz w:val="24"/>
        </w:rPr>
        <w:t>　下列名词和用语，除上下文另有规定外，有如下含义：</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w:t>
      </w:r>
      <w:r>
        <w:rPr>
          <w:rFonts w:hint="eastAsia" w:ascii="宋体" w:hAnsi="宋体"/>
          <w:color w:val="000000"/>
          <w:sz w:val="24"/>
          <w:szCs w:val="28"/>
        </w:rPr>
        <w:t>）“工程”是指委托人委托实施监理的工程。</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2</w:t>
      </w:r>
      <w:r>
        <w:rPr>
          <w:rFonts w:hint="eastAsia" w:ascii="宋体" w:hAnsi="宋体"/>
          <w:color w:val="000000"/>
          <w:sz w:val="24"/>
          <w:szCs w:val="28"/>
        </w:rPr>
        <w:t>）“委托人”是指承担直接投资责任和委托监理业务的一方以及其合法继承人。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3</w:t>
      </w:r>
      <w:r>
        <w:rPr>
          <w:rFonts w:hint="eastAsia" w:ascii="宋体" w:hAnsi="宋体"/>
          <w:color w:val="000000"/>
          <w:sz w:val="24"/>
          <w:szCs w:val="28"/>
        </w:rPr>
        <w:t>）“监理人”是指承担监理业务和监理责任的一方，以及其合法继承人。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4</w:t>
      </w:r>
      <w:r>
        <w:rPr>
          <w:rFonts w:hint="eastAsia" w:ascii="宋体" w:hAnsi="宋体"/>
          <w:color w:val="000000"/>
          <w:sz w:val="24"/>
          <w:szCs w:val="28"/>
        </w:rPr>
        <w:t>）“监理机构”是指监理人派驻本工程现场实施监理业务的组织。</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5</w:t>
      </w:r>
      <w:r>
        <w:rPr>
          <w:rFonts w:hint="eastAsia" w:ascii="宋体" w:hAnsi="宋体"/>
          <w:color w:val="000000"/>
          <w:sz w:val="24"/>
          <w:szCs w:val="28"/>
        </w:rPr>
        <w:t>）“总监理工程师”是指经委托人同意，监理人派到监理机构全面履行本合同的全权负责人。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6</w:t>
      </w:r>
      <w:r>
        <w:rPr>
          <w:rFonts w:hint="eastAsia" w:ascii="宋体" w:hAnsi="宋体"/>
          <w:color w:val="000000"/>
          <w:sz w:val="24"/>
          <w:szCs w:val="28"/>
        </w:rPr>
        <w:t>）“承包人”是指除监理人以外，委托人就工程建设有关事宜签订合同的当事人。</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7</w:t>
      </w:r>
      <w:r>
        <w:rPr>
          <w:rFonts w:hint="eastAsia" w:ascii="宋体" w:hAnsi="宋体"/>
          <w:color w:val="000000"/>
          <w:sz w:val="24"/>
          <w:szCs w:val="28"/>
        </w:rPr>
        <w:t>）“工程监理的正常工作”是指双方在专用条件中约定，委托人委托的监理工作范围和内容。</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8</w:t>
      </w:r>
      <w:r>
        <w:rPr>
          <w:rFonts w:hint="eastAsia" w:ascii="宋体" w:hAnsi="宋体"/>
          <w:color w:val="000000"/>
          <w:sz w:val="24"/>
          <w:szCs w:val="28"/>
        </w:rPr>
        <w:t>）“工程监理的附加工作”是指：①委托人委托监理范围以外，通过双方书面协议另外增加的工作内容；②由于委托人或承包人原因，使监理工作受到阻碍或延误，因增加工作量或持续时间而增加的工作。</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9</w:t>
      </w:r>
      <w:r>
        <w:rPr>
          <w:rFonts w:hint="eastAsia" w:ascii="宋体" w:hAnsi="宋体"/>
          <w:color w:val="000000"/>
          <w:sz w:val="24"/>
          <w:szCs w:val="28"/>
        </w:rPr>
        <w:t>）“工程监理的额外工作”是指正常工作和附加工作以外，根据第三十八条规定监理人必须完成的工作，或非监理人自己的原因而暂停或终止监理业务，其善后工作及恢复监理业务的工作。</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10</w:t>
      </w:r>
      <w:r>
        <w:rPr>
          <w:rFonts w:hint="eastAsia" w:ascii="宋体" w:hAnsi="宋体"/>
          <w:color w:val="000000"/>
          <w:sz w:val="24"/>
          <w:szCs w:val="28"/>
        </w:rPr>
        <w:t>）“日”是指任何一天零时至第二天零时的时间段。</w:t>
      </w:r>
    </w:p>
    <w:p>
      <w:pPr>
        <w:spacing w:line="360" w:lineRule="exact"/>
        <w:ind w:firstLine="477" w:firstLineChars="195"/>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11</w:t>
      </w:r>
      <w:r>
        <w:rPr>
          <w:rFonts w:hint="eastAsia" w:ascii="宋体" w:hAnsi="宋体"/>
          <w:color w:val="000000"/>
          <w:sz w:val="24"/>
          <w:szCs w:val="28"/>
        </w:rPr>
        <w:t>）“月”是指根据公历从一个月份中任何一天开始到下一个月相应日期的前一天的时间段。</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第二条</w:t>
      </w:r>
      <w:r>
        <w:rPr>
          <w:rFonts w:hint="eastAsia" w:ascii="宋体" w:hAnsi="宋体"/>
          <w:color w:val="000000"/>
          <w:sz w:val="24"/>
        </w:rPr>
        <w:t>　建设工程委托监理合同适用的法律是指国家的法律、行政法规，以及专用条件中议定的部门规章或工程所在地的地方法规、地方规章。</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第三条</w:t>
      </w:r>
      <w:r>
        <w:rPr>
          <w:rFonts w:hint="eastAsia" w:ascii="宋体" w:hAnsi="宋体"/>
          <w:color w:val="000000"/>
          <w:sz w:val="24"/>
        </w:rPr>
        <w:t>　本合同文件使用汉语语言文字书写、解释和说明。如专用条件约定使用两种以上（含两种）语言文字时，汉语应为解释和说明本合同的标准语言文字。</w:t>
      </w:r>
    </w:p>
    <w:p>
      <w:pPr>
        <w:jc w:val="center"/>
        <w:rPr>
          <w:rFonts w:hint="eastAsia" w:ascii="宋体" w:hAnsi="宋体"/>
          <w:b/>
          <w:color w:val="000000"/>
          <w:sz w:val="28"/>
          <w:szCs w:val="28"/>
        </w:rPr>
      </w:pPr>
      <w:r>
        <w:rPr>
          <w:rFonts w:hint="eastAsia" w:ascii="宋体" w:hAnsi="宋体"/>
          <w:b/>
          <w:color w:val="000000"/>
          <w:sz w:val="28"/>
          <w:szCs w:val="28"/>
        </w:rPr>
        <w:t>监理人义务</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第四条</w:t>
      </w:r>
      <w:r>
        <w:rPr>
          <w:rFonts w:hint="eastAsia" w:ascii="宋体" w:hAnsi="宋体"/>
          <w:color w:val="000000"/>
          <w:sz w:val="24"/>
        </w:rPr>
        <w:t>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第五条</w:t>
      </w:r>
      <w:r>
        <w:rPr>
          <w:rFonts w:hint="eastAsia" w:ascii="宋体" w:hAnsi="宋体"/>
          <w:color w:val="000000"/>
          <w:sz w:val="24"/>
        </w:rPr>
        <w:t>　监理人在履行本合同的义务期间，应认真、勤奋地工作，为委托人提供与其水平相适应的咨询意见，公正维护各方面的合法权益。</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第六条</w:t>
      </w:r>
      <w:r>
        <w:rPr>
          <w:rFonts w:hint="eastAsia" w:ascii="宋体" w:hAnsi="宋体"/>
          <w:color w:val="000000"/>
          <w:sz w:val="24"/>
        </w:rPr>
        <w:t>　监理人使用委托人提供的设施和物品属委托人的财产。在监理工作完成或中止时，应将其设施和剩余的物品按合同约定的时间和方式移交给委托人。</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第七条</w:t>
      </w:r>
      <w:r>
        <w:rPr>
          <w:rFonts w:hint="eastAsia" w:ascii="宋体" w:hAnsi="宋体"/>
          <w:color w:val="000000"/>
          <w:sz w:val="24"/>
        </w:rPr>
        <w:t>　在合同期内或合同终止后，未征得有关方同意，不得泄露与本工程、本合同业务有关的保密资料。</w:t>
      </w:r>
    </w:p>
    <w:p>
      <w:pPr>
        <w:jc w:val="center"/>
        <w:rPr>
          <w:rFonts w:hint="eastAsia" w:ascii="宋体" w:hAnsi="宋体"/>
          <w:b/>
          <w:color w:val="000000"/>
          <w:sz w:val="28"/>
          <w:szCs w:val="28"/>
        </w:rPr>
      </w:pPr>
      <w:r>
        <w:rPr>
          <w:rFonts w:hint="eastAsia" w:ascii="宋体" w:hAnsi="宋体"/>
          <w:b/>
          <w:color w:val="000000"/>
          <w:sz w:val="28"/>
          <w:szCs w:val="28"/>
        </w:rPr>
        <w:t>委托人义务</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第八条</w:t>
      </w:r>
      <w:r>
        <w:rPr>
          <w:rFonts w:hint="eastAsia" w:ascii="宋体" w:hAnsi="宋体"/>
          <w:color w:val="000000"/>
          <w:sz w:val="24"/>
        </w:rPr>
        <w:t>　委托人在监理人开展监理业务之前应向监理人支付规定合理的预付款。</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第九条</w:t>
      </w:r>
      <w:r>
        <w:rPr>
          <w:rFonts w:hint="eastAsia" w:ascii="宋体" w:hAnsi="宋体"/>
          <w:color w:val="000000"/>
          <w:sz w:val="24"/>
        </w:rPr>
        <w:t>　委托人应当负责工程建设的所有外部关系的协调，为监理工作提供外部条件。根据需要，如将部分或全部协调工作委托监理人承担，则应在专用条件中明确委托的工作和相应的报酬。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第十条</w:t>
      </w:r>
      <w:r>
        <w:rPr>
          <w:rFonts w:hint="eastAsia" w:ascii="宋体" w:hAnsi="宋体"/>
          <w:color w:val="000000"/>
          <w:sz w:val="24"/>
        </w:rPr>
        <w:t>　委托人应当在双方约定的时间内向监理人提供与工程有关的为监理工作所需要的工程资料。</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第十一条</w:t>
      </w:r>
      <w:r>
        <w:rPr>
          <w:rFonts w:hint="eastAsia" w:ascii="宋体" w:hAnsi="宋体"/>
          <w:color w:val="000000"/>
          <w:sz w:val="24"/>
        </w:rPr>
        <w:t>　委托人应当在专用条款约定的时间内就监理人书面提交并要求作出决定的一切事宜作出书面决定。</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第十二条</w:t>
      </w:r>
      <w:r>
        <w:rPr>
          <w:rFonts w:hint="eastAsia" w:ascii="宋体" w:hAnsi="宋体"/>
          <w:color w:val="000000"/>
          <w:sz w:val="24"/>
        </w:rPr>
        <w:t>　委托人应当授权一名熟悉工程情况、能在规定时间内作出决定的常驻代表（在专用条款中约定），负责与监理人联系。更换常驻代表，要提前通知监理人。</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第十三条</w:t>
      </w:r>
      <w:r>
        <w:rPr>
          <w:rFonts w:hint="eastAsia" w:ascii="宋体" w:hAnsi="宋体"/>
          <w:color w:val="000000"/>
          <w:sz w:val="24"/>
        </w:rPr>
        <w:t>　委托人应当将授予监理人的监理权利，以及监理人主要成员的职能分工、监理权限及时书面通知已选定的承包合同的承包人，并在与第三人签订的合同中予以明确。</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第十四条</w:t>
      </w:r>
      <w:r>
        <w:rPr>
          <w:rFonts w:hint="eastAsia" w:ascii="宋体" w:hAnsi="宋体"/>
          <w:color w:val="000000"/>
          <w:sz w:val="24"/>
        </w:rPr>
        <w:t>　委托人应在不影响监理人开展监理工作的时间内提供如下资料：</w:t>
      </w:r>
    </w:p>
    <w:p>
      <w:pPr>
        <w:spacing w:line="360" w:lineRule="exact"/>
        <w:ind w:firstLine="499" w:firstLineChars="204"/>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w:t>
      </w:r>
      <w:r>
        <w:rPr>
          <w:rFonts w:hint="eastAsia" w:ascii="宋体" w:hAnsi="宋体"/>
          <w:color w:val="000000"/>
          <w:sz w:val="24"/>
          <w:szCs w:val="28"/>
        </w:rPr>
        <w:t>）与本工程合作的原材料、构配件、机械设备等生产厂家名录。</w:t>
      </w:r>
    </w:p>
    <w:p>
      <w:pPr>
        <w:spacing w:line="360" w:lineRule="exact"/>
        <w:ind w:firstLine="499" w:firstLineChars="204"/>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2</w:t>
      </w:r>
      <w:r>
        <w:rPr>
          <w:rFonts w:hint="eastAsia" w:ascii="宋体" w:hAnsi="宋体"/>
          <w:color w:val="000000"/>
          <w:sz w:val="24"/>
          <w:szCs w:val="28"/>
        </w:rPr>
        <w:t>）提供与本工程有关的协作单位、配合单位的名录。</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第十五条</w:t>
      </w:r>
      <w:r>
        <w:rPr>
          <w:rFonts w:hint="eastAsia" w:ascii="宋体" w:hAnsi="宋体"/>
          <w:color w:val="000000"/>
          <w:sz w:val="24"/>
        </w:rPr>
        <w:t>　委托人应免费向监理人提供办公用房、工程必须必备的通讯设施、监理人员工地住房及合同专用条件约定的设施，对监理人自备的设施给予合理的经济补偿（补偿金额</w:t>
      </w:r>
      <w:r>
        <w:rPr>
          <w:rFonts w:ascii="宋体" w:hAnsi="宋体"/>
          <w:color w:val="000000"/>
          <w:sz w:val="24"/>
        </w:rPr>
        <w:t>=</w:t>
      </w:r>
      <w:r>
        <w:rPr>
          <w:rFonts w:hint="eastAsia" w:ascii="宋体" w:hAnsi="宋体"/>
          <w:color w:val="000000"/>
          <w:sz w:val="24"/>
        </w:rPr>
        <w:t>设施在工程使用时间占折旧年限的比例×设施原值十管理费）。</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第十六条　</w:t>
      </w:r>
      <w:r>
        <w:rPr>
          <w:rFonts w:hint="eastAsia" w:ascii="宋体" w:hAnsi="宋体"/>
          <w:color w:val="000000"/>
          <w:sz w:val="24"/>
        </w:rPr>
        <w:t>根据情况需要，如果双方约定，由委托人免费向监理人提供其他人员，应在监理合同专用条件中予以明确。</w:t>
      </w:r>
    </w:p>
    <w:p>
      <w:pPr>
        <w:spacing w:line="360" w:lineRule="auto"/>
        <w:jc w:val="center"/>
        <w:rPr>
          <w:rFonts w:hint="eastAsia" w:ascii="宋体" w:hAnsi="宋体"/>
          <w:color w:val="000000"/>
          <w:sz w:val="28"/>
          <w:szCs w:val="28"/>
        </w:rPr>
      </w:pPr>
      <w:r>
        <w:rPr>
          <w:rFonts w:hint="eastAsia" w:ascii="宋体" w:hAnsi="宋体"/>
          <w:b/>
          <w:color w:val="000000"/>
          <w:sz w:val="28"/>
          <w:szCs w:val="28"/>
        </w:rPr>
        <w:t>监理人权利</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b/>
          <w:color w:val="000000"/>
          <w:sz w:val="24"/>
        </w:rPr>
        <w:t>第十七条</w:t>
      </w:r>
      <w:r>
        <w:rPr>
          <w:rFonts w:hint="eastAsia" w:ascii="宋体" w:hAnsi="宋体"/>
          <w:color w:val="000000"/>
          <w:sz w:val="24"/>
        </w:rPr>
        <w:t>　监理人在委托人委托的工程范围内，享有以下权利：</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w:t>
      </w:r>
      <w:r>
        <w:rPr>
          <w:rFonts w:hint="eastAsia" w:ascii="宋体" w:hAnsi="宋体"/>
          <w:color w:val="000000"/>
          <w:sz w:val="24"/>
          <w:szCs w:val="28"/>
        </w:rPr>
        <w:t>）选择工程总承包人的建议权。</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2</w:t>
      </w:r>
      <w:r>
        <w:rPr>
          <w:rFonts w:hint="eastAsia" w:ascii="宋体" w:hAnsi="宋体"/>
          <w:color w:val="000000"/>
          <w:sz w:val="24"/>
          <w:szCs w:val="28"/>
        </w:rPr>
        <w:t>）选择工程分包人的认可权（需报送及经委托人同意）。</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3</w:t>
      </w:r>
      <w:r>
        <w:rPr>
          <w:rFonts w:hint="eastAsia" w:ascii="宋体" w:hAnsi="宋体"/>
          <w:color w:val="000000"/>
          <w:sz w:val="24"/>
          <w:szCs w:val="28"/>
        </w:rPr>
        <w:t>）对工程建设有关事项包括工程规模、设计标准、规划设计、生产工艺设计和使用功能要求，向委托人的建议权。</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4</w:t>
      </w:r>
      <w:r>
        <w:rPr>
          <w:rFonts w:hint="eastAsia" w:ascii="宋体" w:hAnsi="宋体"/>
          <w:color w:val="000000"/>
          <w:sz w:val="24"/>
          <w:szCs w:val="28"/>
        </w:rPr>
        <w:t>）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5</w:t>
      </w:r>
      <w:r>
        <w:rPr>
          <w:rFonts w:hint="eastAsia" w:ascii="宋体" w:hAnsi="宋体"/>
          <w:color w:val="000000"/>
          <w:sz w:val="24"/>
          <w:szCs w:val="28"/>
        </w:rPr>
        <w:t>）审批工程施工组织设计和技术方案，按照保质量、保工期和降低成本的原则，向承包人提出建议，并向委托人提出书面报告。</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6</w:t>
      </w:r>
      <w:r>
        <w:rPr>
          <w:rFonts w:hint="eastAsia" w:ascii="宋体" w:hAnsi="宋体"/>
          <w:color w:val="000000"/>
          <w:sz w:val="24"/>
          <w:szCs w:val="28"/>
        </w:rPr>
        <w:t>）主持工程建设有关协作单位的组织协调，重要协调事项应当事先向委托人报告。</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7</w:t>
      </w:r>
      <w:r>
        <w:rPr>
          <w:rFonts w:hint="eastAsia" w:ascii="宋体" w:hAnsi="宋体"/>
          <w:color w:val="000000"/>
          <w:sz w:val="24"/>
          <w:szCs w:val="28"/>
        </w:rPr>
        <w:t>）征得委托人同意，监理人有权发布开工令、停工令、复工令，但应当事先向委托人报告。如在紧急情况下未能事先报告时，则应在</w:t>
      </w:r>
      <w:r>
        <w:rPr>
          <w:rFonts w:ascii="宋体" w:hAnsi="宋体"/>
          <w:color w:val="000000"/>
          <w:sz w:val="24"/>
          <w:szCs w:val="28"/>
        </w:rPr>
        <w:t>24</w:t>
      </w:r>
      <w:r>
        <w:rPr>
          <w:rFonts w:hint="eastAsia" w:ascii="宋体" w:hAnsi="宋体"/>
          <w:color w:val="000000"/>
          <w:sz w:val="24"/>
          <w:szCs w:val="28"/>
        </w:rPr>
        <w:t>小时内向委托人作出书面报告。</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8</w:t>
      </w:r>
      <w:r>
        <w:rPr>
          <w:rFonts w:hint="eastAsia" w:ascii="宋体" w:hAnsi="宋体"/>
          <w:color w:val="000000"/>
          <w:sz w:val="24"/>
          <w:szCs w:val="28"/>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9</w:t>
      </w:r>
      <w:r>
        <w:rPr>
          <w:rFonts w:hint="eastAsia" w:ascii="宋体" w:hAnsi="宋体"/>
          <w:color w:val="000000"/>
          <w:sz w:val="24"/>
          <w:szCs w:val="28"/>
        </w:rPr>
        <w:t>）工程施工进度的检查、监督权，以及工程实际竣工日期提前或超过工程施工合同规定的竣工期限的签认权。</w:t>
      </w:r>
    </w:p>
    <w:p>
      <w:pPr>
        <w:spacing w:line="360" w:lineRule="exact"/>
        <w:ind w:firstLine="616" w:firstLineChars="252"/>
        <w:rPr>
          <w:rFonts w:hint="eastAsia" w:ascii="宋体" w:hAnsi="宋体"/>
          <w:color w:val="000000"/>
          <w:sz w:val="24"/>
          <w:szCs w:val="28"/>
        </w:rPr>
      </w:pPr>
      <w:r>
        <w:rPr>
          <w:rFonts w:hint="eastAsia" w:ascii="宋体" w:hAnsi="宋体"/>
          <w:color w:val="000000"/>
          <w:sz w:val="24"/>
          <w:szCs w:val="28"/>
        </w:rPr>
        <w:t>（</w:t>
      </w:r>
      <w:r>
        <w:rPr>
          <w:rFonts w:ascii="宋体" w:hAnsi="宋体"/>
          <w:color w:val="000000"/>
          <w:sz w:val="24"/>
          <w:szCs w:val="28"/>
        </w:rPr>
        <w:t>10</w:t>
      </w:r>
      <w:r>
        <w:rPr>
          <w:rFonts w:hint="eastAsia" w:ascii="宋体" w:hAnsi="宋体"/>
          <w:color w:val="000000"/>
          <w:sz w:val="24"/>
          <w:szCs w:val="28"/>
        </w:rPr>
        <w:t>）在工程施工合同约定的工程价格范围内，工程款支付的审核和签认权，以及工程结算的复核确认权与否决权。未经总监理工程师签字确认，委托人不支付工程款。</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　第十八条</w:t>
      </w:r>
      <w:r>
        <w:rPr>
          <w:rFonts w:hint="eastAsia" w:ascii="宋体" w:hAnsi="宋体"/>
          <w:color w:val="000000"/>
          <w:sz w:val="24"/>
        </w:rPr>
        <w:t>　监理人在委托人授权下，可对任何承包人合同规定的义务提出变更。如果由此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第十九条</w:t>
      </w:r>
      <w:r>
        <w:rPr>
          <w:rFonts w:hint="eastAsia" w:ascii="宋体" w:hAnsi="宋体"/>
          <w:color w:val="000000"/>
          <w:sz w:val="24"/>
        </w:rPr>
        <w:t>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360" w:lineRule="auto"/>
        <w:jc w:val="center"/>
        <w:rPr>
          <w:rFonts w:hint="eastAsia" w:ascii="宋体" w:hAnsi="宋体"/>
          <w:color w:val="000000"/>
          <w:sz w:val="28"/>
          <w:szCs w:val="28"/>
        </w:rPr>
      </w:pPr>
      <w:r>
        <w:rPr>
          <w:rFonts w:hint="eastAsia" w:ascii="宋体" w:hAnsi="宋体"/>
          <w:b/>
          <w:color w:val="000000"/>
          <w:sz w:val="28"/>
          <w:szCs w:val="28"/>
        </w:rPr>
        <w:t>委托人权利</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第二十条</w:t>
      </w:r>
      <w:r>
        <w:rPr>
          <w:rFonts w:hint="eastAsia" w:ascii="宋体" w:hAnsi="宋体"/>
          <w:color w:val="000000"/>
          <w:sz w:val="24"/>
        </w:rPr>
        <w:t>　委托人有选定工程总承包人，以及与其订立合同的权利。</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第二十一条</w:t>
      </w:r>
      <w:r>
        <w:rPr>
          <w:rFonts w:hint="eastAsia" w:ascii="宋体" w:hAnsi="宋体"/>
          <w:color w:val="000000"/>
          <w:sz w:val="24"/>
        </w:rPr>
        <w:t>　委托人有对工程规模、设计标准、规划设计、生产工艺设计和设计使用功能要求的认定权，以及对工程设计变更的审批权。</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第二十二条</w:t>
      </w:r>
      <w:r>
        <w:rPr>
          <w:rFonts w:hint="eastAsia" w:ascii="宋体" w:hAnsi="宋体"/>
          <w:color w:val="000000"/>
          <w:sz w:val="24"/>
        </w:rPr>
        <w:t>　监理人调换总监理工程师须事先经委托人同意。</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第二十三条</w:t>
      </w:r>
      <w:r>
        <w:rPr>
          <w:rFonts w:hint="eastAsia" w:ascii="宋体" w:hAnsi="宋体"/>
          <w:color w:val="000000"/>
          <w:sz w:val="24"/>
        </w:rPr>
        <w:t>　委托人有权要求监理人提交监理工作月报及监理业务范围内的专项报告。</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第二十四条</w:t>
      </w:r>
      <w:r>
        <w:rPr>
          <w:rFonts w:hint="eastAsia" w:ascii="宋体" w:hAnsi="宋体"/>
          <w:color w:val="000000"/>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360" w:lineRule="auto"/>
        <w:jc w:val="center"/>
        <w:rPr>
          <w:rFonts w:hint="eastAsia" w:ascii="宋体" w:hAnsi="宋体"/>
          <w:color w:val="000000"/>
          <w:sz w:val="28"/>
          <w:szCs w:val="28"/>
        </w:rPr>
      </w:pPr>
      <w:r>
        <w:rPr>
          <w:rFonts w:hint="eastAsia" w:ascii="宋体" w:hAnsi="宋体"/>
          <w:b/>
          <w:color w:val="000000"/>
          <w:sz w:val="28"/>
          <w:szCs w:val="28"/>
        </w:rPr>
        <w:t>监理人责任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第二十五条</w:t>
      </w:r>
      <w:r>
        <w:rPr>
          <w:rFonts w:hint="eastAsia" w:ascii="宋体" w:hAnsi="宋体"/>
          <w:color w:val="000000"/>
          <w:sz w:val="24"/>
        </w:rPr>
        <w:t>　监理人的责任期即委托监理合同有效期。在监理过程中，对工程质量、进度等监理职责负责；如果因工程建设进度的推迟或延误而超过书面约定的日期，双方应进一步约定相应延长的合同期。</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　第二十六条</w:t>
      </w:r>
      <w:r>
        <w:rPr>
          <w:rFonts w:hint="eastAsia" w:ascii="宋体" w:hAnsi="宋体"/>
          <w:color w:val="000000"/>
          <w:sz w:val="24"/>
        </w:rPr>
        <w:t>　监理人在责任期内，应当履行约定的义务，如果因监理人过失而造成了委托人的经济损失，应当向委托人赔偿。累计赔偿总额（除本合同第二十四条规定以外）不应超过监理报酬总额（除去税金）。</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第二十七条</w:t>
      </w:r>
      <w:r>
        <w:rPr>
          <w:rFonts w:hint="eastAsia" w:ascii="宋体" w:hAnsi="宋体"/>
          <w:color w:val="000000"/>
          <w:sz w:val="24"/>
        </w:rPr>
        <w:t>　监理人对承包人违反合同规定的完工（交图、交货）时限，不承担责任。因不可抗力导致委托监理合同不能全部或部分履行，监理人不承担责任。但对违反第五条规定引起的与之有关的事宜，向委托人承担赔偿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第二十八条</w:t>
      </w:r>
      <w:r>
        <w:rPr>
          <w:rFonts w:hint="eastAsia" w:ascii="宋体" w:hAnsi="宋体"/>
          <w:color w:val="000000"/>
          <w:sz w:val="24"/>
        </w:rPr>
        <w:t>　监理人向委托人提出赔偿要求不能成立时，监理人应当补偿由于该索赔所导致委托人的各种费用支出。</w:t>
      </w:r>
    </w:p>
    <w:p>
      <w:pPr>
        <w:spacing w:line="360" w:lineRule="auto"/>
        <w:jc w:val="center"/>
        <w:rPr>
          <w:rFonts w:hint="eastAsia" w:ascii="宋体" w:hAnsi="宋体"/>
          <w:color w:val="000000"/>
          <w:sz w:val="28"/>
          <w:szCs w:val="28"/>
        </w:rPr>
      </w:pPr>
      <w:r>
        <w:rPr>
          <w:rFonts w:hint="eastAsia" w:ascii="宋体" w:hAnsi="宋体"/>
          <w:b/>
          <w:color w:val="000000"/>
          <w:sz w:val="28"/>
          <w:szCs w:val="28"/>
        </w:rPr>
        <w:t>委托人责任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第二十九条</w:t>
      </w:r>
      <w:r>
        <w:rPr>
          <w:rFonts w:hint="eastAsia" w:ascii="宋体" w:hAnsi="宋体"/>
          <w:color w:val="000000"/>
          <w:sz w:val="24"/>
        </w:rPr>
        <w:t>　委托人应当履行委托监理合同约定的义务，如有违反则应当承担违约责任，赔偿给监理人造成的经济损失。监理人处理委托业务时，因非监理人原因的事由受到损失的，可以向委托人要求补偿损失。</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第三十条</w:t>
      </w:r>
      <w:r>
        <w:rPr>
          <w:rFonts w:hint="eastAsia" w:ascii="宋体" w:hAnsi="宋体"/>
          <w:color w:val="000000"/>
          <w:sz w:val="24"/>
        </w:rPr>
        <w:t>　委托人如果向监理人提出赔偿的要求不能成立，则应当补偿由该索赔所引起的监理人的各种费用支出。</w:t>
      </w:r>
    </w:p>
    <w:p>
      <w:pPr>
        <w:spacing w:line="360" w:lineRule="auto"/>
        <w:jc w:val="center"/>
        <w:rPr>
          <w:rFonts w:hint="eastAsia" w:ascii="宋体" w:hAnsi="宋体"/>
          <w:color w:val="000000"/>
          <w:sz w:val="28"/>
          <w:szCs w:val="28"/>
        </w:rPr>
      </w:pPr>
      <w:r>
        <w:rPr>
          <w:rFonts w:hint="eastAsia" w:ascii="宋体" w:hAnsi="宋体"/>
          <w:b/>
          <w:color w:val="000000"/>
          <w:sz w:val="28"/>
          <w:szCs w:val="28"/>
        </w:rPr>
        <w:t>合同生效、变更与终止</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第三十一条</w:t>
      </w:r>
      <w:r>
        <w:rPr>
          <w:rFonts w:hint="eastAsia" w:ascii="宋体" w:hAnsi="宋体"/>
          <w:color w:val="000000"/>
          <w:sz w:val="24"/>
        </w:rPr>
        <w:t>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第三十二条</w:t>
      </w:r>
      <w:r>
        <w:rPr>
          <w:rFonts w:hint="eastAsia" w:ascii="宋体" w:hAnsi="宋体"/>
          <w:color w:val="000000"/>
          <w:sz w:val="24"/>
        </w:rPr>
        <w:t>　在委托监理合同签订后，实际情况发生变化，使得监理人不能全部或部分执行监理业务时，监理人应当立即通知委托人。该监理业务的完成时间应予延长。当恢复执行监理业务时，应当增加不超过</w:t>
      </w:r>
      <w:r>
        <w:rPr>
          <w:rFonts w:ascii="宋体" w:hAnsi="宋体"/>
          <w:color w:val="000000"/>
          <w:sz w:val="24"/>
        </w:rPr>
        <w:t>42</w:t>
      </w:r>
      <w:r>
        <w:rPr>
          <w:rFonts w:hint="eastAsia" w:ascii="宋体" w:hAnsi="宋体"/>
          <w:color w:val="000000"/>
          <w:sz w:val="24"/>
        </w:rPr>
        <w:t>日的时间用于恢复执行监理业务，并按双方约定的数量支付监理报酬。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第三十三条</w:t>
      </w:r>
      <w:r>
        <w:rPr>
          <w:rFonts w:hint="eastAsia" w:ascii="宋体" w:hAnsi="宋体"/>
          <w:color w:val="000000"/>
          <w:sz w:val="24"/>
        </w:rPr>
        <w:t>　监理人向委托人办理完竣工验收或工程移交手续，承包人和委托人已签订工程保修责任书，监理人收到监理报酬尾款，本合同即终止。保修期间的责任，双方在专用条款中约定。</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第三十四条</w:t>
      </w:r>
      <w:r>
        <w:rPr>
          <w:rFonts w:hint="eastAsia" w:ascii="宋体" w:hAnsi="宋体"/>
          <w:color w:val="000000"/>
          <w:sz w:val="24"/>
        </w:rPr>
        <w:t>　当事人一方要求变更或解除合同时，应当在</w:t>
      </w:r>
      <w:r>
        <w:rPr>
          <w:rFonts w:ascii="宋体" w:hAnsi="宋体"/>
          <w:color w:val="000000"/>
          <w:sz w:val="24"/>
        </w:rPr>
        <w:t>42</w:t>
      </w:r>
      <w:r>
        <w:rPr>
          <w:rFonts w:hint="eastAsia" w:ascii="宋体" w:hAnsi="宋体"/>
          <w:color w:val="000000"/>
          <w:sz w:val="24"/>
        </w:rPr>
        <w:t>日前通知对方，因解除合同使一方遭受损失的，除依法可以免除责任的外，应由责任方负责赔偿。变更或解除合同的通知或协议必须采取书面形式，协议未达成之前，原合同仍然有效。</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第三十五条</w:t>
      </w:r>
      <w:r>
        <w:rPr>
          <w:rFonts w:hint="eastAsia" w:ascii="宋体" w:hAnsi="宋体"/>
          <w:color w:val="000000"/>
          <w:sz w:val="24"/>
        </w:rPr>
        <w:t>　监理人在应当获得监理报酬之日起</w:t>
      </w:r>
      <w:r>
        <w:rPr>
          <w:rFonts w:ascii="宋体" w:hAnsi="宋体"/>
          <w:color w:val="000000"/>
          <w:sz w:val="24"/>
        </w:rPr>
        <w:t>30</w:t>
      </w:r>
      <w:r>
        <w:rPr>
          <w:rFonts w:hint="eastAsia" w:ascii="宋体" w:hAnsi="宋体"/>
          <w:color w:val="000000"/>
          <w:sz w:val="24"/>
        </w:rPr>
        <w:t>日内仍未收到支付单据，而委托人又未对监理人提出任何书面解释时，或根据第三十三条及第三十四条已暂停执行监理业务时限超过六个月的，监理人可向委托人发出终止合同的通知，发出通知后</w:t>
      </w:r>
      <w:r>
        <w:rPr>
          <w:rFonts w:ascii="宋体" w:hAnsi="宋体"/>
          <w:color w:val="000000"/>
          <w:sz w:val="24"/>
        </w:rPr>
        <w:t>14</w:t>
      </w:r>
      <w:r>
        <w:rPr>
          <w:rFonts w:hint="eastAsia" w:ascii="宋体" w:hAnsi="宋体"/>
          <w:color w:val="000000"/>
          <w:sz w:val="24"/>
        </w:rPr>
        <w:t>日内仍未得到委托人答复，可进一步发出终止合同的通知，如果第二份通知发出后</w:t>
      </w:r>
      <w:r>
        <w:rPr>
          <w:rFonts w:ascii="宋体" w:hAnsi="宋体"/>
          <w:color w:val="000000"/>
          <w:sz w:val="24"/>
        </w:rPr>
        <w:t>42</w:t>
      </w:r>
      <w:r>
        <w:rPr>
          <w:rFonts w:hint="eastAsia" w:ascii="宋体" w:hAnsi="宋体"/>
          <w:color w:val="000000"/>
          <w:sz w:val="24"/>
        </w:rPr>
        <w:t>日内仍未得到委托人答复，可终止合同或自行暂停或继续暂停执行全部或部分监理业务。委托人承担违约责任。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第三十六条</w:t>
      </w:r>
      <w:r>
        <w:rPr>
          <w:rFonts w:hint="eastAsia" w:ascii="宋体" w:hAnsi="宋体"/>
          <w:color w:val="000000"/>
          <w:sz w:val="24"/>
        </w:rPr>
        <w:t>　监理人由于非自己的原因而暂停或终止执行监理业务，其善后工作以及恢复执行监理业务的工作，应当视为额外工作，有权得到额外的报酬。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第三十七条</w:t>
      </w:r>
      <w:r>
        <w:rPr>
          <w:rFonts w:hint="eastAsia" w:ascii="宋体" w:hAnsi="宋体"/>
          <w:color w:val="000000"/>
          <w:sz w:val="24"/>
        </w:rPr>
        <w:t>　当委托人认为监理人无正当理由而又未履行监理义务时，可向监理人发出指明其未履行义务的通知。若委托人发出通知后</w:t>
      </w:r>
      <w:r>
        <w:rPr>
          <w:rFonts w:ascii="宋体" w:hAnsi="宋体"/>
          <w:color w:val="000000"/>
          <w:sz w:val="24"/>
        </w:rPr>
        <w:t>21</w:t>
      </w:r>
      <w:r>
        <w:rPr>
          <w:rFonts w:hint="eastAsia" w:ascii="宋体" w:hAnsi="宋体"/>
          <w:color w:val="000000"/>
          <w:sz w:val="24"/>
        </w:rPr>
        <w:t>日内没有收到答复，可在第一个通知发出后</w:t>
      </w:r>
      <w:r>
        <w:rPr>
          <w:rFonts w:ascii="宋体" w:hAnsi="宋体"/>
          <w:color w:val="000000"/>
          <w:sz w:val="24"/>
        </w:rPr>
        <w:t>35</w:t>
      </w:r>
      <w:r>
        <w:rPr>
          <w:rFonts w:hint="eastAsia" w:ascii="宋体" w:hAnsi="宋体"/>
          <w:color w:val="000000"/>
          <w:sz w:val="24"/>
        </w:rPr>
        <w:t>日内发出终止委托监理合同的通知，合同即行终止。监理人承担违约责任。</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第三十八条</w:t>
      </w:r>
      <w:r>
        <w:rPr>
          <w:rFonts w:hint="eastAsia" w:ascii="宋体" w:hAnsi="宋体"/>
          <w:color w:val="000000"/>
          <w:sz w:val="24"/>
        </w:rPr>
        <w:t>　合同协议的终止并不影响各方应有的权利和应当承担的责任。</w:t>
      </w:r>
    </w:p>
    <w:p>
      <w:pPr>
        <w:spacing w:line="360" w:lineRule="auto"/>
        <w:jc w:val="center"/>
        <w:rPr>
          <w:rFonts w:hint="eastAsia" w:ascii="宋体" w:hAnsi="宋体"/>
          <w:color w:val="000000"/>
          <w:sz w:val="28"/>
          <w:szCs w:val="28"/>
        </w:rPr>
      </w:pPr>
      <w:r>
        <w:rPr>
          <w:rFonts w:hint="eastAsia" w:ascii="宋体" w:hAnsi="宋体"/>
          <w:b/>
          <w:color w:val="000000"/>
          <w:sz w:val="28"/>
          <w:szCs w:val="28"/>
        </w:rPr>
        <w:t>监理报酬</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第三十九条</w:t>
      </w:r>
      <w:r>
        <w:rPr>
          <w:rFonts w:hint="eastAsia" w:ascii="宋体" w:hAnsi="宋体"/>
          <w:color w:val="000000"/>
          <w:sz w:val="24"/>
        </w:rPr>
        <w:t>　正常的监理工作、附加工作和额外工作的报酬，按照监理合同专用条件中第三十九条的方法计算，并按约定的时间和数额支付。</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第四十条</w:t>
      </w:r>
      <w:r>
        <w:rPr>
          <w:rFonts w:hint="eastAsia" w:ascii="宋体" w:hAnsi="宋体"/>
          <w:color w:val="000000"/>
          <w:sz w:val="24"/>
        </w:rPr>
        <w:t>　如果委托人在规定的支付期限内未支付监理报酬，自规定之日起，还应向监理人支付滞纳金。滞纳金从规定支付期限最后一日起计算。</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第四十一条</w:t>
      </w:r>
      <w:r>
        <w:rPr>
          <w:rFonts w:hint="eastAsia" w:ascii="宋体" w:hAnsi="宋体"/>
          <w:color w:val="000000"/>
          <w:sz w:val="24"/>
        </w:rPr>
        <w:t>　支付监理报酬所采取的货币币种、汇率由合同专用条件约定。</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第四十二条</w:t>
      </w:r>
      <w:r>
        <w:rPr>
          <w:rFonts w:hint="eastAsia" w:ascii="宋体" w:hAnsi="宋体"/>
          <w:color w:val="000000"/>
          <w:sz w:val="24"/>
        </w:rPr>
        <w:t>　如果委托人对监理人提交的支付通知中报酬或部分报酬项目提出异议，应当在收到支付通知书</w:t>
      </w:r>
      <w:r>
        <w:rPr>
          <w:rFonts w:ascii="宋体" w:hAnsi="宋体"/>
          <w:color w:val="000000"/>
          <w:sz w:val="24"/>
        </w:rPr>
        <w:t>24</w:t>
      </w:r>
      <w:r>
        <w:rPr>
          <w:rFonts w:hint="eastAsia" w:ascii="宋体" w:hAnsi="宋体"/>
          <w:color w:val="000000"/>
          <w:sz w:val="24"/>
        </w:rPr>
        <w:t>小时内向监理人发出表示异议的通知，但委托人不得拖延其他无异议报酬项目的支付。</w:t>
      </w:r>
    </w:p>
    <w:p>
      <w:pPr>
        <w:spacing w:line="360" w:lineRule="auto"/>
        <w:jc w:val="center"/>
        <w:rPr>
          <w:rFonts w:hint="eastAsia" w:ascii="宋体" w:hAnsi="宋体"/>
          <w:color w:val="000000"/>
          <w:sz w:val="28"/>
          <w:szCs w:val="28"/>
        </w:rPr>
      </w:pPr>
      <w:r>
        <w:rPr>
          <w:rFonts w:hint="eastAsia" w:ascii="宋体" w:hAnsi="宋体"/>
          <w:b/>
          <w:color w:val="000000"/>
          <w:sz w:val="28"/>
          <w:szCs w:val="28"/>
        </w:rPr>
        <w:t>其他</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第四十三条</w:t>
      </w:r>
      <w:r>
        <w:rPr>
          <w:rFonts w:hint="eastAsia" w:ascii="宋体" w:hAnsi="宋体"/>
          <w:color w:val="000000"/>
          <w:sz w:val="24"/>
        </w:rPr>
        <w:t>　委托的建设工程监理所必要的监理人员出外考察、材料设备复试，其费用支出经委托人同意的，在预算范围内向委托人实报实销。</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第四十四条</w:t>
      </w:r>
      <w:r>
        <w:rPr>
          <w:rFonts w:hint="eastAsia" w:ascii="宋体" w:hAnsi="宋体"/>
          <w:color w:val="000000"/>
          <w:sz w:val="24"/>
        </w:rPr>
        <w:t>　在监理业务范围内，如需聘用专家咨询或协助，由监理人聘用的，其费用由监理人承担；由委托人聘用的，其费用由委托人承担。</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第四十五条</w:t>
      </w:r>
      <w:r>
        <w:rPr>
          <w:rFonts w:hint="eastAsia" w:ascii="宋体" w:hAnsi="宋体"/>
          <w:color w:val="000000"/>
          <w:sz w:val="24"/>
        </w:rPr>
        <w:t>　监理人在监理工作过程中提出的合理化建议，使委托人得到了经济效益，委托人应按专用条件中的约定给予经济奖励。</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第四十六条</w:t>
      </w:r>
      <w:r>
        <w:rPr>
          <w:rFonts w:hint="eastAsia" w:ascii="宋体" w:hAnsi="宋体"/>
          <w:color w:val="000000"/>
          <w:sz w:val="24"/>
        </w:rPr>
        <w:t>　监理人驻地监理机构及其职员不得接受监理工程项目施工承包人的任何报酬或者经济利益。</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监理人不得参与可能与合同规定的与委托人的利益相冲突的任何活动。</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第四十七条</w:t>
      </w:r>
      <w:r>
        <w:rPr>
          <w:rFonts w:hint="eastAsia" w:ascii="宋体" w:hAnsi="宋体"/>
          <w:color w:val="000000"/>
          <w:sz w:val="24"/>
        </w:rPr>
        <w:t>　监理人在监理过程中，不得泄露委托人申明的秘密，监理人亦不得泄露设计人、承包人等提供并申明的秘密。</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第四十八条</w:t>
      </w:r>
      <w:r>
        <w:rPr>
          <w:rFonts w:hint="eastAsia" w:ascii="宋体" w:hAnsi="宋体"/>
          <w:color w:val="000000"/>
          <w:sz w:val="24"/>
        </w:rPr>
        <w:t>　监理人对于由其编制的所有文件拥有版权，委托人仅有权为本工程使用或复制此类文件。</w:t>
      </w:r>
    </w:p>
    <w:p>
      <w:pPr>
        <w:spacing w:line="360" w:lineRule="auto"/>
        <w:jc w:val="center"/>
        <w:rPr>
          <w:rFonts w:hint="eastAsia" w:ascii="宋体" w:hAnsi="宋体"/>
          <w:b/>
          <w:color w:val="000000"/>
          <w:sz w:val="28"/>
          <w:szCs w:val="28"/>
        </w:rPr>
      </w:pPr>
      <w:r>
        <w:rPr>
          <w:rFonts w:hint="eastAsia" w:ascii="宋体" w:hAnsi="宋体"/>
          <w:b/>
          <w:color w:val="000000"/>
          <w:sz w:val="28"/>
          <w:szCs w:val="28"/>
        </w:rPr>
        <w:t>争议的解决</w:t>
      </w:r>
    </w:p>
    <w:p>
      <w:pPr>
        <w:spacing w:before="145" w:beforeLines="50" w:after="145" w:afterLines="50" w:line="360" w:lineRule="exact"/>
        <w:rPr>
          <w:rFonts w:hint="eastAsia" w:ascii="宋体" w:hAnsi="宋体"/>
          <w:color w:val="000000"/>
          <w:sz w:val="24"/>
        </w:rPr>
      </w:pPr>
      <w:r>
        <w:rPr>
          <w:rFonts w:hint="eastAsia" w:ascii="宋体" w:hAnsi="宋体"/>
          <w:color w:val="000000"/>
          <w:sz w:val="24"/>
        </w:rPr>
        <w:t>　　</w:t>
      </w:r>
      <w:r>
        <w:rPr>
          <w:rFonts w:hint="eastAsia" w:ascii="宋体" w:hAnsi="宋体"/>
          <w:b/>
          <w:color w:val="000000"/>
          <w:sz w:val="24"/>
        </w:rPr>
        <w:t>第四十九条</w:t>
      </w:r>
      <w:r>
        <w:rPr>
          <w:rFonts w:hint="eastAsia" w:ascii="宋体" w:hAnsi="宋体"/>
          <w:color w:val="000000"/>
          <w:sz w:val="24"/>
        </w:rPr>
        <w:t>　因违反或终止合同而引起的对对方损失和损害的赔偿，双方应当协商解决，如未能达成一致，可提交主管部门协调，如仍未能达成一致时，</w:t>
      </w:r>
      <w:r>
        <w:rPr>
          <w:rFonts w:hint="eastAsia" w:ascii="宋体" w:hAnsi="宋体"/>
          <w:color w:val="auto"/>
          <w:sz w:val="24"/>
        </w:rPr>
        <w:t>向</w:t>
      </w:r>
      <w:r>
        <w:rPr>
          <w:rFonts w:hint="eastAsia" w:ascii="宋体" w:hAnsi="宋体"/>
          <w:color w:val="auto"/>
          <w:sz w:val="24"/>
          <w:lang w:eastAsia="zh-CN"/>
        </w:rPr>
        <w:t>广州市越秀区</w:t>
      </w:r>
      <w:r>
        <w:rPr>
          <w:rFonts w:hint="eastAsia" w:ascii="宋体" w:hAnsi="宋体"/>
          <w:color w:val="auto"/>
          <w:sz w:val="24"/>
        </w:rPr>
        <w:t>人</w:t>
      </w:r>
      <w:r>
        <w:rPr>
          <w:rFonts w:hint="eastAsia" w:ascii="宋体" w:hAnsi="宋体"/>
          <w:color w:val="000000"/>
          <w:sz w:val="24"/>
        </w:rPr>
        <w:t>民法院起诉。</w:t>
      </w:r>
    </w:p>
    <w:p>
      <w:pPr>
        <w:rPr>
          <w:rFonts w:hint="eastAsia" w:ascii="宋体" w:hAnsi="宋体"/>
          <w:color w:val="000000"/>
        </w:rPr>
      </w:pPr>
    </w:p>
    <w:p>
      <w:pPr>
        <w:jc w:val="left"/>
        <w:rPr>
          <w:rFonts w:hint="eastAsia" w:ascii="宋体" w:hAnsi="宋体"/>
          <w:b/>
          <w:color w:val="000000"/>
          <w:szCs w:val="21"/>
        </w:rPr>
      </w:pPr>
    </w:p>
    <w:p>
      <w:pPr>
        <w:jc w:val="left"/>
        <w:rPr>
          <w:rFonts w:hint="eastAsia" w:ascii="宋体" w:hAnsi="宋体"/>
          <w:b/>
          <w:color w:val="000000"/>
          <w:szCs w:val="21"/>
        </w:rPr>
        <w:sectPr>
          <w:footerReference r:id="rId5" w:type="default"/>
          <w:pgSz w:w="11906" w:h="16838"/>
          <w:pgMar w:top="1400" w:right="1077" w:bottom="1440" w:left="1758" w:header="851" w:footer="992" w:gutter="0"/>
          <w:pgNumType w:fmt="decimal"/>
          <w:cols w:space="720" w:num="1"/>
          <w:docGrid w:type="linesAndChars" w:linePitch="291" w:charSpace="1223"/>
        </w:sectPr>
      </w:pPr>
    </w:p>
    <w:p>
      <w:pPr>
        <w:spacing w:before="156" w:beforeLines="50" w:after="156" w:afterLines="50"/>
        <w:jc w:val="center"/>
        <w:rPr>
          <w:rFonts w:hint="eastAsia" w:ascii="宋体" w:hAnsi="宋体"/>
          <w:b/>
          <w:color w:val="000000"/>
          <w:sz w:val="32"/>
          <w:szCs w:val="32"/>
        </w:rPr>
      </w:pPr>
      <w:r>
        <w:rPr>
          <w:rFonts w:hint="eastAsia" w:ascii="宋体" w:hAnsi="宋体"/>
          <w:b/>
          <w:color w:val="000000"/>
          <w:sz w:val="32"/>
          <w:szCs w:val="32"/>
        </w:rPr>
        <w:t>第三部分  专用条件</w:t>
      </w:r>
    </w:p>
    <w:p>
      <w:pPr>
        <w:tabs>
          <w:tab w:val="left" w:pos="645"/>
        </w:tabs>
        <w:spacing w:before="156" w:beforeLines="50" w:after="156" w:afterLines="50" w:line="360" w:lineRule="exact"/>
        <w:ind w:firstLine="482" w:firstLineChars="200"/>
        <w:outlineLvl w:val="0"/>
        <w:rPr>
          <w:rFonts w:hint="eastAsia" w:ascii="宋体" w:hAnsi="宋体"/>
          <w:b/>
          <w:color w:val="000000"/>
          <w:sz w:val="24"/>
        </w:rPr>
      </w:pPr>
      <w:r>
        <w:rPr>
          <w:rFonts w:hint="eastAsia" w:ascii="宋体" w:hAnsi="宋体"/>
          <w:b/>
          <w:color w:val="000000"/>
          <w:sz w:val="24"/>
        </w:rPr>
        <w:t>第二条 本合同适用的法律及监理依据：</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国家工程建设的法律、法规、条款及有关政策规定，主管部门批准的建设计划、规划、设计文件。</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委托人与设计、施工单位签订的合同或协议。</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经批准的施工图纸及说明，经图纸会审确定的修改设计通知书。</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国家和地方现行的建筑工程质量评定标准、设计及施工验收规范。</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当地现场预算定额、取费标准和有关建设管理办法。</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当地建设行政主管部门的有关法规和通知等。</w:t>
      </w:r>
    </w:p>
    <w:p>
      <w:pPr>
        <w:numPr>
          <w:ilvl w:val="1"/>
          <w:numId w:val="4"/>
        </w:numPr>
        <w:tabs>
          <w:tab w:val="left" w:pos="567"/>
          <w:tab w:val="left" w:pos="645"/>
          <w:tab w:val="clear" w:pos="1620"/>
        </w:tabs>
        <w:spacing w:line="360" w:lineRule="exact"/>
        <w:ind w:left="680" w:firstLine="0"/>
        <w:rPr>
          <w:rFonts w:hint="eastAsia" w:ascii="宋体" w:hAnsi="宋体"/>
          <w:color w:val="000000"/>
          <w:sz w:val="24"/>
        </w:rPr>
      </w:pPr>
      <w:r>
        <w:rPr>
          <w:rFonts w:hint="eastAsia" w:ascii="宋体" w:hAnsi="宋体"/>
          <w:color w:val="000000"/>
          <w:sz w:val="24"/>
        </w:rPr>
        <w:t>委托人发出的指令。</w:t>
      </w:r>
    </w:p>
    <w:p>
      <w:pPr>
        <w:tabs>
          <w:tab w:val="left" w:pos="645"/>
        </w:tabs>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第四条</w:t>
      </w:r>
      <w:r>
        <w:rPr>
          <w:rFonts w:hint="eastAsia" w:ascii="宋体" w:hAnsi="宋体"/>
          <w:color w:val="000000"/>
          <w:sz w:val="24"/>
        </w:rPr>
        <w:t xml:space="preserve"> 监理范围和监理工作内容：</w:t>
      </w:r>
    </w:p>
    <w:p>
      <w:pPr>
        <w:tabs>
          <w:tab w:val="left" w:pos="1302"/>
        </w:tabs>
        <w:spacing w:line="360" w:lineRule="auto"/>
        <w:ind w:firstLine="480" w:firstLineChars="200"/>
        <w:rPr>
          <w:rFonts w:hint="eastAsia" w:ascii="宋体" w:hAnsi="宋体"/>
          <w:sz w:val="24"/>
        </w:rPr>
      </w:pPr>
      <w:r>
        <w:rPr>
          <w:rFonts w:hint="eastAsia" w:ascii="宋体" w:hAnsi="宋体"/>
          <w:sz w:val="24"/>
        </w:rPr>
        <w:t>4-1项目监理目标：</w:t>
      </w:r>
    </w:p>
    <w:p>
      <w:pPr>
        <w:pStyle w:val="9"/>
        <w:spacing w:line="360" w:lineRule="exact"/>
        <w:ind w:right="-388" w:rightChars="-185" w:firstLine="601"/>
        <w:rPr>
          <w:rFonts w:hint="eastAsia" w:ascii="宋体" w:hAnsi="宋体"/>
          <w:sz w:val="24"/>
        </w:rPr>
      </w:pPr>
      <w:r>
        <w:rPr>
          <w:rFonts w:hint="eastAsia" w:ascii="宋体" w:hAnsi="宋体"/>
          <w:sz w:val="24"/>
        </w:rPr>
        <w:t>4-1-1投资控制目标：应用现代项目管理手段控制工程造价不超合同价，按期、安全、环保、优质、高效、廉洁地完成</w:t>
      </w:r>
      <w:r>
        <w:rPr>
          <w:rFonts w:hint="eastAsia" w:ascii="宋体" w:hAnsi="宋体"/>
          <w:sz w:val="24"/>
          <w:u w:val="single"/>
        </w:rPr>
        <w:t>北院区检验科小教堂屋盖结构加固工程（即：广州市文物局【文物20250414号】批复的“孙逸仙博士开始学医及革命运动策源地”纪念碑之教堂修缮工程 ）</w:t>
      </w:r>
      <w:r>
        <w:rPr>
          <w:rFonts w:hint="eastAsia" w:ascii="宋体" w:hAnsi="宋体"/>
          <w:sz w:val="24"/>
        </w:rPr>
        <w:t>的全过程监理。</w:t>
      </w:r>
    </w:p>
    <w:p>
      <w:pPr>
        <w:tabs>
          <w:tab w:val="left" w:pos="1302"/>
        </w:tabs>
        <w:spacing w:line="360" w:lineRule="auto"/>
        <w:ind w:left="680"/>
        <w:rPr>
          <w:rFonts w:hint="eastAsia" w:ascii="宋体" w:hAnsi="宋体"/>
          <w:sz w:val="24"/>
        </w:rPr>
      </w:pPr>
      <w:r>
        <w:rPr>
          <w:rFonts w:hint="eastAsia" w:ascii="宋体" w:hAnsi="宋体"/>
          <w:sz w:val="24"/>
        </w:rPr>
        <w:t>4-1-2进度控制目标：施工工期为甲方下达开工令或开工报告审批之日起按施工进度要求控制。</w:t>
      </w:r>
    </w:p>
    <w:p>
      <w:pPr>
        <w:tabs>
          <w:tab w:val="left" w:pos="1302"/>
        </w:tabs>
        <w:spacing w:line="360" w:lineRule="auto"/>
        <w:ind w:left="680"/>
        <w:rPr>
          <w:rFonts w:hint="eastAsia" w:ascii="宋体" w:hAnsi="宋体"/>
          <w:sz w:val="24"/>
        </w:rPr>
      </w:pPr>
      <w:r>
        <w:rPr>
          <w:rFonts w:hint="eastAsia" w:ascii="宋体" w:hAnsi="宋体"/>
          <w:sz w:val="24"/>
        </w:rPr>
        <w:t>4-1-3质量控制目标：一次验收合格，验收标准按国家颁发的《建设工程施工质量评价标准》(GB/T50375-2006)、《建筑工程施工质量验收统一标准》（GB50300—2013）执行。并需同时满足上级文物主管部门的验收标准。</w:t>
      </w:r>
    </w:p>
    <w:p>
      <w:pPr>
        <w:tabs>
          <w:tab w:val="left" w:pos="1302"/>
        </w:tabs>
        <w:spacing w:line="360" w:lineRule="auto"/>
        <w:ind w:left="680"/>
        <w:rPr>
          <w:rFonts w:hint="eastAsia" w:ascii="宋体" w:hAnsi="宋体"/>
          <w:sz w:val="24"/>
        </w:rPr>
      </w:pPr>
      <w:r>
        <w:rPr>
          <w:rFonts w:hint="eastAsia" w:ascii="宋体" w:hAnsi="宋体"/>
          <w:sz w:val="24"/>
        </w:rPr>
        <w:t>4-1-4安全文明施工目标：确保工程无安全事故。</w:t>
      </w:r>
    </w:p>
    <w:p>
      <w:pPr>
        <w:spacing w:line="360" w:lineRule="auto"/>
        <w:ind w:firstLine="540" w:firstLineChars="225"/>
        <w:outlineLvl w:val="0"/>
        <w:rPr>
          <w:rFonts w:hint="eastAsia" w:ascii="宋体" w:hAnsi="宋体"/>
          <w:color w:val="000000"/>
          <w:sz w:val="24"/>
        </w:rPr>
      </w:pPr>
      <w:r>
        <w:rPr>
          <w:rFonts w:hint="eastAsia" w:ascii="宋体" w:hAnsi="宋体"/>
          <w:color w:val="000000"/>
          <w:sz w:val="24"/>
        </w:rPr>
        <w:t>4-2 施工阶段</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  审查施工单位开工报告。</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4－2－2  组织建立监理机构，协调施工各方面关系。</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4－2－3  主持每周的工程协调会议，提出监理意见。</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4－2－4  组织技术交底和施工图会审。</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4－2－5  审查承包商编制的施工组织设计及临时工程的设计方案、 分部分项工程的施工技术方案，提出改进意见，并检查督促实施。</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4－2－6  要求和督促承包商健全质量保证体系，督促承包商严格按设计文件、规范标准和程序施工。</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4－2－7  监理工程师必须经常巡视工地各个部位，发现问题，立即督促承包商改进，并检查其执行情况。</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4－2－8  每道工序完毕，监理工程师必须及时检查验收，并做好隐蔽工程的验收签证。</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4－2－9  督促施工单位完善工程施工测量，保证施工顺利进行。</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4－2－10 审查材料和设备供应商的资质。</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4－2－11 审查用于本工程的材料和设备是否符合设计要求，对用于工程的材料的出厂合格证、化验（试验）报告等进行核定并存档。</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4－2－12协助委托人组织由委托人自行采购材料、设备向承建商作移交检验的工作。</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4－2－13 审查施工图设计变更，对设计变更和技术洽商严格按有关各方约定的程序进行并提出监理意见报委托人。</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4－2－14 审查工程中出现的质量事故，分析事故责任，提出处理意见，督促承建商及时处理事故。</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4－2－15 督促承建商文明施工、健全安全生产防护措施，防止环境污染。</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4－2－16编写监理阶段月报和最终总结；及时做好施工过程质量记录、竣工记录等，并进行分类归档工作。</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4－2－17正确审核工程计量、各项签证、工程变更及审核工程造价，搞好工程变更和施工索赔管理；审核工程进度款及审核其它各项付款申请；审核工程竣工结算，并对工程结算提出详细初审意见。</w:t>
      </w:r>
    </w:p>
    <w:p>
      <w:pPr>
        <w:tabs>
          <w:tab w:val="left" w:pos="1302"/>
          <w:tab w:val="left" w:pos="1482"/>
        </w:tabs>
        <w:spacing w:line="360" w:lineRule="auto"/>
        <w:ind w:left="680"/>
        <w:rPr>
          <w:rFonts w:hint="eastAsia" w:ascii="宋体" w:hAnsi="宋体"/>
          <w:color w:val="000000"/>
          <w:sz w:val="24"/>
        </w:rPr>
      </w:pPr>
      <w:bookmarkStart w:id="116" w:name="OLE_LINK1"/>
      <w:bookmarkStart w:id="117" w:name="OLE_LINK2"/>
      <w:r>
        <w:rPr>
          <w:rFonts w:hint="eastAsia" w:ascii="宋体" w:hAnsi="宋体"/>
          <w:color w:val="000000"/>
          <w:sz w:val="24"/>
        </w:rPr>
        <w:t>4－2－18</w:t>
      </w:r>
      <w:bookmarkEnd w:id="116"/>
      <w:bookmarkEnd w:id="117"/>
      <w:r>
        <w:rPr>
          <w:rFonts w:hint="eastAsia" w:ascii="宋体" w:hAnsi="宋体"/>
          <w:color w:val="000000"/>
          <w:sz w:val="24"/>
        </w:rPr>
        <w:t xml:space="preserve"> 要求承建商按监理人监理规划提交各阶段、部位工程的检验、验收及整体工程验收申请报告，组织初验，签署承建商的工程验收报告，参加委托人组织的最终验收，并协助进行施工验收、消防验收手续办理。</w:t>
      </w:r>
    </w:p>
    <w:p>
      <w:pPr>
        <w:tabs>
          <w:tab w:val="left" w:pos="1302"/>
          <w:tab w:val="left" w:pos="1482"/>
        </w:tabs>
        <w:spacing w:line="360" w:lineRule="auto"/>
        <w:ind w:left="680"/>
        <w:rPr>
          <w:rFonts w:hint="eastAsia" w:ascii="宋体" w:hAnsi="宋体"/>
          <w:color w:val="000000"/>
          <w:sz w:val="24"/>
        </w:rPr>
      </w:pPr>
      <w:r>
        <w:rPr>
          <w:rFonts w:hint="eastAsia" w:ascii="宋体" w:hAnsi="宋体"/>
          <w:color w:val="000000"/>
          <w:sz w:val="24"/>
        </w:rPr>
        <w:t>4－2－19根据市城建档案馆有关文件规定，督促并审查施工单位完成竣工资料整理，交委托人归档，协助业主办理有关验收手续。</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4－2－20合同签订后十日内提交监理大纲，合同签订后十五日内提交监理细则，每月7日前提交监理月报，每周三前提交监理周报，其余专项报告应在会议结束后3日内提交委托人。</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4－2－21监理人委托负责</w:t>
      </w:r>
      <w:r>
        <w:rPr>
          <w:rFonts w:hint="eastAsia" w:ascii="宋体" w:hAnsi="宋体"/>
          <w:color w:val="000000"/>
          <w:sz w:val="24"/>
          <w:highlight w:val="none"/>
        </w:rPr>
        <w:t>本项目的监理人员</w:t>
      </w:r>
      <w:r>
        <w:rPr>
          <w:rFonts w:hint="eastAsia" w:ascii="宋体" w:hAnsi="宋体"/>
          <w:color w:val="000000"/>
          <w:sz w:val="24"/>
        </w:rPr>
        <w:t>：</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总监理工程师：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总监理工程师代表：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土建监理工程师：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电气监理工程师：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暖通监理工程师：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给排水监理工程师：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工程测量监理工程师：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安全监理员：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造价工程师： </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 xml:space="preserve">资料员： </w:t>
      </w:r>
    </w:p>
    <w:p>
      <w:pPr>
        <w:tabs>
          <w:tab w:val="left" w:pos="1302"/>
        </w:tabs>
        <w:spacing w:line="360" w:lineRule="auto"/>
        <w:ind w:left="680"/>
        <w:rPr>
          <w:rFonts w:ascii="宋体" w:hAnsi="宋体"/>
          <w:color w:val="000000"/>
          <w:sz w:val="24"/>
        </w:rPr>
      </w:pPr>
      <w:r>
        <w:rPr>
          <w:rFonts w:hint="eastAsia" w:ascii="宋体" w:hAnsi="宋体"/>
          <w:color w:val="000000"/>
          <w:sz w:val="24"/>
        </w:rPr>
        <w:t>总监理工程师要求必须参加每周工程例会，总监理工程师代表要求常驻工地。</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4-3 竣工结算阶段</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审核施工单位递交的竣工结算，并确认审核报告。</w:t>
      </w:r>
    </w:p>
    <w:p>
      <w:pPr>
        <w:tabs>
          <w:tab w:val="left" w:pos="1302"/>
        </w:tabs>
        <w:spacing w:line="360" w:lineRule="auto"/>
        <w:ind w:left="680"/>
        <w:rPr>
          <w:rFonts w:hint="eastAsia" w:ascii="宋体" w:hAnsi="宋体"/>
          <w:color w:val="000000"/>
          <w:sz w:val="24"/>
        </w:rPr>
      </w:pPr>
      <w:r>
        <w:rPr>
          <w:rFonts w:hint="eastAsia" w:ascii="宋体" w:hAnsi="宋体"/>
          <w:color w:val="000000"/>
          <w:sz w:val="24"/>
        </w:rPr>
        <w:t>4-4 保修阶段</w:t>
      </w:r>
    </w:p>
    <w:p>
      <w:pPr>
        <w:tabs>
          <w:tab w:val="left" w:pos="645"/>
        </w:tabs>
        <w:spacing w:line="360" w:lineRule="auto"/>
        <w:ind w:firstLine="480" w:firstLineChars="200"/>
        <w:rPr>
          <w:rFonts w:hint="eastAsia" w:ascii="宋体" w:hAnsi="宋体"/>
          <w:color w:val="000000"/>
          <w:sz w:val="24"/>
        </w:rPr>
      </w:pPr>
      <w:r>
        <w:rPr>
          <w:rFonts w:hint="eastAsia" w:ascii="宋体" w:hAnsi="宋体"/>
          <w:color w:val="000000"/>
          <w:sz w:val="24"/>
        </w:rPr>
        <w:t>负责检查工程状况，鉴定质量问题责任，督促保修。</w:t>
      </w:r>
    </w:p>
    <w:p>
      <w:pPr>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第九条</w:t>
      </w:r>
      <w:r>
        <w:rPr>
          <w:rFonts w:hint="eastAsia" w:ascii="宋体" w:hAnsi="宋体"/>
          <w:color w:val="000000"/>
          <w:sz w:val="24"/>
        </w:rPr>
        <w:t xml:space="preserve"> 外部条件包括：</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9-1  拟施工场地的搬迁及接通施工用水用电、通讯工作。</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9-2  驻工地代表处理在施工中应属委托人处理的事宜，包括参加工程协调会及组织竣工验收。</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9-3  支持监理方在执行职责中的一切符合委托人利益、符合国家、省、市政策、法令的做法和意见、建议。</w:t>
      </w:r>
    </w:p>
    <w:p>
      <w:pPr>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第十条</w:t>
      </w:r>
      <w:r>
        <w:rPr>
          <w:rFonts w:hint="eastAsia" w:ascii="宋体" w:hAnsi="宋体"/>
          <w:color w:val="000000"/>
          <w:sz w:val="24"/>
        </w:rPr>
        <w:t xml:space="preserve"> 委托人应提供的工程资料及提供时间：</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10-1  在施工合同、设计合同及甲方自行采购的材料、设备的供货合同签订之日起7天内提供合同复印件各一份。</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10-2  按工程进度计划规定的时间提供施工图纸、工程资料一式贰份。</w:t>
      </w:r>
    </w:p>
    <w:p>
      <w:pPr>
        <w:tabs>
          <w:tab w:val="left" w:pos="645"/>
        </w:tabs>
        <w:spacing w:before="156" w:beforeLines="50" w:after="156" w:afterLines="50" w:line="360" w:lineRule="exact"/>
        <w:ind w:firstLine="482" w:firstLineChars="200"/>
        <w:outlineLvl w:val="0"/>
        <w:rPr>
          <w:rFonts w:hint="eastAsia" w:ascii="宋体" w:hAnsi="宋体"/>
          <w:color w:val="000000"/>
          <w:sz w:val="24"/>
        </w:rPr>
      </w:pPr>
      <w:r>
        <w:rPr>
          <w:rFonts w:hint="eastAsia" w:ascii="宋体" w:hAnsi="宋体"/>
          <w:b/>
          <w:color w:val="000000"/>
          <w:sz w:val="24"/>
        </w:rPr>
        <w:t>第十一条</w:t>
      </w:r>
      <w:r>
        <w:rPr>
          <w:rFonts w:hint="eastAsia" w:ascii="宋体" w:hAnsi="宋体"/>
          <w:color w:val="000000"/>
          <w:sz w:val="24"/>
        </w:rPr>
        <w:t xml:space="preserve"> 委托人应在七天内对监理人书面提交并要求作出决定的事宜作出书面答复。</w:t>
      </w:r>
    </w:p>
    <w:p>
      <w:pPr>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第十五条 </w:t>
      </w:r>
      <w:r>
        <w:rPr>
          <w:rFonts w:hint="eastAsia" w:ascii="宋体" w:hAnsi="宋体"/>
          <w:color w:val="000000"/>
          <w:sz w:val="24"/>
        </w:rPr>
        <w:t xml:space="preserve">委托人免费向监理机构提供如下设施： </w:t>
      </w:r>
    </w:p>
    <w:p>
      <w:pPr>
        <w:tabs>
          <w:tab w:val="left" w:pos="645"/>
        </w:tabs>
        <w:spacing w:line="360" w:lineRule="exact"/>
        <w:ind w:firstLine="542"/>
        <w:rPr>
          <w:rFonts w:hint="eastAsia" w:ascii="宋体" w:hAnsi="宋体"/>
          <w:color w:val="000000"/>
          <w:sz w:val="24"/>
        </w:rPr>
      </w:pPr>
      <w:r>
        <w:rPr>
          <w:rFonts w:hint="eastAsia" w:ascii="宋体" w:hAnsi="宋体"/>
          <w:color w:val="000000"/>
          <w:sz w:val="24"/>
        </w:rPr>
        <w:t>临时办公场所（具体视委托人实际情况而定）。</w:t>
      </w:r>
    </w:p>
    <w:p>
      <w:pPr>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第二十五条</w:t>
      </w:r>
      <w:r>
        <w:rPr>
          <w:rFonts w:hint="eastAsia" w:ascii="宋体" w:hAnsi="宋体"/>
          <w:color w:val="000000"/>
          <w:sz w:val="24"/>
        </w:rPr>
        <w:tab/>
      </w:r>
      <w:r>
        <w:rPr>
          <w:rFonts w:hint="eastAsia" w:ascii="宋体" w:hAnsi="宋体"/>
          <w:color w:val="000000"/>
          <w:sz w:val="24"/>
        </w:rPr>
        <w:t>本工程由于非监理人原因需暂停施工的，监理人员暂时退场。监理人在收到委托人重新开工通知后3天内组织监理人员重新进场监理。</w:t>
      </w:r>
    </w:p>
    <w:p>
      <w:pPr>
        <w:tabs>
          <w:tab w:val="left" w:pos="645"/>
        </w:tabs>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第二十六条 </w:t>
      </w:r>
      <w:r>
        <w:rPr>
          <w:rFonts w:hint="eastAsia" w:ascii="宋体" w:hAnsi="宋体"/>
          <w:color w:val="000000"/>
          <w:sz w:val="24"/>
        </w:rPr>
        <w:t>监理人在责任期内如果失职，导致委托人发生经济损失，监理人应承担责任，全额赔偿经济损失。</w:t>
      </w:r>
    </w:p>
    <w:p>
      <w:pPr>
        <w:tabs>
          <w:tab w:val="left" w:pos="645"/>
        </w:tabs>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第三十九条 </w:t>
      </w:r>
      <w:r>
        <w:rPr>
          <w:rFonts w:hint="eastAsia" w:ascii="宋体" w:hAnsi="宋体"/>
          <w:color w:val="000000"/>
          <w:sz w:val="24"/>
        </w:rPr>
        <w:t>委托人同意按以下方法、支付时间与金额，支付监理人的报酬：</w:t>
      </w:r>
    </w:p>
    <w:p>
      <w:pPr>
        <w:spacing w:before="156" w:beforeLines="50" w:after="156" w:afterLines="50" w:line="360" w:lineRule="exact"/>
        <w:ind w:firstLine="600" w:firstLineChars="250"/>
        <w:rPr>
          <w:rFonts w:hint="eastAsia" w:ascii="宋体" w:hAnsi="宋体"/>
          <w:color w:val="000000"/>
          <w:sz w:val="24"/>
        </w:rPr>
      </w:pPr>
      <w:r>
        <w:rPr>
          <w:rFonts w:hint="eastAsia" w:ascii="宋体" w:hAnsi="宋体"/>
          <w:color w:val="000000"/>
          <w:sz w:val="24"/>
        </w:rPr>
        <w:t>39-1本工程监理费暂定为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元（大写： </w:t>
      </w:r>
      <w:r>
        <w:rPr>
          <w:rFonts w:ascii="宋体" w:hAnsi="宋体"/>
          <w:color w:val="000000"/>
          <w:sz w:val="24"/>
        </w:rPr>
        <w:t xml:space="preserve">      </w:t>
      </w:r>
      <w:r>
        <w:rPr>
          <w:rFonts w:hint="eastAsia" w:ascii="宋体" w:hAnsi="宋体"/>
          <w:color w:val="000000"/>
          <w:sz w:val="24"/>
        </w:rPr>
        <w:t>），合同工期</w:t>
      </w:r>
      <w:r>
        <w:rPr>
          <w:rFonts w:hint="eastAsia" w:ascii="宋体" w:hAnsi="宋体"/>
          <w:sz w:val="24"/>
        </w:rPr>
        <w:t>：以合同签订之日起计，至</w:t>
      </w:r>
      <w:r>
        <w:rPr>
          <w:rFonts w:hint="eastAsia" w:ascii="宋体" w:hAnsi="宋体"/>
          <w:sz w:val="24"/>
          <w:u w:val="single"/>
        </w:rPr>
        <w:t>北院区检验科小教堂屋盖结构加固工程（即：广州市文物局【文物20250414号】批复的“孙逸仙博士开始学医及革命运动策源地”纪念碑之教堂修缮工程 ）</w:t>
      </w:r>
      <w:r>
        <w:rPr>
          <w:rFonts w:hint="eastAsia" w:ascii="宋体" w:hAnsi="宋体"/>
          <w:sz w:val="24"/>
        </w:rPr>
        <w:t>质保期完为止。最终监理费按施工合同价乘以</w:t>
      </w:r>
      <w:r>
        <w:rPr>
          <w:rFonts w:hint="eastAsia" w:ascii="宋体" w:hAnsi="宋体"/>
          <w:sz w:val="24"/>
          <w:u w:val="single"/>
          <w:lang w:val="en-US" w:eastAsia="zh-CN"/>
        </w:rPr>
        <w:t xml:space="preserve">     </w:t>
      </w:r>
      <w:r>
        <w:rPr>
          <w:rFonts w:hint="eastAsia" w:ascii="宋体" w:hAnsi="宋体"/>
          <w:sz w:val="24"/>
        </w:rPr>
        <w:t>%计算，本监理报酬即为结算价</w:t>
      </w:r>
      <w:r>
        <w:rPr>
          <w:rFonts w:hint="eastAsia" w:ascii="宋体" w:hAnsi="宋体"/>
          <w:color w:val="000000"/>
          <w:sz w:val="24"/>
        </w:rPr>
        <w:t>，不随工期、结算造价调整而变化。</w:t>
      </w:r>
    </w:p>
    <w:p>
      <w:pPr>
        <w:shd w:val="clear" w:color="auto" w:fill="FFFFFF"/>
        <w:tabs>
          <w:tab w:val="left" w:pos="142"/>
        </w:tabs>
        <w:spacing w:line="360" w:lineRule="exact"/>
        <w:ind w:left="141" w:leftChars="67" w:firstLine="501" w:firstLineChars="209"/>
        <w:rPr>
          <w:rFonts w:hint="eastAsia" w:ascii="宋体" w:hAnsi="宋体"/>
          <w:color w:val="000000"/>
          <w:sz w:val="24"/>
        </w:rPr>
      </w:pPr>
      <w:r>
        <w:rPr>
          <w:rFonts w:hint="eastAsia" w:ascii="宋体" w:hAnsi="宋体"/>
          <w:sz w:val="24"/>
        </w:rPr>
        <w:t>39-2</w:t>
      </w:r>
      <w:r>
        <w:rPr>
          <w:rFonts w:hint="eastAsia" w:ascii="宋体" w:hAnsi="宋体"/>
          <w:color w:val="000000"/>
          <w:sz w:val="24"/>
        </w:rPr>
        <w:t>项目进度达到50%时（以施工进度款百分比为准），委托人在收到监理人请款申请</w:t>
      </w:r>
      <w:r>
        <w:rPr>
          <w:rFonts w:hint="eastAsia" w:ascii="宋体" w:hAnsi="宋体"/>
          <w:color w:val="auto"/>
          <w:sz w:val="24"/>
        </w:rPr>
        <w:t>后</w:t>
      </w:r>
      <w:r>
        <w:rPr>
          <w:rFonts w:hint="eastAsia" w:ascii="宋体" w:hAnsi="宋体"/>
          <w:color w:val="auto"/>
          <w:sz w:val="24"/>
          <w:lang w:val="en-US" w:eastAsia="zh-CN"/>
        </w:rPr>
        <w:t>30</w:t>
      </w:r>
      <w:r>
        <w:rPr>
          <w:rFonts w:hint="eastAsia" w:ascii="宋体" w:hAnsi="宋体"/>
          <w:color w:val="auto"/>
          <w:sz w:val="24"/>
        </w:rPr>
        <w:t>天内向监</w:t>
      </w:r>
      <w:r>
        <w:rPr>
          <w:rFonts w:hint="eastAsia" w:ascii="宋体" w:hAnsi="宋体"/>
          <w:color w:val="000000"/>
          <w:sz w:val="24"/>
        </w:rPr>
        <w:t>理人支付相应项目监理费的40％。</w:t>
      </w:r>
    </w:p>
    <w:p>
      <w:pPr>
        <w:spacing w:before="156" w:beforeLines="50" w:after="156" w:afterLines="50" w:line="360" w:lineRule="exact"/>
        <w:ind w:left="141" w:leftChars="67" w:firstLine="516" w:firstLineChars="215"/>
        <w:rPr>
          <w:rFonts w:hint="eastAsia" w:ascii="宋体" w:hAnsi="宋体"/>
          <w:color w:val="000000"/>
          <w:sz w:val="24"/>
        </w:rPr>
      </w:pPr>
      <w:r>
        <w:rPr>
          <w:rFonts w:hint="eastAsia" w:ascii="宋体" w:hAnsi="宋体"/>
          <w:color w:val="000000"/>
          <w:sz w:val="24"/>
        </w:rPr>
        <w:t>39-3 项目竣工验收</w:t>
      </w:r>
      <w:r>
        <w:rPr>
          <w:rFonts w:hint="eastAsia" w:ascii="宋体" w:hAnsi="宋体"/>
          <w:color w:val="000000"/>
          <w:sz w:val="24"/>
          <w:lang w:eastAsia="zh-CN"/>
        </w:rPr>
        <w:t>合格</w:t>
      </w:r>
      <w:r>
        <w:rPr>
          <w:rFonts w:hint="eastAsia" w:ascii="宋体" w:hAnsi="宋体"/>
          <w:color w:val="000000"/>
          <w:sz w:val="24"/>
        </w:rPr>
        <w:t>或交付使用后，委托人在收到监理人请款申请后</w:t>
      </w:r>
      <w:r>
        <w:rPr>
          <w:rFonts w:hint="eastAsia" w:ascii="宋体" w:hAnsi="宋体"/>
          <w:color w:val="000000"/>
          <w:sz w:val="24"/>
          <w:lang w:val="en-US" w:eastAsia="zh-CN"/>
        </w:rPr>
        <w:t>30</w:t>
      </w:r>
      <w:r>
        <w:rPr>
          <w:rFonts w:hint="eastAsia" w:ascii="宋体" w:hAnsi="宋体"/>
          <w:color w:val="000000"/>
          <w:sz w:val="24"/>
        </w:rPr>
        <w:t>天内向监理人支付至相应项目实际监理费的80％。</w:t>
      </w:r>
    </w:p>
    <w:p>
      <w:pPr>
        <w:spacing w:before="156" w:beforeLines="50" w:after="156" w:afterLines="50" w:line="360" w:lineRule="exact"/>
        <w:ind w:firstLine="600" w:firstLineChars="250"/>
        <w:rPr>
          <w:rFonts w:hint="eastAsia" w:ascii="宋体" w:hAnsi="宋体"/>
          <w:color w:val="000000"/>
          <w:sz w:val="24"/>
        </w:rPr>
      </w:pPr>
      <w:r>
        <w:rPr>
          <w:rFonts w:ascii="宋体" w:hAnsi="宋体"/>
          <w:color w:val="000000"/>
          <w:sz w:val="24"/>
        </w:rPr>
        <w:t>39-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项目工程结算经委托人审核后、监理人向委托人移交监理资料后15天内，委托人向监理人支付至实际监理费的97%；余下3%待工程项目质保期满并办理完质保期验收后15天内支付。</w:t>
      </w:r>
    </w:p>
    <w:p>
      <w:pPr>
        <w:spacing w:before="156" w:beforeLines="50" w:after="156" w:afterLines="50" w:line="360" w:lineRule="exact"/>
        <w:ind w:firstLine="600" w:firstLineChars="250"/>
        <w:rPr>
          <w:rFonts w:hint="eastAsia" w:ascii="宋体" w:hAnsi="宋体"/>
          <w:color w:val="000000"/>
          <w:sz w:val="24"/>
        </w:rPr>
      </w:pPr>
      <w:r>
        <w:rPr>
          <w:rFonts w:hint="eastAsia" w:ascii="宋体" w:hAnsi="宋体"/>
          <w:color w:val="000000"/>
          <w:sz w:val="24"/>
        </w:rPr>
        <w:t>39-5.</w:t>
      </w:r>
      <w:r>
        <w:rPr>
          <w:rFonts w:hint="eastAsia"/>
        </w:rPr>
        <w:t xml:space="preserve"> </w:t>
      </w:r>
      <w:r>
        <w:rPr>
          <w:rFonts w:hint="eastAsia" w:ascii="宋体" w:hAnsi="宋体"/>
          <w:color w:val="000000"/>
          <w:sz w:val="24"/>
        </w:rPr>
        <w:t>本工程由于受到工期延长、资金、设计修改变更、施工图延误等非监理人的原因，造成监理期延长，委托人不再向监理人支付附加工作报酬。</w:t>
      </w:r>
    </w:p>
    <w:p>
      <w:pPr>
        <w:spacing w:before="156" w:beforeLines="50" w:after="156" w:afterLines="50" w:line="360" w:lineRule="exact"/>
        <w:ind w:firstLine="600" w:firstLineChars="250"/>
        <w:rPr>
          <w:rFonts w:hint="eastAsia" w:ascii="宋体" w:hAnsi="宋体"/>
          <w:color w:val="000000"/>
          <w:sz w:val="24"/>
        </w:rPr>
      </w:pPr>
      <w:r>
        <w:rPr>
          <w:rFonts w:ascii="宋体" w:hAnsi="宋体"/>
          <w:color w:val="000000"/>
          <w:sz w:val="24"/>
        </w:rPr>
        <w:t>39-</w:t>
      </w:r>
      <w:r>
        <w:rPr>
          <w:rFonts w:hint="eastAsia" w:ascii="宋体" w:hAnsi="宋体"/>
          <w:color w:val="000000"/>
          <w:sz w:val="24"/>
        </w:rPr>
        <w:t>6.委托人委托监理人担负本监理合同外的咨询、监理及鉴定等活动时，双方可临时协商该附加监理工作的报酬。</w:t>
      </w:r>
    </w:p>
    <w:p>
      <w:pPr>
        <w:spacing w:before="156" w:beforeLines="50" w:after="156" w:afterLines="50" w:line="360" w:lineRule="exact"/>
        <w:ind w:firstLine="600" w:firstLineChars="250"/>
        <w:rPr>
          <w:rFonts w:hint="eastAsia" w:ascii="宋体" w:hAnsi="宋体"/>
          <w:color w:val="000000"/>
          <w:sz w:val="24"/>
        </w:rPr>
      </w:pPr>
      <w:r>
        <w:rPr>
          <w:rFonts w:hint="eastAsia" w:ascii="宋体" w:hAnsi="宋体"/>
          <w:color w:val="000000"/>
          <w:sz w:val="24"/>
        </w:rPr>
        <w:t>39-7.每次支付监理服务费监理人均需向委托人提供等额有效的发票。</w:t>
      </w:r>
    </w:p>
    <w:p>
      <w:pPr>
        <w:spacing w:before="156" w:beforeLines="50" w:after="156" w:afterLines="50" w:line="360" w:lineRule="exact"/>
        <w:ind w:firstLine="482" w:firstLineChars="200"/>
        <w:rPr>
          <w:rFonts w:hint="eastAsia" w:ascii="宋体" w:hAnsi="宋体"/>
          <w:color w:val="000000"/>
          <w:sz w:val="24"/>
        </w:rPr>
      </w:pPr>
      <w:r>
        <w:rPr>
          <w:rFonts w:hint="eastAsia" w:ascii="宋体" w:hAnsi="宋体"/>
          <w:b/>
          <w:color w:val="000000"/>
          <w:sz w:val="24"/>
        </w:rPr>
        <w:t xml:space="preserve"> 第四十一条</w:t>
      </w:r>
      <w:r>
        <w:rPr>
          <w:rFonts w:hint="eastAsia" w:ascii="宋体" w:hAnsi="宋体"/>
          <w:color w:val="000000"/>
          <w:sz w:val="24"/>
        </w:rPr>
        <w:t xml:space="preserve"> 双方同意用人民币支付监理报酬。</w:t>
      </w:r>
    </w:p>
    <w:p>
      <w:pPr>
        <w:spacing w:before="156" w:beforeLines="50" w:after="156" w:afterLines="50" w:line="360" w:lineRule="exact"/>
        <w:ind w:firstLine="602" w:firstLineChars="250"/>
        <w:rPr>
          <w:rFonts w:hint="eastAsia" w:ascii="宋体" w:hAnsi="宋体"/>
          <w:color w:val="000000"/>
          <w:sz w:val="24"/>
        </w:rPr>
      </w:pPr>
      <w:r>
        <w:rPr>
          <w:rFonts w:hint="eastAsia" w:ascii="宋体" w:hAnsi="宋体"/>
          <w:b/>
          <w:color w:val="000000"/>
          <w:sz w:val="24"/>
        </w:rPr>
        <w:t>第四十九条</w:t>
      </w:r>
      <w:r>
        <w:rPr>
          <w:rFonts w:hint="eastAsia" w:ascii="宋体" w:hAnsi="宋体"/>
          <w:color w:val="000000"/>
          <w:sz w:val="24"/>
        </w:rPr>
        <w:t xml:space="preserve"> 本合同在履行过程中发生争议时，当事人双方应及时协商解决。协商不成时，双方当事人</w:t>
      </w:r>
      <w:r>
        <w:rPr>
          <w:rFonts w:hint="eastAsia" w:ascii="宋体" w:hAnsi="宋体"/>
          <w:color w:val="000000"/>
          <w:sz w:val="24"/>
          <w:lang w:eastAsia="zh-CN"/>
        </w:rPr>
        <w:t>可</w:t>
      </w:r>
      <w:r>
        <w:rPr>
          <w:rFonts w:hint="eastAsia" w:ascii="宋体" w:hAnsi="宋体"/>
          <w:color w:val="000000"/>
          <w:sz w:val="24"/>
        </w:rPr>
        <w:t>向</w:t>
      </w:r>
      <w:r>
        <w:rPr>
          <w:rFonts w:hint="eastAsia" w:ascii="宋体" w:hAnsi="宋体"/>
          <w:color w:val="000000"/>
          <w:sz w:val="24"/>
          <w:lang w:eastAsia="zh-CN"/>
        </w:rPr>
        <w:t>广州市越秀区</w:t>
      </w:r>
      <w:r>
        <w:rPr>
          <w:rFonts w:hint="eastAsia" w:ascii="宋体" w:hAnsi="宋体"/>
          <w:color w:val="000000"/>
          <w:sz w:val="24"/>
        </w:rPr>
        <w:t>人民法院提起诉讼。</w:t>
      </w:r>
    </w:p>
    <w:p>
      <w:pPr>
        <w:spacing w:before="156" w:beforeLines="50" w:after="156" w:afterLines="50" w:line="360" w:lineRule="exact"/>
        <w:ind w:firstLine="600" w:firstLineChars="250"/>
        <w:rPr>
          <w:rFonts w:hint="default" w:ascii="宋体" w:hAnsi="宋体" w:eastAsia="宋体"/>
          <w:color w:val="000000"/>
          <w:sz w:val="24"/>
          <w:lang w:val="en-US" w:eastAsia="zh-CN"/>
        </w:rPr>
      </w:pPr>
      <w:r>
        <w:rPr>
          <w:rFonts w:hint="eastAsia" w:ascii="宋体" w:hAnsi="宋体"/>
          <w:b w:val="0"/>
          <w:bCs w:val="0"/>
          <w:color w:val="000000"/>
          <w:sz w:val="24"/>
          <w:szCs w:val="24"/>
          <w:lang w:val="en-US" w:eastAsia="zh-CN"/>
        </w:rPr>
        <w:t>合同附件：</w:t>
      </w:r>
      <w:r>
        <w:rPr>
          <w:rFonts w:hint="eastAsia" w:ascii="宋体" w:hAnsi="宋体" w:eastAsia="宋体" w:cs="宋体"/>
          <w:b w:val="0"/>
          <w:bCs w:val="0"/>
          <w:color w:val="000000"/>
          <w:sz w:val="24"/>
          <w:szCs w:val="24"/>
          <w:lang w:eastAsia="zh-CN"/>
        </w:rPr>
        <w:t>供应商廉洁守约承诺函</w:t>
      </w:r>
    </w:p>
    <w:p>
      <w:pPr>
        <w:tabs>
          <w:tab w:val="left" w:pos="1260"/>
        </w:tabs>
        <w:spacing w:before="145" w:beforeLines="50" w:after="145" w:afterLines="50" w:line="360" w:lineRule="exact"/>
        <w:ind w:left="601"/>
        <w:rPr>
          <w:rFonts w:hint="eastAsia" w:ascii="宋体" w:hAnsi="宋体"/>
          <w:color w:val="000000"/>
          <w:sz w:val="24"/>
          <w:highlight w:val="none"/>
        </w:rPr>
      </w:pPr>
      <w:r>
        <w:rPr>
          <w:rFonts w:hint="eastAsia" w:ascii="宋体" w:hAnsi="宋体"/>
          <w:color w:val="000000"/>
          <w:sz w:val="24"/>
          <w:highlight w:val="none"/>
        </w:rPr>
        <w:t>（以下无正文）</w:t>
      </w:r>
    </w:p>
    <w:p>
      <w:pPr>
        <w:ind w:left="6720" w:hanging="6720" w:hangingChars="2800"/>
        <w:jc w:val="left"/>
        <w:rPr>
          <w:rFonts w:hint="eastAsia" w:hAnsi="宋体"/>
          <w:color w:val="000000"/>
          <w:sz w:val="24"/>
          <w:highlight w:val="none"/>
        </w:rPr>
      </w:pPr>
      <w:r>
        <w:rPr>
          <w:rFonts w:hint="eastAsia" w:ascii="宋体" w:hAnsi="宋体"/>
          <w:color w:val="000000"/>
          <w:sz w:val="24"/>
          <w:highlight w:val="none"/>
        </w:rPr>
        <w:t>委托人（公章）：</w:t>
      </w:r>
      <w:r>
        <w:rPr>
          <w:rFonts w:hint="eastAsia" w:ascii="宋体" w:hAnsi="宋体"/>
          <w:bCs/>
          <w:color w:val="000000"/>
          <w:sz w:val="24"/>
          <w:highlight w:val="none"/>
        </w:rPr>
        <w:t xml:space="preserve">                       </w:t>
      </w:r>
      <w:r>
        <w:rPr>
          <w:rFonts w:hint="eastAsia" w:ascii="宋体" w:hAnsi="宋体"/>
          <w:bCs/>
          <w:color w:val="000000"/>
          <w:sz w:val="24"/>
          <w:highlight w:val="none"/>
          <w:lang w:val="en-US" w:eastAsia="zh-CN"/>
        </w:rPr>
        <w:t xml:space="preserve"> </w:t>
      </w:r>
      <w:r>
        <w:rPr>
          <w:rFonts w:hint="eastAsia" w:hAnsi="宋体"/>
          <w:color w:val="000000"/>
          <w:sz w:val="24"/>
          <w:highlight w:val="none"/>
        </w:rPr>
        <w:t>监理人(公章) ：</w:t>
      </w:r>
    </w:p>
    <w:p>
      <w:pPr>
        <w:ind w:left="6720" w:hanging="6720" w:hangingChars="2800"/>
        <w:jc w:val="left"/>
        <w:rPr>
          <w:rFonts w:hint="eastAsia" w:ascii="宋体" w:hAnsi="宋体"/>
          <w:bCs/>
          <w:color w:val="000000"/>
          <w:sz w:val="24"/>
          <w:highlight w:val="none"/>
        </w:rPr>
      </w:pPr>
      <w:r>
        <w:rPr>
          <w:rFonts w:hint="eastAsia" w:ascii="宋体" w:hAnsi="宋体"/>
          <w:bCs/>
          <w:color w:val="000000"/>
          <w:sz w:val="24"/>
          <w:highlight w:val="none"/>
        </w:rPr>
        <w:t xml:space="preserve">中山大学孙逸仙纪念医院                   </w:t>
      </w:r>
    </w:p>
    <w:p>
      <w:pPr>
        <w:spacing w:line="360" w:lineRule="auto"/>
        <w:rPr>
          <w:rFonts w:hint="eastAsia" w:ascii="宋体" w:hAnsi="宋体"/>
          <w:bCs/>
          <w:color w:val="000000"/>
          <w:sz w:val="24"/>
          <w:highlight w:val="none"/>
        </w:rPr>
      </w:pPr>
      <w:r>
        <w:rPr>
          <w:rFonts w:hint="eastAsia" w:ascii="宋体" w:hAnsi="宋体"/>
          <w:bCs/>
          <w:color w:val="000000"/>
          <w:sz w:val="24"/>
          <w:highlight w:val="none"/>
        </w:rPr>
        <w:t>法定代表人：</w:t>
      </w:r>
      <w:r>
        <w:rPr>
          <w:rFonts w:ascii="宋体" w:hAnsi="宋体"/>
          <w:bCs/>
          <w:color w:val="000000"/>
          <w:sz w:val="24"/>
          <w:highlight w:val="none"/>
        </w:rPr>
        <w:t xml:space="preserve"> </w:t>
      </w:r>
      <w:r>
        <w:rPr>
          <w:rFonts w:hint="eastAsia" w:ascii="宋体" w:hAnsi="宋体"/>
          <w:bCs/>
          <w:color w:val="000000"/>
          <w:sz w:val="24"/>
          <w:highlight w:val="none"/>
        </w:rPr>
        <w:t xml:space="preserve">                           法定代表人：</w:t>
      </w:r>
    </w:p>
    <w:p>
      <w:pPr>
        <w:spacing w:line="360" w:lineRule="auto"/>
        <w:rPr>
          <w:rFonts w:hint="eastAsia" w:ascii="宋体" w:hAnsi="宋体"/>
          <w:bCs/>
          <w:color w:val="000000"/>
          <w:sz w:val="24"/>
          <w:highlight w:val="none"/>
        </w:rPr>
      </w:pPr>
      <w:r>
        <w:rPr>
          <w:rFonts w:hint="eastAsia" w:ascii="宋体" w:hAnsi="宋体"/>
          <w:bCs/>
          <w:color w:val="000000"/>
          <w:sz w:val="24"/>
          <w:highlight w:val="none"/>
        </w:rPr>
        <w:t>委托代理人：                            委托代理人：</w:t>
      </w:r>
    </w:p>
    <w:p>
      <w:pPr>
        <w:spacing w:line="360" w:lineRule="auto"/>
        <w:rPr>
          <w:rFonts w:hint="eastAsia" w:ascii="宋体" w:hAnsi="宋体"/>
          <w:bCs/>
          <w:color w:val="000000"/>
          <w:sz w:val="24"/>
          <w:highlight w:val="none"/>
        </w:rPr>
      </w:pPr>
      <w:r>
        <w:rPr>
          <w:rFonts w:hint="eastAsia" w:ascii="宋体" w:hAnsi="宋体"/>
          <w:bCs/>
          <w:color w:val="000000"/>
          <w:sz w:val="24"/>
          <w:highlight w:val="none"/>
        </w:rPr>
        <w:t>联系人：                                联系人：</w:t>
      </w:r>
    </w:p>
    <w:p>
      <w:pPr>
        <w:ind w:left="5640" w:hanging="5640" w:hangingChars="2350"/>
        <w:rPr>
          <w:rFonts w:hint="eastAsia" w:ascii="宋体" w:hAnsi="宋体"/>
          <w:color w:val="000000"/>
          <w:sz w:val="24"/>
          <w:highlight w:val="none"/>
        </w:rPr>
      </w:pPr>
      <w:r>
        <w:rPr>
          <w:rFonts w:hint="eastAsia" w:ascii="宋体" w:hAnsi="宋体"/>
          <w:color w:val="000000"/>
          <w:sz w:val="24"/>
          <w:highlight w:val="none"/>
        </w:rPr>
        <w:t>地   址： 广州市越秀区沿江西路107号    地  址:</w:t>
      </w:r>
      <w:r>
        <w:rPr>
          <w:rFonts w:ascii="宋体" w:hAnsi="宋体"/>
          <w:color w:val="000000"/>
          <w:sz w:val="24"/>
          <w:highlight w:val="none"/>
        </w:rPr>
        <w:t xml:space="preserve"> </w:t>
      </w:r>
      <w:r>
        <w:rPr>
          <w:rFonts w:hint="eastAsia" w:ascii="宋体" w:hAnsi="宋体"/>
          <w:color w:val="000000"/>
          <w:sz w:val="24"/>
          <w:highlight w:val="none"/>
        </w:rPr>
        <w:t xml:space="preserve"> </w:t>
      </w:r>
    </w:p>
    <w:p>
      <w:pPr>
        <w:rPr>
          <w:rFonts w:hint="eastAsia" w:ascii="宋体" w:hAnsi="宋体"/>
          <w:color w:val="000000"/>
          <w:sz w:val="24"/>
          <w:highlight w:val="none"/>
        </w:rPr>
      </w:pPr>
      <w:r>
        <w:rPr>
          <w:rFonts w:hint="eastAsia" w:ascii="宋体" w:hAnsi="宋体"/>
          <w:color w:val="000000"/>
          <w:sz w:val="24"/>
          <w:highlight w:val="none"/>
        </w:rPr>
        <w:t>开户银行：</w:t>
      </w:r>
      <w:r>
        <w:rPr>
          <w:rFonts w:hint="eastAsia" w:ascii="宋体" w:hAnsi="宋体" w:cs="SimSun-Identity-H"/>
          <w:color w:val="000000"/>
          <w:kern w:val="0"/>
          <w:sz w:val="24"/>
          <w:highlight w:val="none"/>
        </w:rPr>
        <w:t xml:space="preserve">工行二支行                    </w:t>
      </w:r>
      <w:r>
        <w:rPr>
          <w:rFonts w:hint="eastAsia" w:ascii="宋体" w:hAnsi="宋体"/>
          <w:color w:val="000000"/>
          <w:sz w:val="24"/>
          <w:highlight w:val="none"/>
        </w:rPr>
        <w:t xml:space="preserve">开户银行:  </w:t>
      </w:r>
    </w:p>
    <w:p>
      <w:pPr>
        <w:rPr>
          <w:rFonts w:hint="eastAsia" w:ascii="宋体" w:hAnsi="宋体"/>
          <w:color w:val="000000"/>
          <w:sz w:val="24"/>
          <w:highlight w:val="none"/>
        </w:rPr>
      </w:pPr>
      <w:r>
        <w:rPr>
          <w:rFonts w:hint="eastAsia" w:ascii="宋体" w:hAnsi="宋体"/>
          <w:color w:val="000000"/>
          <w:sz w:val="24"/>
          <w:highlight w:val="none"/>
          <w:lang w:eastAsia="zh-CN"/>
        </w:rPr>
        <w:t>账</w:t>
      </w:r>
      <w:r>
        <w:rPr>
          <w:rFonts w:hint="eastAsia" w:ascii="宋体" w:hAnsi="宋体"/>
          <w:color w:val="000000"/>
          <w:sz w:val="24"/>
          <w:highlight w:val="none"/>
        </w:rPr>
        <w:t xml:space="preserve">    号：</w:t>
      </w:r>
      <w:r>
        <w:rPr>
          <w:rFonts w:ascii="宋体" w:hAnsi="宋体"/>
          <w:color w:val="000000"/>
          <w:sz w:val="24"/>
          <w:highlight w:val="none"/>
        </w:rPr>
        <w:t>3602000509000704422</w:t>
      </w:r>
      <w:r>
        <w:rPr>
          <w:rFonts w:hint="eastAsia" w:ascii="宋体" w:hAnsi="宋体"/>
          <w:color w:val="000000"/>
          <w:sz w:val="24"/>
          <w:highlight w:val="none"/>
        </w:rPr>
        <w:t xml:space="preserve">           </w:t>
      </w:r>
      <w:r>
        <w:rPr>
          <w:rFonts w:hint="eastAsia" w:ascii="宋体" w:hAnsi="宋体"/>
          <w:color w:val="000000"/>
          <w:sz w:val="24"/>
          <w:highlight w:val="none"/>
          <w:lang w:eastAsia="zh-CN"/>
        </w:rPr>
        <w:t>账</w:t>
      </w:r>
      <w:r>
        <w:rPr>
          <w:rFonts w:hint="eastAsia" w:ascii="宋体" w:hAnsi="宋体"/>
          <w:color w:val="000000"/>
          <w:sz w:val="24"/>
          <w:highlight w:val="none"/>
        </w:rPr>
        <w:t xml:space="preserve">  号: </w:t>
      </w:r>
      <w:r>
        <w:rPr>
          <w:rFonts w:ascii="宋体" w:hAnsi="宋体"/>
          <w:color w:val="000000"/>
          <w:sz w:val="24"/>
          <w:highlight w:val="none"/>
        </w:rPr>
        <w:t xml:space="preserve"> </w:t>
      </w:r>
    </w:p>
    <w:p>
      <w:pPr>
        <w:rPr>
          <w:rFonts w:hint="eastAsia" w:ascii="宋体" w:hAnsi="宋体"/>
          <w:color w:val="000000"/>
          <w:sz w:val="24"/>
          <w:highlight w:val="none"/>
        </w:rPr>
      </w:pPr>
      <w:r>
        <w:rPr>
          <w:rFonts w:hint="eastAsia" w:ascii="宋体" w:hAnsi="宋体"/>
          <w:color w:val="000000"/>
          <w:sz w:val="24"/>
          <w:highlight w:val="none"/>
        </w:rPr>
        <w:t xml:space="preserve">邮    编：510120                        邮  编: </w:t>
      </w:r>
      <w:r>
        <w:rPr>
          <w:rFonts w:ascii="宋体" w:hAnsi="宋体"/>
          <w:color w:val="000000"/>
          <w:sz w:val="24"/>
          <w:highlight w:val="none"/>
        </w:rPr>
        <w:t xml:space="preserve"> </w:t>
      </w:r>
    </w:p>
    <w:p>
      <w:pPr>
        <w:rPr>
          <w:rFonts w:hint="eastAsia" w:ascii="宋体" w:hAnsi="宋体"/>
          <w:color w:val="000000"/>
          <w:sz w:val="24"/>
          <w:highlight w:val="none"/>
        </w:rPr>
      </w:pPr>
      <w:r>
        <w:rPr>
          <w:rFonts w:hint="eastAsia" w:ascii="宋体" w:hAnsi="宋体"/>
          <w:color w:val="000000"/>
          <w:sz w:val="24"/>
          <w:highlight w:val="none"/>
        </w:rPr>
        <w:t xml:space="preserve">电    话：020-81332029                  电  话: </w:t>
      </w:r>
      <w:r>
        <w:rPr>
          <w:rFonts w:ascii="宋体" w:hAnsi="宋体"/>
          <w:color w:val="000000"/>
          <w:sz w:val="24"/>
          <w:highlight w:val="none"/>
        </w:rPr>
        <w:t xml:space="preserve"> </w:t>
      </w:r>
    </w:p>
    <w:p>
      <w:pPr>
        <w:ind w:left="645"/>
        <w:jc w:val="center"/>
        <w:rPr>
          <w:rFonts w:hint="eastAsia" w:ascii="宋体" w:hAnsi="宋体" w:cs="宋体"/>
          <w:sz w:val="24"/>
          <w:szCs w:val="24"/>
        </w:rPr>
      </w:pPr>
      <w:r>
        <w:rPr>
          <w:rFonts w:hint="eastAsia" w:ascii="宋体" w:hAnsi="宋体"/>
          <w:color w:val="000000"/>
          <w:sz w:val="24"/>
          <w:highlight w:val="none"/>
        </w:rPr>
        <w:t>本合同签于：</w:t>
      </w:r>
      <w:r>
        <w:rPr>
          <w:rFonts w:hint="eastAsia" w:ascii="宋体" w:hAnsi="宋体"/>
          <w:color w:val="000000"/>
          <w:sz w:val="24"/>
          <w:highlight w:val="none"/>
          <w:u w:val="single"/>
        </w:rPr>
        <w:t>20</w:t>
      </w:r>
      <w:r>
        <w:rPr>
          <w:rFonts w:hint="eastAsia" w:ascii="宋体" w:hAnsi="宋体"/>
          <w:sz w:val="24"/>
          <w:highlight w:val="none"/>
          <w:u w:val="single"/>
        </w:rPr>
        <w:t>25</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   日</w:t>
      </w:r>
      <w:r>
        <w:rPr>
          <w:rFonts w:hint="eastAsia" w:ascii="宋体" w:hAnsi="宋体" w:cs="宋体"/>
          <w:sz w:val="24"/>
          <w:szCs w:val="24"/>
        </w:rPr>
        <w:t xml:space="preserve"> </w:t>
      </w:r>
    </w:p>
    <w:p>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供应商廉洁守约承诺函</w:t>
      </w:r>
    </w:p>
    <w:p>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pPr>
        <w:adjustRightInd w:val="0"/>
        <w:snapToGrid w:val="0"/>
        <w:spacing w:line="360" w:lineRule="auto"/>
        <w:ind w:left="0" w:leftChars="0" w:firstLine="0" w:firstLineChars="0"/>
        <w:jc w:val="left"/>
        <w:rPr>
          <w:rFonts w:hint="eastAsia" w:ascii="宋体" w:hAnsi="宋体" w:cs="仿宋_GB2312"/>
          <w:sz w:val="24"/>
          <w:szCs w:val="24"/>
        </w:rPr>
      </w:pPr>
    </w:p>
    <w:p>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ascii="宋体" w:hAnsi="宋体" w:cs="仿宋_GB2312"/>
          <w:sz w:val="24"/>
          <w:szCs w:val="24"/>
        </w:rPr>
      </w:pPr>
    </w:p>
    <w:p>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pPr>
        <w:snapToGrid w:val="0"/>
        <w:spacing w:line="360" w:lineRule="auto"/>
        <w:ind w:firstLine="435"/>
        <w:rPr>
          <w:rFonts w:hint="eastAsia" w:ascii="宋体" w:hAnsi="宋体" w:cs="仿宋_GB2312"/>
          <w:sz w:val="24"/>
          <w:szCs w:val="24"/>
        </w:rPr>
      </w:pPr>
    </w:p>
    <w:p>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pPr>
        <w:snapToGrid w:val="0"/>
        <w:spacing w:line="360" w:lineRule="auto"/>
        <w:ind w:firstLine="1320" w:firstLineChars="550"/>
        <w:rPr>
          <w:rFonts w:hint="eastAsia" w:ascii="宋体" w:hAnsi="宋体" w:cs="仿宋_GB2312"/>
          <w:sz w:val="24"/>
          <w:szCs w:val="24"/>
        </w:rPr>
      </w:pPr>
    </w:p>
    <w:p>
      <w:pPr>
        <w:snapToGrid w:val="0"/>
        <w:spacing w:line="360" w:lineRule="auto"/>
        <w:ind w:firstLine="1320" w:firstLineChars="550"/>
        <w:rPr>
          <w:rFonts w:hint="eastAsia" w:ascii="宋体" w:hAnsi="宋体" w:cs="仿宋_GB2312"/>
          <w:sz w:val="24"/>
          <w:szCs w:val="24"/>
        </w:rPr>
      </w:pPr>
    </w:p>
    <w:p>
      <w:pPr>
        <w:ind w:left="0" w:leftChars="0" w:firstLine="0" w:firstLineChars="0"/>
        <w:jc w:val="center"/>
        <w:rPr>
          <w:rFonts w:ascii="宋体" w:hAnsi="宋体" w:cs="宋体"/>
          <w:sz w:val="24"/>
        </w:rPr>
      </w:pPr>
      <w:r>
        <w:rPr>
          <w:rFonts w:hint="eastAsia" w:ascii="宋体" w:hAnsi="宋体" w:cs="宋体"/>
          <w:sz w:val="24"/>
          <w:szCs w:val="24"/>
        </w:rPr>
        <w:t xml:space="preserve">                </w:t>
      </w:r>
    </w:p>
    <w:sectPr>
      <w:headerReference r:id="rId7" w:type="first"/>
      <w:footerReference r:id="rId9" w:type="first"/>
      <w:headerReference r:id="rId6" w:type="default"/>
      <w:footerReference r:id="rId8"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0</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0</w:t>
    </w:r>
    <w:r>
      <w:rPr>
        <w:lang w:val="zh-CN"/>
      </w:rP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31</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2"/>
      <w:numFmt w:val="decimal"/>
      <w:lvlText w:val="%1"/>
      <w:lvlJc w:val="left"/>
      <w:pPr>
        <w:tabs>
          <w:tab w:val="left" w:pos="1080"/>
        </w:tabs>
        <w:ind w:left="1080" w:hanging="1080"/>
      </w:pPr>
      <w:rPr>
        <w:rFonts w:hint="eastAsia"/>
      </w:rPr>
    </w:lvl>
    <w:lvl w:ilvl="1" w:tentative="0">
      <w:start w:val="1"/>
      <w:numFmt w:val="decimal"/>
      <w:lvlText w:val="%1—%2"/>
      <w:lvlJc w:val="left"/>
      <w:pPr>
        <w:tabs>
          <w:tab w:val="left" w:pos="1620"/>
        </w:tabs>
        <w:ind w:left="1620" w:hanging="1080"/>
      </w:pPr>
      <w:rPr>
        <w:rFonts w:hint="eastAsia"/>
      </w:rPr>
    </w:lvl>
    <w:lvl w:ilvl="2" w:tentative="0">
      <w:start w:val="1"/>
      <w:numFmt w:val="decimal"/>
      <w:lvlText w:val="%1—%2.%3"/>
      <w:lvlJc w:val="left"/>
      <w:pPr>
        <w:tabs>
          <w:tab w:val="left" w:pos="2160"/>
        </w:tabs>
        <w:ind w:left="2160" w:hanging="1080"/>
      </w:pPr>
      <w:rPr>
        <w:rFonts w:hint="eastAsia"/>
      </w:rPr>
    </w:lvl>
    <w:lvl w:ilvl="3" w:tentative="0">
      <w:start w:val="1"/>
      <w:numFmt w:val="decimal"/>
      <w:lvlText w:val="%1—%2.%3.%4"/>
      <w:lvlJc w:val="left"/>
      <w:pPr>
        <w:tabs>
          <w:tab w:val="left" w:pos="2700"/>
        </w:tabs>
        <w:ind w:left="2700" w:hanging="1080"/>
      </w:pPr>
      <w:rPr>
        <w:rFonts w:hint="eastAsia"/>
      </w:rPr>
    </w:lvl>
    <w:lvl w:ilvl="4" w:tentative="0">
      <w:start w:val="1"/>
      <w:numFmt w:val="decimal"/>
      <w:lvlText w:val="%1—%2.%3.%4.%5"/>
      <w:lvlJc w:val="left"/>
      <w:pPr>
        <w:tabs>
          <w:tab w:val="left" w:pos="3240"/>
        </w:tabs>
        <w:ind w:left="3240" w:hanging="1080"/>
      </w:pPr>
      <w:rPr>
        <w:rFonts w:hint="eastAsia"/>
      </w:rPr>
    </w:lvl>
    <w:lvl w:ilvl="5" w:tentative="0">
      <w:start w:val="1"/>
      <w:numFmt w:val="decimal"/>
      <w:lvlText w:val="%1—%2.%3.%4.%5.%6"/>
      <w:lvlJc w:val="left"/>
      <w:pPr>
        <w:tabs>
          <w:tab w:val="left" w:pos="3780"/>
        </w:tabs>
        <w:ind w:left="3780" w:hanging="1080"/>
      </w:pPr>
      <w:rPr>
        <w:rFonts w:hint="eastAsia"/>
      </w:rPr>
    </w:lvl>
    <w:lvl w:ilvl="6" w:tentative="0">
      <w:start w:val="1"/>
      <w:numFmt w:val="decimal"/>
      <w:lvlText w:val="%1—%2.%3.%4.%5.%6.%7"/>
      <w:lvlJc w:val="left"/>
      <w:pPr>
        <w:tabs>
          <w:tab w:val="left" w:pos="4320"/>
        </w:tabs>
        <w:ind w:left="4320" w:hanging="1080"/>
      </w:pPr>
      <w:rPr>
        <w:rFonts w:hint="eastAsia"/>
      </w:rPr>
    </w:lvl>
    <w:lvl w:ilvl="7" w:tentative="0">
      <w:start w:val="1"/>
      <w:numFmt w:val="decimal"/>
      <w:lvlText w:val="%1—%2.%3.%4.%5.%6.%7.%8"/>
      <w:lvlJc w:val="left"/>
      <w:pPr>
        <w:tabs>
          <w:tab w:val="left" w:pos="4860"/>
        </w:tabs>
        <w:ind w:left="4860" w:hanging="1080"/>
      </w:pPr>
      <w:rPr>
        <w:rFonts w:hint="eastAsia"/>
      </w:rPr>
    </w:lvl>
    <w:lvl w:ilvl="8" w:tentative="0">
      <w:start w:val="1"/>
      <w:numFmt w:val="decimal"/>
      <w:lvlText w:val="%1—%2.%3.%4.%5.%6.%7.%8.%9"/>
      <w:lvlJc w:val="left"/>
      <w:pPr>
        <w:tabs>
          <w:tab w:val="left" w:pos="5400"/>
        </w:tabs>
        <w:ind w:left="5400" w:hanging="1080"/>
      </w:pPr>
      <w:rPr>
        <w:rFonts w:hint="eastAsia"/>
      </w:rPr>
    </w:lvl>
  </w:abstractNum>
  <w:abstractNum w:abstractNumId="1">
    <w:nsid w:val="00000012"/>
    <w:multiLevelType w:val="singleLevel"/>
    <w:tmpl w:val="00000012"/>
    <w:lvl w:ilvl="0" w:tentative="0">
      <w:start w:val="1"/>
      <w:numFmt w:val="japaneseCounting"/>
      <w:lvlText w:val="%1、"/>
      <w:lvlJc w:val="left"/>
      <w:pPr>
        <w:tabs>
          <w:tab w:val="left" w:pos="1200"/>
        </w:tabs>
        <w:ind w:left="1200" w:hanging="600"/>
      </w:pPr>
      <w:rPr>
        <w:rFonts w:hint="eastAsia"/>
      </w:rPr>
    </w:lvl>
  </w:abstractNum>
  <w:abstractNum w:abstractNumId="2">
    <w:nsid w:val="417D31A2"/>
    <w:multiLevelType w:val="singleLevel"/>
    <w:tmpl w:val="417D31A2"/>
    <w:lvl w:ilvl="0" w:tentative="0">
      <w:start w:val="1"/>
      <w:numFmt w:val="chineseCounting"/>
      <w:suff w:val="nothing"/>
      <w:lvlText w:val="%1、"/>
      <w:lvlJc w:val="left"/>
      <w:rPr>
        <w:rFonts w:hint="eastAsia"/>
      </w:rPr>
    </w:lvl>
  </w:abstractNum>
  <w:abstractNum w:abstractNumId="3">
    <w:nsid w:val="481AEBD5"/>
    <w:multiLevelType w:val="singleLevel"/>
    <w:tmpl w:val="481AEBD5"/>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8C11BF"/>
    <w:rsid w:val="01987FE8"/>
    <w:rsid w:val="021D1B47"/>
    <w:rsid w:val="022000AF"/>
    <w:rsid w:val="02203B3A"/>
    <w:rsid w:val="02381EFC"/>
    <w:rsid w:val="02443ABC"/>
    <w:rsid w:val="025D5E45"/>
    <w:rsid w:val="0281282A"/>
    <w:rsid w:val="02AA3FDD"/>
    <w:rsid w:val="02B62D45"/>
    <w:rsid w:val="02B7449E"/>
    <w:rsid w:val="02CC69DC"/>
    <w:rsid w:val="02ED7EC0"/>
    <w:rsid w:val="031374C5"/>
    <w:rsid w:val="034076C4"/>
    <w:rsid w:val="036D5585"/>
    <w:rsid w:val="03783724"/>
    <w:rsid w:val="038507CB"/>
    <w:rsid w:val="03B85FA3"/>
    <w:rsid w:val="03F20AEB"/>
    <w:rsid w:val="04064741"/>
    <w:rsid w:val="041B2525"/>
    <w:rsid w:val="041C7ABD"/>
    <w:rsid w:val="04493917"/>
    <w:rsid w:val="047210F8"/>
    <w:rsid w:val="047F1608"/>
    <w:rsid w:val="04FB289B"/>
    <w:rsid w:val="052E47BF"/>
    <w:rsid w:val="0561184A"/>
    <w:rsid w:val="058E35AC"/>
    <w:rsid w:val="059B12C3"/>
    <w:rsid w:val="059B6C35"/>
    <w:rsid w:val="05EC7E18"/>
    <w:rsid w:val="05F009C8"/>
    <w:rsid w:val="06084F90"/>
    <w:rsid w:val="06097792"/>
    <w:rsid w:val="0617479A"/>
    <w:rsid w:val="0627193B"/>
    <w:rsid w:val="06446A75"/>
    <w:rsid w:val="065D35AE"/>
    <w:rsid w:val="06695AAF"/>
    <w:rsid w:val="067508F8"/>
    <w:rsid w:val="068E5516"/>
    <w:rsid w:val="06BF3F2A"/>
    <w:rsid w:val="06D33A0F"/>
    <w:rsid w:val="06EB6E0C"/>
    <w:rsid w:val="06F270BC"/>
    <w:rsid w:val="0717375D"/>
    <w:rsid w:val="07237076"/>
    <w:rsid w:val="07470B0F"/>
    <w:rsid w:val="07783917"/>
    <w:rsid w:val="079B18F7"/>
    <w:rsid w:val="07FE2870"/>
    <w:rsid w:val="083B4F6F"/>
    <w:rsid w:val="085A4E1F"/>
    <w:rsid w:val="0880401A"/>
    <w:rsid w:val="08A13C26"/>
    <w:rsid w:val="08A556D0"/>
    <w:rsid w:val="08B6709A"/>
    <w:rsid w:val="08EB4EA1"/>
    <w:rsid w:val="091C32AD"/>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B1B4579"/>
    <w:rsid w:val="0B281DB2"/>
    <w:rsid w:val="0B3D750A"/>
    <w:rsid w:val="0B7277C4"/>
    <w:rsid w:val="0B753148"/>
    <w:rsid w:val="0BC5093F"/>
    <w:rsid w:val="0BC8771C"/>
    <w:rsid w:val="0BE36304"/>
    <w:rsid w:val="0BF11918"/>
    <w:rsid w:val="0BF56037"/>
    <w:rsid w:val="0BF64289"/>
    <w:rsid w:val="0C152235"/>
    <w:rsid w:val="0C263B31"/>
    <w:rsid w:val="0C3152C1"/>
    <w:rsid w:val="0C4C3EA9"/>
    <w:rsid w:val="0C647D62"/>
    <w:rsid w:val="0C7F277E"/>
    <w:rsid w:val="0CD72091"/>
    <w:rsid w:val="0D731704"/>
    <w:rsid w:val="0DAE1CD4"/>
    <w:rsid w:val="0DB37F58"/>
    <w:rsid w:val="0DCA1F37"/>
    <w:rsid w:val="0DDD35C4"/>
    <w:rsid w:val="0DE41BEC"/>
    <w:rsid w:val="0DED2780"/>
    <w:rsid w:val="0DFB7091"/>
    <w:rsid w:val="0E0E1F7D"/>
    <w:rsid w:val="0E114DF1"/>
    <w:rsid w:val="0E23616E"/>
    <w:rsid w:val="0E3D7C28"/>
    <w:rsid w:val="0E47674E"/>
    <w:rsid w:val="0E4A266A"/>
    <w:rsid w:val="0E6C09F1"/>
    <w:rsid w:val="0E87566C"/>
    <w:rsid w:val="0E9D4F53"/>
    <w:rsid w:val="0EAE1C6E"/>
    <w:rsid w:val="0EC956BA"/>
    <w:rsid w:val="0ECE2D17"/>
    <w:rsid w:val="0EDC6D10"/>
    <w:rsid w:val="0F06712A"/>
    <w:rsid w:val="0F087E2F"/>
    <w:rsid w:val="0F1113DA"/>
    <w:rsid w:val="0F256C33"/>
    <w:rsid w:val="0F276DBA"/>
    <w:rsid w:val="0F2F39B7"/>
    <w:rsid w:val="0F724E8D"/>
    <w:rsid w:val="0F7B5503"/>
    <w:rsid w:val="0FA4312B"/>
    <w:rsid w:val="0FD37F53"/>
    <w:rsid w:val="0FEE7136"/>
    <w:rsid w:val="0FF94D19"/>
    <w:rsid w:val="10007D45"/>
    <w:rsid w:val="1004205B"/>
    <w:rsid w:val="10090F42"/>
    <w:rsid w:val="100F5919"/>
    <w:rsid w:val="10250CCD"/>
    <w:rsid w:val="103C5FE2"/>
    <w:rsid w:val="104D4694"/>
    <w:rsid w:val="106F1535"/>
    <w:rsid w:val="10BA05B4"/>
    <w:rsid w:val="111365EE"/>
    <w:rsid w:val="11163ADF"/>
    <w:rsid w:val="11175575"/>
    <w:rsid w:val="111768B2"/>
    <w:rsid w:val="112001A2"/>
    <w:rsid w:val="1128487D"/>
    <w:rsid w:val="115405C6"/>
    <w:rsid w:val="11590DA4"/>
    <w:rsid w:val="11597426"/>
    <w:rsid w:val="115B3BFB"/>
    <w:rsid w:val="119B4F8B"/>
    <w:rsid w:val="11AA5D0A"/>
    <w:rsid w:val="11EB2135"/>
    <w:rsid w:val="12323B41"/>
    <w:rsid w:val="124205ED"/>
    <w:rsid w:val="12462659"/>
    <w:rsid w:val="1288550F"/>
    <w:rsid w:val="12933A22"/>
    <w:rsid w:val="12AC0A51"/>
    <w:rsid w:val="12B207DE"/>
    <w:rsid w:val="12C02EFB"/>
    <w:rsid w:val="12C10A21"/>
    <w:rsid w:val="12C36875"/>
    <w:rsid w:val="12FD66E5"/>
    <w:rsid w:val="13367661"/>
    <w:rsid w:val="133F1F60"/>
    <w:rsid w:val="134639A2"/>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E3669A"/>
    <w:rsid w:val="150D619F"/>
    <w:rsid w:val="15436065"/>
    <w:rsid w:val="15A06AEA"/>
    <w:rsid w:val="15A524B3"/>
    <w:rsid w:val="15C13B1E"/>
    <w:rsid w:val="15CE39AC"/>
    <w:rsid w:val="15E25C51"/>
    <w:rsid w:val="15FE0B70"/>
    <w:rsid w:val="15FF4DC2"/>
    <w:rsid w:val="161C2E01"/>
    <w:rsid w:val="165322D8"/>
    <w:rsid w:val="16A6065A"/>
    <w:rsid w:val="16AD3796"/>
    <w:rsid w:val="16D76A65"/>
    <w:rsid w:val="16ED44DA"/>
    <w:rsid w:val="16FC169F"/>
    <w:rsid w:val="172C5003"/>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6B16E7"/>
    <w:rsid w:val="19A63B3F"/>
    <w:rsid w:val="19C75D8C"/>
    <w:rsid w:val="1A0933D9"/>
    <w:rsid w:val="1A3B1416"/>
    <w:rsid w:val="1A3D7527"/>
    <w:rsid w:val="1A514D80"/>
    <w:rsid w:val="1A574F73"/>
    <w:rsid w:val="1A641286"/>
    <w:rsid w:val="1A703458"/>
    <w:rsid w:val="1A705206"/>
    <w:rsid w:val="1B045D62"/>
    <w:rsid w:val="1B0D65A0"/>
    <w:rsid w:val="1B1E076D"/>
    <w:rsid w:val="1B3A3A66"/>
    <w:rsid w:val="1B585CE4"/>
    <w:rsid w:val="1B80591D"/>
    <w:rsid w:val="1BA86C22"/>
    <w:rsid w:val="1BBB5A25"/>
    <w:rsid w:val="1BCD48DA"/>
    <w:rsid w:val="1C2019B2"/>
    <w:rsid w:val="1C2E3933"/>
    <w:rsid w:val="1C31231E"/>
    <w:rsid w:val="1C603089"/>
    <w:rsid w:val="1C651DCF"/>
    <w:rsid w:val="1C6F4FB4"/>
    <w:rsid w:val="1C725FC6"/>
    <w:rsid w:val="1C735BE1"/>
    <w:rsid w:val="1C877EA9"/>
    <w:rsid w:val="1C940F54"/>
    <w:rsid w:val="1CBF06C7"/>
    <w:rsid w:val="1CBF4223"/>
    <w:rsid w:val="1CEC6F00"/>
    <w:rsid w:val="1D230C56"/>
    <w:rsid w:val="1D570900"/>
    <w:rsid w:val="1D696AD2"/>
    <w:rsid w:val="1D6C348C"/>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462AC"/>
    <w:rsid w:val="20CA3197"/>
    <w:rsid w:val="20FB77F4"/>
    <w:rsid w:val="211508B6"/>
    <w:rsid w:val="213276BA"/>
    <w:rsid w:val="21505B06"/>
    <w:rsid w:val="21666A63"/>
    <w:rsid w:val="2187519D"/>
    <w:rsid w:val="21894E00"/>
    <w:rsid w:val="21901F20"/>
    <w:rsid w:val="2191195B"/>
    <w:rsid w:val="21AE4421"/>
    <w:rsid w:val="21B225A8"/>
    <w:rsid w:val="21EA09A9"/>
    <w:rsid w:val="221438A4"/>
    <w:rsid w:val="22287E9A"/>
    <w:rsid w:val="223034F5"/>
    <w:rsid w:val="22806203"/>
    <w:rsid w:val="22956D55"/>
    <w:rsid w:val="229B3A5D"/>
    <w:rsid w:val="22A243CB"/>
    <w:rsid w:val="22AC0867"/>
    <w:rsid w:val="22AE2B61"/>
    <w:rsid w:val="22B967CD"/>
    <w:rsid w:val="22DF4AAA"/>
    <w:rsid w:val="23204F7A"/>
    <w:rsid w:val="236A0EBE"/>
    <w:rsid w:val="23767DBC"/>
    <w:rsid w:val="237F3A2D"/>
    <w:rsid w:val="23906919"/>
    <w:rsid w:val="2393373D"/>
    <w:rsid w:val="23946411"/>
    <w:rsid w:val="23FF75FB"/>
    <w:rsid w:val="24303C58"/>
    <w:rsid w:val="24415E66"/>
    <w:rsid w:val="2453237D"/>
    <w:rsid w:val="24765B0F"/>
    <w:rsid w:val="24BB5A33"/>
    <w:rsid w:val="24D07A00"/>
    <w:rsid w:val="24D52A7D"/>
    <w:rsid w:val="24F0366F"/>
    <w:rsid w:val="24FE78B3"/>
    <w:rsid w:val="25010A26"/>
    <w:rsid w:val="25087398"/>
    <w:rsid w:val="251D41DD"/>
    <w:rsid w:val="251E1CAD"/>
    <w:rsid w:val="255147C0"/>
    <w:rsid w:val="25885970"/>
    <w:rsid w:val="258B6218"/>
    <w:rsid w:val="25D575A4"/>
    <w:rsid w:val="25E22D30"/>
    <w:rsid w:val="25F211C5"/>
    <w:rsid w:val="264C7C00"/>
    <w:rsid w:val="267A696E"/>
    <w:rsid w:val="2685203A"/>
    <w:rsid w:val="268C489F"/>
    <w:rsid w:val="268E38A0"/>
    <w:rsid w:val="26A00A38"/>
    <w:rsid w:val="26E3376C"/>
    <w:rsid w:val="271F5864"/>
    <w:rsid w:val="274550D7"/>
    <w:rsid w:val="27466D84"/>
    <w:rsid w:val="276032C4"/>
    <w:rsid w:val="279E3C38"/>
    <w:rsid w:val="27A44741"/>
    <w:rsid w:val="27A842FD"/>
    <w:rsid w:val="27B30E28"/>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8703B"/>
    <w:rsid w:val="2AF60E4D"/>
    <w:rsid w:val="2B0379D1"/>
    <w:rsid w:val="2B7347E5"/>
    <w:rsid w:val="2BE76AB8"/>
    <w:rsid w:val="2BEF0CFF"/>
    <w:rsid w:val="2C0B1233"/>
    <w:rsid w:val="2C163734"/>
    <w:rsid w:val="2C374E11"/>
    <w:rsid w:val="2C543E03"/>
    <w:rsid w:val="2CA51C31"/>
    <w:rsid w:val="2CB90C8F"/>
    <w:rsid w:val="2CD16667"/>
    <w:rsid w:val="2CFF066C"/>
    <w:rsid w:val="2D102405"/>
    <w:rsid w:val="2D3037AE"/>
    <w:rsid w:val="2D3E1C0F"/>
    <w:rsid w:val="2D83274D"/>
    <w:rsid w:val="2D931C05"/>
    <w:rsid w:val="2DA82249"/>
    <w:rsid w:val="2E0A5087"/>
    <w:rsid w:val="2E334A71"/>
    <w:rsid w:val="2E431842"/>
    <w:rsid w:val="2E786928"/>
    <w:rsid w:val="2E870919"/>
    <w:rsid w:val="2EA65243"/>
    <w:rsid w:val="2EA96AE1"/>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3D1BD7"/>
    <w:rsid w:val="3069608C"/>
    <w:rsid w:val="30B142F6"/>
    <w:rsid w:val="30D918F5"/>
    <w:rsid w:val="30E402A4"/>
    <w:rsid w:val="31044C5D"/>
    <w:rsid w:val="31945827"/>
    <w:rsid w:val="319B3596"/>
    <w:rsid w:val="319E66A5"/>
    <w:rsid w:val="31AC6F64"/>
    <w:rsid w:val="324E00CB"/>
    <w:rsid w:val="330702CB"/>
    <w:rsid w:val="332D7CE1"/>
    <w:rsid w:val="33470009"/>
    <w:rsid w:val="33677C57"/>
    <w:rsid w:val="33792F26"/>
    <w:rsid w:val="338C391E"/>
    <w:rsid w:val="33930CB6"/>
    <w:rsid w:val="33AB7EFF"/>
    <w:rsid w:val="33D834CC"/>
    <w:rsid w:val="33F16F60"/>
    <w:rsid w:val="341E1D1F"/>
    <w:rsid w:val="342B4F08"/>
    <w:rsid w:val="343461CA"/>
    <w:rsid w:val="344F28A6"/>
    <w:rsid w:val="346E2CA2"/>
    <w:rsid w:val="34A1716B"/>
    <w:rsid w:val="34AE72C0"/>
    <w:rsid w:val="34DF500B"/>
    <w:rsid w:val="34ED4809"/>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66401B"/>
    <w:rsid w:val="37682591"/>
    <w:rsid w:val="37893BBF"/>
    <w:rsid w:val="37FC34C5"/>
    <w:rsid w:val="37FF59C4"/>
    <w:rsid w:val="380151F9"/>
    <w:rsid w:val="3806595F"/>
    <w:rsid w:val="381D6482"/>
    <w:rsid w:val="381E7EEB"/>
    <w:rsid w:val="386D0B7F"/>
    <w:rsid w:val="387F597D"/>
    <w:rsid w:val="38A10A8B"/>
    <w:rsid w:val="38E057F5"/>
    <w:rsid w:val="38E075A3"/>
    <w:rsid w:val="38E43605"/>
    <w:rsid w:val="38F01AA4"/>
    <w:rsid w:val="38FB2756"/>
    <w:rsid w:val="390908A8"/>
    <w:rsid w:val="392A081F"/>
    <w:rsid w:val="392E030F"/>
    <w:rsid w:val="39693A3D"/>
    <w:rsid w:val="397275DF"/>
    <w:rsid w:val="39822E1E"/>
    <w:rsid w:val="3A0D6176"/>
    <w:rsid w:val="3A177F32"/>
    <w:rsid w:val="3A2636DC"/>
    <w:rsid w:val="3A2B7586"/>
    <w:rsid w:val="3A326ECD"/>
    <w:rsid w:val="3A59760D"/>
    <w:rsid w:val="3A8A5A19"/>
    <w:rsid w:val="3AB72586"/>
    <w:rsid w:val="3AD56CC2"/>
    <w:rsid w:val="3AD60179"/>
    <w:rsid w:val="3AE95ED3"/>
    <w:rsid w:val="3AFB6916"/>
    <w:rsid w:val="3B182927"/>
    <w:rsid w:val="3B1D4ADF"/>
    <w:rsid w:val="3B28022C"/>
    <w:rsid w:val="3B304195"/>
    <w:rsid w:val="3B491924"/>
    <w:rsid w:val="3B650254"/>
    <w:rsid w:val="3B9A1FA8"/>
    <w:rsid w:val="3BB24C42"/>
    <w:rsid w:val="3BF515B8"/>
    <w:rsid w:val="3C1A761E"/>
    <w:rsid w:val="3C436883"/>
    <w:rsid w:val="3C700C3E"/>
    <w:rsid w:val="3CB56DB6"/>
    <w:rsid w:val="3CC46897"/>
    <w:rsid w:val="3CED6194"/>
    <w:rsid w:val="3D037D04"/>
    <w:rsid w:val="3D123AC2"/>
    <w:rsid w:val="3D184916"/>
    <w:rsid w:val="3D374762"/>
    <w:rsid w:val="3D3879AE"/>
    <w:rsid w:val="3D3C1DB2"/>
    <w:rsid w:val="3D452778"/>
    <w:rsid w:val="3D4A2E9E"/>
    <w:rsid w:val="3D793B23"/>
    <w:rsid w:val="3D9A1050"/>
    <w:rsid w:val="3DF5764D"/>
    <w:rsid w:val="3E110AD0"/>
    <w:rsid w:val="3E1C72D0"/>
    <w:rsid w:val="3E3004C4"/>
    <w:rsid w:val="3E3F2FCC"/>
    <w:rsid w:val="3E462845"/>
    <w:rsid w:val="3E8804C1"/>
    <w:rsid w:val="3E894239"/>
    <w:rsid w:val="3E8B6203"/>
    <w:rsid w:val="3E8C4C43"/>
    <w:rsid w:val="3E9637B5"/>
    <w:rsid w:val="3EE75DB1"/>
    <w:rsid w:val="3EFD0EAF"/>
    <w:rsid w:val="3F210AFE"/>
    <w:rsid w:val="3F2301EA"/>
    <w:rsid w:val="3F33629E"/>
    <w:rsid w:val="3F85688F"/>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4A5F02"/>
    <w:rsid w:val="414A7CB0"/>
    <w:rsid w:val="416F5968"/>
    <w:rsid w:val="41770CEE"/>
    <w:rsid w:val="41800357"/>
    <w:rsid w:val="41850888"/>
    <w:rsid w:val="418A27A2"/>
    <w:rsid w:val="418E13AE"/>
    <w:rsid w:val="41AC2719"/>
    <w:rsid w:val="41D61543"/>
    <w:rsid w:val="41DE0A1F"/>
    <w:rsid w:val="420C1409"/>
    <w:rsid w:val="4219400A"/>
    <w:rsid w:val="424B3CDF"/>
    <w:rsid w:val="429472F4"/>
    <w:rsid w:val="42BF6B7D"/>
    <w:rsid w:val="42D26859"/>
    <w:rsid w:val="42F27077"/>
    <w:rsid w:val="42F4198B"/>
    <w:rsid w:val="43517CBA"/>
    <w:rsid w:val="439B47F3"/>
    <w:rsid w:val="442F0DC7"/>
    <w:rsid w:val="444906F3"/>
    <w:rsid w:val="4456696C"/>
    <w:rsid w:val="447C6D47"/>
    <w:rsid w:val="44AC1BFC"/>
    <w:rsid w:val="44AE67A8"/>
    <w:rsid w:val="44C03A7C"/>
    <w:rsid w:val="44D35ECC"/>
    <w:rsid w:val="44D62DC2"/>
    <w:rsid w:val="450665E4"/>
    <w:rsid w:val="455424E1"/>
    <w:rsid w:val="457F2C83"/>
    <w:rsid w:val="458A6890"/>
    <w:rsid w:val="45B37FA8"/>
    <w:rsid w:val="46004DE1"/>
    <w:rsid w:val="463659F7"/>
    <w:rsid w:val="463D4287"/>
    <w:rsid w:val="463E2E72"/>
    <w:rsid w:val="465B423C"/>
    <w:rsid w:val="466A4950"/>
    <w:rsid w:val="46A80EA7"/>
    <w:rsid w:val="46B207D1"/>
    <w:rsid w:val="46C6022E"/>
    <w:rsid w:val="46E55ABB"/>
    <w:rsid w:val="46F95559"/>
    <w:rsid w:val="47046B53"/>
    <w:rsid w:val="47112D95"/>
    <w:rsid w:val="47162B8B"/>
    <w:rsid w:val="47226FD9"/>
    <w:rsid w:val="472F1E22"/>
    <w:rsid w:val="474271A0"/>
    <w:rsid w:val="475C698F"/>
    <w:rsid w:val="4760647F"/>
    <w:rsid w:val="47933F8E"/>
    <w:rsid w:val="47941C85"/>
    <w:rsid w:val="47FC1F79"/>
    <w:rsid w:val="48000D06"/>
    <w:rsid w:val="486A61A5"/>
    <w:rsid w:val="48897310"/>
    <w:rsid w:val="489004D1"/>
    <w:rsid w:val="48CF0379"/>
    <w:rsid w:val="48E1714C"/>
    <w:rsid w:val="4968786D"/>
    <w:rsid w:val="49CE0617"/>
    <w:rsid w:val="4A441A13"/>
    <w:rsid w:val="4A69564B"/>
    <w:rsid w:val="4A757FAF"/>
    <w:rsid w:val="4A8D1239"/>
    <w:rsid w:val="4A9B332A"/>
    <w:rsid w:val="4AA368A3"/>
    <w:rsid w:val="4AA46CC4"/>
    <w:rsid w:val="4AFE1DC7"/>
    <w:rsid w:val="4B2E25B7"/>
    <w:rsid w:val="4BB83B29"/>
    <w:rsid w:val="4BBD3440"/>
    <w:rsid w:val="4BF30F0E"/>
    <w:rsid w:val="4C105929"/>
    <w:rsid w:val="4C2757BD"/>
    <w:rsid w:val="4C8F5111"/>
    <w:rsid w:val="4CA07D8A"/>
    <w:rsid w:val="4CB608EF"/>
    <w:rsid w:val="4CD80866"/>
    <w:rsid w:val="4D1E3C94"/>
    <w:rsid w:val="4D1F46CD"/>
    <w:rsid w:val="4D2A1C24"/>
    <w:rsid w:val="4D602AE2"/>
    <w:rsid w:val="4D906A04"/>
    <w:rsid w:val="4DA05D3E"/>
    <w:rsid w:val="4DBE1A47"/>
    <w:rsid w:val="4DE257E2"/>
    <w:rsid w:val="4E1E499E"/>
    <w:rsid w:val="4E5D7B27"/>
    <w:rsid w:val="4E797CCB"/>
    <w:rsid w:val="4EAF3848"/>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E4BC4"/>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A68B9"/>
    <w:rsid w:val="513204B4"/>
    <w:rsid w:val="51341494"/>
    <w:rsid w:val="513F7105"/>
    <w:rsid w:val="51556929"/>
    <w:rsid w:val="5162343C"/>
    <w:rsid w:val="51870AB3"/>
    <w:rsid w:val="518E5997"/>
    <w:rsid w:val="519B6306"/>
    <w:rsid w:val="51AC0513"/>
    <w:rsid w:val="52000723"/>
    <w:rsid w:val="521D6D1B"/>
    <w:rsid w:val="522B768A"/>
    <w:rsid w:val="52491A00"/>
    <w:rsid w:val="52546CFC"/>
    <w:rsid w:val="525F5585"/>
    <w:rsid w:val="52636A33"/>
    <w:rsid w:val="52B4142D"/>
    <w:rsid w:val="52E15F9A"/>
    <w:rsid w:val="52F91162"/>
    <w:rsid w:val="532277F7"/>
    <w:rsid w:val="533D68E5"/>
    <w:rsid w:val="536A3BDD"/>
    <w:rsid w:val="53C872C4"/>
    <w:rsid w:val="53D02297"/>
    <w:rsid w:val="54297BF9"/>
    <w:rsid w:val="54316AAD"/>
    <w:rsid w:val="54993992"/>
    <w:rsid w:val="54A7054C"/>
    <w:rsid w:val="54B308BD"/>
    <w:rsid w:val="54CE4AE4"/>
    <w:rsid w:val="54FC6E52"/>
    <w:rsid w:val="54FE6753"/>
    <w:rsid w:val="551C775D"/>
    <w:rsid w:val="55230AEC"/>
    <w:rsid w:val="55436A98"/>
    <w:rsid w:val="554C74C9"/>
    <w:rsid w:val="554F18E1"/>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D60132"/>
    <w:rsid w:val="57F71A4D"/>
    <w:rsid w:val="58000D08"/>
    <w:rsid w:val="58276B45"/>
    <w:rsid w:val="58293713"/>
    <w:rsid w:val="58317531"/>
    <w:rsid w:val="58387FAF"/>
    <w:rsid w:val="583F2903"/>
    <w:rsid w:val="5857708F"/>
    <w:rsid w:val="586B6F75"/>
    <w:rsid w:val="58CF5213"/>
    <w:rsid w:val="58D50A2B"/>
    <w:rsid w:val="58D5317F"/>
    <w:rsid w:val="58EB2D9D"/>
    <w:rsid w:val="59111644"/>
    <w:rsid w:val="592344F7"/>
    <w:rsid w:val="593037D7"/>
    <w:rsid w:val="59480B21"/>
    <w:rsid w:val="594F0101"/>
    <w:rsid w:val="595705DB"/>
    <w:rsid w:val="5965349A"/>
    <w:rsid w:val="598A4139"/>
    <w:rsid w:val="59AE5DAA"/>
    <w:rsid w:val="59CF2FF0"/>
    <w:rsid w:val="59D2488F"/>
    <w:rsid w:val="59E051FD"/>
    <w:rsid w:val="5A112174"/>
    <w:rsid w:val="5A1530F9"/>
    <w:rsid w:val="5A4232B4"/>
    <w:rsid w:val="5A8B6F17"/>
    <w:rsid w:val="5A9F51F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267DBD"/>
    <w:rsid w:val="5C2740AC"/>
    <w:rsid w:val="5C35617E"/>
    <w:rsid w:val="5C79279D"/>
    <w:rsid w:val="5C8E0F41"/>
    <w:rsid w:val="5CBA1D36"/>
    <w:rsid w:val="5CD56B70"/>
    <w:rsid w:val="5CE06B4F"/>
    <w:rsid w:val="5CFF3BED"/>
    <w:rsid w:val="5D0E5BDE"/>
    <w:rsid w:val="5D331AE8"/>
    <w:rsid w:val="5D5932FD"/>
    <w:rsid w:val="5D69550A"/>
    <w:rsid w:val="5DA54794"/>
    <w:rsid w:val="5DC7295C"/>
    <w:rsid w:val="5DCA244C"/>
    <w:rsid w:val="5E4D0988"/>
    <w:rsid w:val="5E7F6B03"/>
    <w:rsid w:val="5EB615DC"/>
    <w:rsid w:val="5EBA426F"/>
    <w:rsid w:val="5EC4414D"/>
    <w:rsid w:val="5ECC5D50"/>
    <w:rsid w:val="5F08322C"/>
    <w:rsid w:val="5F0B6879"/>
    <w:rsid w:val="5F0C439F"/>
    <w:rsid w:val="5F30008D"/>
    <w:rsid w:val="5F585836"/>
    <w:rsid w:val="5F6E010F"/>
    <w:rsid w:val="5FA82319"/>
    <w:rsid w:val="5FB13B07"/>
    <w:rsid w:val="5FB55904"/>
    <w:rsid w:val="5FD54160"/>
    <w:rsid w:val="60386B2D"/>
    <w:rsid w:val="60854409"/>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4095351"/>
    <w:rsid w:val="646B01A4"/>
    <w:rsid w:val="64897A59"/>
    <w:rsid w:val="64BE25DF"/>
    <w:rsid w:val="64D213A9"/>
    <w:rsid w:val="650A5824"/>
    <w:rsid w:val="651D10B4"/>
    <w:rsid w:val="65293EFC"/>
    <w:rsid w:val="65420B1A"/>
    <w:rsid w:val="655D56B3"/>
    <w:rsid w:val="65986151"/>
    <w:rsid w:val="65A01822"/>
    <w:rsid w:val="65A34F63"/>
    <w:rsid w:val="65B1329C"/>
    <w:rsid w:val="65F700E6"/>
    <w:rsid w:val="66270AA3"/>
    <w:rsid w:val="664408C2"/>
    <w:rsid w:val="66482351"/>
    <w:rsid w:val="664B39FF"/>
    <w:rsid w:val="66650996"/>
    <w:rsid w:val="66C0620E"/>
    <w:rsid w:val="66E92868"/>
    <w:rsid w:val="670562A3"/>
    <w:rsid w:val="67065B78"/>
    <w:rsid w:val="670C1B0F"/>
    <w:rsid w:val="67401089"/>
    <w:rsid w:val="678216A2"/>
    <w:rsid w:val="67CC0761"/>
    <w:rsid w:val="67E97C88"/>
    <w:rsid w:val="68012F0F"/>
    <w:rsid w:val="680545BB"/>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4786"/>
    <w:rsid w:val="694F03DB"/>
    <w:rsid w:val="696B06B6"/>
    <w:rsid w:val="696B2F3E"/>
    <w:rsid w:val="698536CB"/>
    <w:rsid w:val="69990F25"/>
    <w:rsid w:val="69A45BFE"/>
    <w:rsid w:val="69E64ED7"/>
    <w:rsid w:val="69EA30F4"/>
    <w:rsid w:val="69EF22E8"/>
    <w:rsid w:val="6A68172C"/>
    <w:rsid w:val="6A7C687C"/>
    <w:rsid w:val="6AD541DF"/>
    <w:rsid w:val="6AF16ACF"/>
    <w:rsid w:val="6B160510"/>
    <w:rsid w:val="6B1C3BBC"/>
    <w:rsid w:val="6B43383E"/>
    <w:rsid w:val="6B5920C1"/>
    <w:rsid w:val="6B600921"/>
    <w:rsid w:val="6B790EAD"/>
    <w:rsid w:val="6B827EC3"/>
    <w:rsid w:val="6B8E08D9"/>
    <w:rsid w:val="6BAB0046"/>
    <w:rsid w:val="6BB67B6C"/>
    <w:rsid w:val="6BD04925"/>
    <w:rsid w:val="6BF65984"/>
    <w:rsid w:val="6BFC0E0D"/>
    <w:rsid w:val="6C24541E"/>
    <w:rsid w:val="6C3423CB"/>
    <w:rsid w:val="6C5437BD"/>
    <w:rsid w:val="6C5818C7"/>
    <w:rsid w:val="6C586E75"/>
    <w:rsid w:val="6CF42E40"/>
    <w:rsid w:val="6D003795"/>
    <w:rsid w:val="6D0A14BC"/>
    <w:rsid w:val="6D246B8E"/>
    <w:rsid w:val="6DB66549"/>
    <w:rsid w:val="6DB95EA9"/>
    <w:rsid w:val="6DFA18E3"/>
    <w:rsid w:val="6E0472B5"/>
    <w:rsid w:val="6E0E1EE1"/>
    <w:rsid w:val="6E245957"/>
    <w:rsid w:val="6E677844"/>
    <w:rsid w:val="6E932C1C"/>
    <w:rsid w:val="6EFD5AB2"/>
    <w:rsid w:val="6F0B01CF"/>
    <w:rsid w:val="6F0B4673"/>
    <w:rsid w:val="6F27305D"/>
    <w:rsid w:val="6F413BF1"/>
    <w:rsid w:val="6F485CB0"/>
    <w:rsid w:val="6F842750"/>
    <w:rsid w:val="6F8D487A"/>
    <w:rsid w:val="6FB33EA2"/>
    <w:rsid w:val="6FCA251E"/>
    <w:rsid w:val="6FE4588D"/>
    <w:rsid w:val="70194B6E"/>
    <w:rsid w:val="701A2DBF"/>
    <w:rsid w:val="701D28B0"/>
    <w:rsid w:val="70207CAA"/>
    <w:rsid w:val="703F3E89"/>
    <w:rsid w:val="705B5063"/>
    <w:rsid w:val="706B0D63"/>
    <w:rsid w:val="70910BA8"/>
    <w:rsid w:val="70AB0875"/>
    <w:rsid w:val="70E1674E"/>
    <w:rsid w:val="71B608C6"/>
    <w:rsid w:val="71E243D1"/>
    <w:rsid w:val="71EA0570"/>
    <w:rsid w:val="71ED7A78"/>
    <w:rsid w:val="72210161"/>
    <w:rsid w:val="723932A5"/>
    <w:rsid w:val="7242215A"/>
    <w:rsid w:val="726B5B54"/>
    <w:rsid w:val="727D4545"/>
    <w:rsid w:val="728409C4"/>
    <w:rsid w:val="72996E17"/>
    <w:rsid w:val="72BA2638"/>
    <w:rsid w:val="72D15A1F"/>
    <w:rsid w:val="72D412BE"/>
    <w:rsid w:val="731C6E4F"/>
    <w:rsid w:val="73435C36"/>
    <w:rsid w:val="734E594C"/>
    <w:rsid w:val="735456AA"/>
    <w:rsid w:val="735F0AE9"/>
    <w:rsid w:val="737C47F8"/>
    <w:rsid w:val="73886EC9"/>
    <w:rsid w:val="73A11102"/>
    <w:rsid w:val="73A3438C"/>
    <w:rsid w:val="73A840F5"/>
    <w:rsid w:val="73FB4CB6"/>
    <w:rsid w:val="741555D7"/>
    <w:rsid w:val="743B442D"/>
    <w:rsid w:val="743D379E"/>
    <w:rsid w:val="743F5C73"/>
    <w:rsid w:val="74BA6E18"/>
    <w:rsid w:val="74E4574A"/>
    <w:rsid w:val="751678CE"/>
    <w:rsid w:val="75410DEE"/>
    <w:rsid w:val="754F72D7"/>
    <w:rsid w:val="755A5A0C"/>
    <w:rsid w:val="75826D11"/>
    <w:rsid w:val="75B275F6"/>
    <w:rsid w:val="75BE0E25"/>
    <w:rsid w:val="75D411D5"/>
    <w:rsid w:val="75F575B2"/>
    <w:rsid w:val="76320737"/>
    <w:rsid w:val="7664702D"/>
    <w:rsid w:val="767E2809"/>
    <w:rsid w:val="76870A83"/>
    <w:rsid w:val="769B7007"/>
    <w:rsid w:val="76AE7FEE"/>
    <w:rsid w:val="76E35644"/>
    <w:rsid w:val="77040325"/>
    <w:rsid w:val="770C0F88"/>
    <w:rsid w:val="770F2826"/>
    <w:rsid w:val="771F2E12"/>
    <w:rsid w:val="77626DFA"/>
    <w:rsid w:val="776D0718"/>
    <w:rsid w:val="77843214"/>
    <w:rsid w:val="77D02372"/>
    <w:rsid w:val="77D221D2"/>
    <w:rsid w:val="77D62CF0"/>
    <w:rsid w:val="77DE0B76"/>
    <w:rsid w:val="77FA52AC"/>
    <w:rsid w:val="7800401A"/>
    <w:rsid w:val="78345A42"/>
    <w:rsid w:val="783943EB"/>
    <w:rsid w:val="783D12A6"/>
    <w:rsid w:val="784E1738"/>
    <w:rsid w:val="787B4617"/>
    <w:rsid w:val="788C7FCD"/>
    <w:rsid w:val="78950BD3"/>
    <w:rsid w:val="78AA3B0C"/>
    <w:rsid w:val="78EC1071"/>
    <w:rsid w:val="78FE08A5"/>
    <w:rsid w:val="790A250F"/>
    <w:rsid w:val="79334EF2"/>
    <w:rsid w:val="79670FCC"/>
    <w:rsid w:val="79BF78EF"/>
    <w:rsid w:val="79DA66F5"/>
    <w:rsid w:val="7A120583"/>
    <w:rsid w:val="7A1F4B75"/>
    <w:rsid w:val="7A255268"/>
    <w:rsid w:val="7A3C3932"/>
    <w:rsid w:val="7A884099"/>
    <w:rsid w:val="7A9A7CD7"/>
    <w:rsid w:val="7AB94F83"/>
    <w:rsid w:val="7AFF35DB"/>
    <w:rsid w:val="7B1228E5"/>
    <w:rsid w:val="7B4D2521"/>
    <w:rsid w:val="7B7A6E08"/>
    <w:rsid w:val="7B8F74E8"/>
    <w:rsid w:val="7BC07527"/>
    <w:rsid w:val="7BD62203"/>
    <w:rsid w:val="7C250561"/>
    <w:rsid w:val="7C3F770A"/>
    <w:rsid w:val="7C43369E"/>
    <w:rsid w:val="7C4A4A2C"/>
    <w:rsid w:val="7CB43C54"/>
    <w:rsid w:val="7CE427BB"/>
    <w:rsid w:val="7CE61B39"/>
    <w:rsid w:val="7CED6CB8"/>
    <w:rsid w:val="7D0C474F"/>
    <w:rsid w:val="7D5938D3"/>
    <w:rsid w:val="7D5F50CC"/>
    <w:rsid w:val="7DAF0AC7"/>
    <w:rsid w:val="7DB06B11"/>
    <w:rsid w:val="7DB16EB8"/>
    <w:rsid w:val="7DBE3D05"/>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521772"/>
    <w:rsid w:val="7F645E05"/>
    <w:rsid w:val="7F7B2D34"/>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semiHidden/>
    <w:unhideWhenUsed/>
    <w:qFormat/>
    <w:uiPriority w:val="99"/>
    <w:pPr>
      <w:jc w:val="left"/>
    </w:pPr>
  </w:style>
  <w:style w:type="paragraph" w:styleId="6">
    <w:name w:val="Body Text"/>
    <w:basedOn w:val="1"/>
    <w:link w:val="36"/>
    <w:semiHidden/>
    <w:unhideWhenUsed/>
    <w:qFormat/>
    <w:uiPriority w:val="99"/>
    <w:pPr>
      <w:spacing w:after="120"/>
    </w:pPr>
  </w:style>
  <w:style w:type="paragraph" w:styleId="7">
    <w:name w:val="Body Text Indent"/>
    <w:basedOn w:val="1"/>
    <w:qFormat/>
    <w:uiPriority w:val="0"/>
    <w:pPr>
      <w:spacing w:after="120"/>
      <w:ind w:left="420" w:leftChars="200"/>
    </w:pPr>
    <w:rPr>
      <w:rFonts w:asciiTheme="minorHAnsi" w:hAnsiTheme="minorHAnsi" w:cstheme="minorBidi"/>
    </w:rPr>
  </w:style>
  <w:style w:type="paragraph" w:styleId="8">
    <w:name w:val="Plain Text"/>
    <w:basedOn w:val="1"/>
    <w:link w:val="35"/>
    <w:qFormat/>
    <w:uiPriority w:val="99"/>
    <w:rPr>
      <w:rFonts w:ascii="宋体" w:hAnsi="Courier New"/>
      <w:szCs w:val="24"/>
    </w:rPr>
  </w:style>
  <w:style w:type="paragraph" w:styleId="9">
    <w:name w:val="Body Text Indent 2"/>
    <w:basedOn w:val="1"/>
    <w:semiHidden/>
    <w:unhideWhenUsed/>
    <w:qFormat/>
    <w:uiPriority w:val="99"/>
    <w:pPr>
      <w:spacing w:after="120" w:line="480" w:lineRule="auto"/>
      <w:ind w:left="420" w:leftChars="200"/>
    </w:pPr>
  </w:style>
  <w:style w:type="paragraph" w:styleId="10">
    <w:name w:val="Balloon Text"/>
    <w:basedOn w:val="1"/>
    <w:link w:val="31"/>
    <w:unhideWhenUsed/>
    <w:qFormat/>
    <w:uiPriority w:val="99"/>
    <w:rPr>
      <w:sz w:val="18"/>
      <w:szCs w:val="18"/>
    </w:rPr>
  </w:style>
  <w:style w:type="paragraph" w:styleId="11">
    <w:name w:val="footer"/>
    <w:basedOn w:val="1"/>
    <w:link w:val="2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qFormat/>
    <w:uiPriority w:val="99"/>
  </w:style>
  <w:style w:type="paragraph" w:styleId="14">
    <w:name w:val="toc 2"/>
    <w:basedOn w:val="1"/>
    <w:next w:val="1"/>
    <w:qFormat/>
    <w:uiPriority w:val="39"/>
    <w:pPr>
      <w:tabs>
        <w:tab w:val="right" w:leader="dot" w:pos="8296"/>
      </w:tabs>
      <w:ind w:left="420" w:leftChars="200"/>
    </w:pPr>
  </w:style>
  <w:style w:type="paragraph" w:styleId="15">
    <w:name w:val="Body Text 2"/>
    <w:basedOn w:val="1"/>
    <w:link w:val="33"/>
    <w:qFormat/>
    <w:uiPriority w:val="0"/>
    <w:rPr>
      <w:rFonts w:ascii="宋体" w:hAnsi="宋体" w:eastAsiaTheme="minorEastAsia" w:cstheme="minorBidi"/>
      <w:szCs w:val="24"/>
      <w:u w:val="single"/>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Body Text First Indent"/>
    <w:basedOn w:val="6"/>
    <w:link w:val="37"/>
    <w:semiHidden/>
    <w:unhideWhenUsed/>
    <w:qFormat/>
    <w:uiPriority w:val="99"/>
    <w:pPr>
      <w:ind w:firstLine="420" w:firstLineChars="100"/>
    </w:pPr>
  </w:style>
  <w:style w:type="paragraph" w:styleId="18">
    <w:name w:val="Body Text First Indent 2"/>
    <w:basedOn w:val="7"/>
    <w:qFormat/>
    <w:uiPriority w:val="0"/>
    <w:pPr>
      <w:ind w:firstLine="420"/>
    </w:pPr>
  </w:style>
  <w:style w:type="table" w:styleId="20">
    <w:name w:val="Table Grid"/>
    <w:basedOn w:val="19"/>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99"/>
  </w:style>
  <w:style w:type="character" w:styleId="24">
    <w:name w:val="Emphasis"/>
    <w:basedOn w:val="21"/>
    <w:qFormat/>
    <w:uiPriority w:val="0"/>
    <w:rPr>
      <w:i/>
    </w:rPr>
  </w:style>
  <w:style w:type="character" w:styleId="25">
    <w:name w:val="Hyperlink"/>
    <w:basedOn w:val="21"/>
    <w:semiHidden/>
    <w:unhideWhenUsed/>
    <w:qFormat/>
    <w:uiPriority w:val="99"/>
    <w:rPr>
      <w:color w:val="0000FF"/>
      <w:u w:val="single"/>
    </w:rPr>
  </w:style>
  <w:style w:type="character" w:styleId="26">
    <w:name w:val="annotation reference"/>
    <w:basedOn w:val="21"/>
    <w:semiHidden/>
    <w:unhideWhenUsed/>
    <w:qFormat/>
    <w:uiPriority w:val="99"/>
    <w:rPr>
      <w:sz w:val="21"/>
      <w:szCs w:val="21"/>
    </w:rPr>
  </w:style>
  <w:style w:type="paragraph" w:customStyle="1" w:styleId="27">
    <w:name w:val="_Style 3"/>
    <w:basedOn w:val="1"/>
    <w:qFormat/>
    <w:uiPriority w:val="0"/>
    <w:pPr>
      <w:ind w:firstLine="420" w:firstLineChars="200"/>
    </w:pPr>
    <w:rPr>
      <w:sz w:val="20"/>
    </w:rPr>
  </w:style>
  <w:style w:type="character" w:customStyle="1" w:styleId="28">
    <w:name w:val="页眉 Char"/>
    <w:basedOn w:val="21"/>
    <w:link w:val="12"/>
    <w:qFormat/>
    <w:uiPriority w:val="0"/>
    <w:rPr>
      <w:sz w:val="18"/>
      <w:szCs w:val="18"/>
    </w:rPr>
  </w:style>
  <w:style w:type="character" w:customStyle="1" w:styleId="29">
    <w:name w:val="页脚 Char"/>
    <w:basedOn w:val="21"/>
    <w:link w:val="11"/>
    <w:qFormat/>
    <w:uiPriority w:val="0"/>
    <w:rPr>
      <w:sz w:val="18"/>
      <w:szCs w:val="18"/>
    </w:rPr>
  </w:style>
  <w:style w:type="character" w:customStyle="1" w:styleId="30">
    <w:name w:val="weby11"/>
    <w:qFormat/>
    <w:uiPriority w:val="0"/>
    <w:rPr>
      <w:sz w:val="18"/>
      <w:szCs w:val="18"/>
    </w:rPr>
  </w:style>
  <w:style w:type="character" w:customStyle="1" w:styleId="31">
    <w:name w:val="批注框文本 Char"/>
    <w:basedOn w:val="21"/>
    <w:link w:val="10"/>
    <w:semiHidden/>
    <w:qFormat/>
    <w:uiPriority w:val="99"/>
    <w:rPr>
      <w:rFonts w:ascii="Times New Roman" w:hAnsi="Times New Roman" w:eastAsia="宋体" w:cs="Times New Roman"/>
      <w:sz w:val="18"/>
      <w:szCs w:val="18"/>
    </w:rPr>
  </w:style>
  <w:style w:type="paragraph" w:styleId="32">
    <w:name w:val="List Paragraph"/>
    <w:basedOn w:val="1"/>
    <w:qFormat/>
    <w:uiPriority w:val="34"/>
    <w:pPr>
      <w:ind w:firstLine="420" w:firstLineChars="200"/>
    </w:pPr>
  </w:style>
  <w:style w:type="character" w:customStyle="1" w:styleId="33">
    <w:name w:val="正文文本 2 Char"/>
    <w:basedOn w:val="21"/>
    <w:link w:val="15"/>
    <w:qFormat/>
    <w:uiPriority w:val="0"/>
    <w:rPr>
      <w:rFonts w:ascii="宋体" w:hAnsi="宋体"/>
      <w:kern w:val="2"/>
      <w:sz w:val="21"/>
      <w:szCs w:val="24"/>
      <w:u w:val="single"/>
    </w:rPr>
  </w:style>
  <w:style w:type="character" w:customStyle="1" w:styleId="34">
    <w:name w:val="纯文本 Char"/>
    <w:basedOn w:val="21"/>
    <w:link w:val="8"/>
    <w:semiHidden/>
    <w:qFormat/>
    <w:uiPriority w:val="99"/>
    <w:rPr>
      <w:rFonts w:ascii="宋体" w:hAnsi="Courier New" w:eastAsia="宋体" w:cs="Courier New"/>
      <w:kern w:val="2"/>
      <w:sz w:val="21"/>
      <w:szCs w:val="21"/>
    </w:rPr>
  </w:style>
  <w:style w:type="character" w:customStyle="1" w:styleId="35">
    <w:name w:val="纯文本 Char1"/>
    <w:link w:val="8"/>
    <w:qFormat/>
    <w:uiPriority w:val="99"/>
    <w:rPr>
      <w:rFonts w:ascii="宋体" w:hAnsi="Courier New" w:eastAsia="宋体" w:cs="Times New Roman"/>
      <w:kern w:val="2"/>
      <w:sz w:val="21"/>
      <w:szCs w:val="24"/>
    </w:rPr>
  </w:style>
  <w:style w:type="character" w:customStyle="1" w:styleId="36">
    <w:name w:val="正文文本 Char"/>
    <w:basedOn w:val="21"/>
    <w:link w:val="6"/>
    <w:semiHidden/>
    <w:qFormat/>
    <w:uiPriority w:val="99"/>
    <w:rPr>
      <w:rFonts w:ascii="Times New Roman" w:hAnsi="Times New Roman" w:eastAsia="宋体" w:cs="Times New Roman"/>
      <w:kern w:val="2"/>
      <w:sz w:val="21"/>
    </w:rPr>
  </w:style>
  <w:style w:type="character" w:customStyle="1" w:styleId="37">
    <w:name w:val="正文首行缩进 Char"/>
    <w:basedOn w:val="36"/>
    <w:link w:val="17"/>
    <w:semiHidden/>
    <w:qFormat/>
    <w:uiPriority w:val="99"/>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9">
    <w:name w:val="中标正文"/>
    <w:basedOn w:val="1"/>
    <w:qFormat/>
    <w:uiPriority w:val="0"/>
    <w:pPr>
      <w:spacing w:afterLines="50" w:line="360" w:lineRule="auto"/>
      <w:ind w:firstLine="200" w:firstLineChars="200"/>
    </w:pPr>
    <w:rPr>
      <w:rFonts w:ascii="Arial" w:hAnsi="Arial"/>
      <w:sz w:val="24"/>
      <w:szCs w:val="24"/>
    </w:rPr>
  </w:style>
  <w:style w:type="paragraph" w:customStyle="1" w:styleId="40">
    <w:name w:val="表格文字"/>
    <w:basedOn w:val="1"/>
    <w:qFormat/>
    <w:uiPriority w:val="0"/>
    <w:pPr>
      <w:spacing w:before="25" w:after="25"/>
      <w:jc w:val="left"/>
    </w:pPr>
    <w:rPr>
      <w:bCs/>
      <w:spacing w:val="10"/>
      <w:kern w:val="0"/>
      <w:sz w:val="24"/>
    </w:rPr>
  </w:style>
  <w:style w:type="character" w:customStyle="1" w:styleId="41">
    <w:name w:val="font61"/>
    <w:basedOn w:val="21"/>
    <w:qFormat/>
    <w:uiPriority w:val="0"/>
    <w:rPr>
      <w:rFonts w:hint="eastAsia" w:ascii="宋体" w:hAnsi="宋体" w:eastAsia="宋体" w:cs="宋体"/>
      <w:color w:val="000000"/>
      <w:sz w:val="21"/>
      <w:szCs w:val="21"/>
      <w:u w:val="none"/>
    </w:rPr>
  </w:style>
  <w:style w:type="paragraph" w:customStyle="1" w:styleId="42">
    <w:name w:val="p0"/>
    <w:basedOn w:val="1"/>
    <w:qFormat/>
    <w:uiPriority w:val="0"/>
    <w:pPr>
      <w:widowControl/>
    </w:pPr>
    <w:rPr>
      <w:rFonts w:cs="宋体"/>
      <w:kern w:val="0"/>
      <w:szCs w:val="21"/>
    </w:rPr>
  </w:style>
  <w:style w:type="paragraph" w:customStyle="1" w:styleId="43">
    <w:name w:val="Body Text 21"/>
    <w:basedOn w:val="1"/>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3859</Words>
  <Characters>4017</Characters>
  <Lines>24</Lines>
  <Paragraphs>7</Paragraphs>
  <TotalTime>5</TotalTime>
  <ScaleCrop>false</ScaleCrop>
  <LinksUpToDate>false</LinksUpToDate>
  <CharactersWithSpaces>5043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Administrator</cp:lastModifiedBy>
  <cp:lastPrinted>2023-11-30T06:45:00Z</cp:lastPrinted>
  <dcterms:modified xsi:type="dcterms:W3CDTF">2025-07-23T06:54:57Z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C7A2F26EEE4348269080EBD8AA75DEE5_13</vt:lpwstr>
  </property>
  <property fmtid="{D5CDD505-2E9C-101B-9397-08002B2CF9AE}" pid="4" name="KSOTemplateDocerSaveRecord">
    <vt:lpwstr>eyJoZGlkIjoiOTFiYWM0ZWU5MDZhNWIwZTExNzI2M2RjNDZiNzhiYWUiLCJ1c2VySWQiOiIxMTI1MjEzMDQyIn0=</vt:lpwstr>
  </property>
</Properties>
</file>