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F11B8">
      <w:pPr>
        <w:bidi w:val="0"/>
        <w:rPr>
          <w:rFonts w:hint="eastAsia"/>
          <w:color w:val="000000"/>
          <w:highlight w:val="none"/>
          <w:lang w:val="en-US" w:eastAsia="zh-CN"/>
        </w:rPr>
      </w:pPr>
    </w:p>
    <w:p w14:paraId="09B52E3B">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01CFF071">
      <w:pPr>
        <w:pageBreakBefore w:val="0"/>
        <w:kinsoku/>
        <w:wordWrap/>
        <w:overflowPunct/>
        <w:topLinePunct w:val="0"/>
        <w:bidi w:val="0"/>
        <w:spacing w:line="360" w:lineRule="auto"/>
        <w:ind w:right="0" w:rightChars="0"/>
        <w:jc w:val="center"/>
        <w:rPr>
          <w:rFonts w:hint="eastAsia" w:ascii="宋体" w:hAnsi="宋体" w:cs="宋体"/>
          <w:color w:val="000000" w:themeColor="text1"/>
          <w:highlight w:val="none"/>
          <w14:textFill>
            <w14:solidFill>
              <w14:schemeClr w14:val="tx1"/>
            </w14:solidFill>
          </w14:textFill>
        </w:rPr>
      </w:pPr>
      <w:r>
        <w:rPr>
          <w:rFonts w:hint="eastAsia" w:ascii="微软雅黑" w:hAnsi="微软雅黑" w:eastAsia="微软雅黑" w:cs="微软雅黑"/>
          <w:b/>
          <w:bCs/>
          <w:color w:val="000000" w:themeColor="text1"/>
          <w:spacing w:val="-30"/>
          <w:sz w:val="72"/>
          <w:szCs w:val="72"/>
          <w:highlight w:val="none"/>
          <w:lang w:val="en-US" w:eastAsia="zh-CN"/>
          <w14:textFill>
            <w14:solidFill>
              <w14:schemeClr w14:val="tx1"/>
            </w14:solidFill>
          </w14:textFill>
        </w:rPr>
        <w:t>院内谈判文件</w:t>
      </w:r>
    </w:p>
    <w:p w14:paraId="731A5078">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themeColor="text1"/>
          <w:highlight w:val="none"/>
          <w14:textFill>
            <w14:solidFill>
              <w14:schemeClr w14:val="tx1"/>
            </w14:solidFill>
          </w14:textFill>
        </w:rPr>
      </w:pPr>
    </w:p>
    <w:p w14:paraId="4712BE84">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themeColor="text1"/>
          <w:sz w:val="36"/>
          <w:szCs w:val="36"/>
          <w:highlight w:val="none"/>
          <w14:textFill>
            <w14:solidFill>
              <w14:schemeClr w14:val="tx1"/>
            </w14:solidFill>
          </w14:textFill>
        </w:rPr>
      </w:pPr>
    </w:p>
    <w:p w14:paraId="2CEA061A">
      <w:pPr>
        <w:pStyle w:val="2"/>
        <w:rPr>
          <w:rFonts w:hint="eastAsia" w:ascii="宋体" w:hAnsi="宋体" w:cs="宋体"/>
          <w:b/>
          <w:bCs w:val="0"/>
          <w:color w:val="000000" w:themeColor="text1"/>
          <w:sz w:val="36"/>
          <w:szCs w:val="36"/>
          <w:highlight w:val="none"/>
          <w14:textFill>
            <w14:solidFill>
              <w14:schemeClr w14:val="tx1"/>
            </w14:solidFill>
          </w14:textFill>
        </w:rPr>
      </w:pPr>
    </w:p>
    <w:p w14:paraId="1CF48261">
      <w:pPr>
        <w:rPr>
          <w:rFonts w:hint="eastAsia"/>
        </w:rPr>
      </w:pPr>
    </w:p>
    <w:p w14:paraId="38DD49B4">
      <w:pPr>
        <w:spacing w:line="360" w:lineRule="auto"/>
        <w:jc w:val="center"/>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项目编号：ZCB-202</w:t>
      </w:r>
      <w:r>
        <w:rPr>
          <w:rFonts w:hint="eastAsia" w:ascii="仿宋" w:hAnsi="仿宋" w:eastAsia="仿宋" w:cs="仿宋"/>
          <w:b/>
          <w:bCs/>
          <w:sz w:val="28"/>
          <w:szCs w:val="28"/>
          <w:highlight w:val="none"/>
          <w:lang w:val="en-US" w:eastAsia="zh-CN"/>
        </w:rPr>
        <w:t>5080</w:t>
      </w:r>
    </w:p>
    <w:p w14:paraId="44057D14">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项目名称：</w:t>
      </w:r>
      <w:r>
        <w:rPr>
          <w:rFonts w:hint="eastAsia" w:ascii="仿宋" w:hAnsi="仿宋" w:eastAsia="仿宋" w:cs="仿宋"/>
          <w:b/>
          <w:bCs/>
          <w:sz w:val="28"/>
          <w:szCs w:val="28"/>
          <w:highlight w:val="none"/>
          <w:u w:val="single"/>
        </w:rPr>
        <w:t>中山大学孙逸仙纪念医院</w:t>
      </w:r>
    </w:p>
    <w:p w14:paraId="2913B52A">
      <w:pPr>
        <w:pageBreakBefore w:val="0"/>
        <w:kinsoku/>
        <w:wordWrap/>
        <w:overflowPunct/>
        <w:topLinePunct w:val="0"/>
        <w:bidi w:val="0"/>
        <w:spacing w:line="360" w:lineRule="auto"/>
        <w:ind w:left="0" w:leftChars="0" w:right="0" w:rightChars="0" w:firstLine="562" w:firstLineChars="200"/>
        <w:jc w:val="center"/>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8"/>
          <w:szCs w:val="28"/>
          <w:highlight w:val="none"/>
          <w:u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公务车辆定点加油服务项目</w:t>
      </w:r>
    </w:p>
    <w:p w14:paraId="576F667D">
      <w:pPr>
        <w:pageBreakBefore w:val="0"/>
        <w:kinsoku/>
        <w:wordWrap/>
        <w:overflowPunct/>
        <w:topLinePunct w:val="0"/>
        <w:bidi w:val="0"/>
        <w:spacing w:line="360" w:lineRule="auto"/>
        <w:ind w:left="0" w:leftChars="0" w:right="0" w:rightChars="0" w:firstLine="422" w:firstLineChars="200"/>
        <w:jc w:val="center"/>
        <w:rPr>
          <w:rFonts w:hint="eastAsia" w:ascii="仿宋" w:hAnsi="仿宋" w:eastAsia="仿宋" w:cs="仿宋"/>
          <w:b/>
          <w:bCs/>
          <w:color w:val="000000" w:themeColor="text1"/>
          <w:highlight w:val="none"/>
          <w14:textFill>
            <w14:solidFill>
              <w14:schemeClr w14:val="tx1"/>
            </w14:solidFill>
          </w14:textFill>
        </w:rPr>
      </w:pPr>
    </w:p>
    <w:p w14:paraId="09139101">
      <w:pPr>
        <w:pageBreakBefore w:val="0"/>
        <w:kinsoku/>
        <w:wordWrap/>
        <w:overflowPunct/>
        <w:topLinePunct w:val="0"/>
        <w:bidi w:val="0"/>
        <w:spacing w:line="360" w:lineRule="auto"/>
        <w:ind w:left="0" w:leftChars="0" w:right="0" w:rightChars="0" w:firstLine="422" w:firstLineChars="200"/>
        <w:jc w:val="center"/>
        <w:rPr>
          <w:rFonts w:hint="eastAsia" w:ascii="仿宋" w:hAnsi="仿宋" w:eastAsia="仿宋" w:cs="仿宋"/>
          <w:b/>
          <w:bCs/>
          <w:color w:val="000000" w:themeColor="text1"/>
          <w:highlight w:val="none"/>
          <w14:textFill>
            <w14:solidFill>
              <w14:schemeClr w14:val="tx1"/>
            </w14:solidFill>
          </w14:textFill>
        </w:rPr>
      </w:pPr>
    </w:p>
    <w:p w14:paraId="03600688">
      <w:pPr>
        <w:pStyle w:val="2"/>
        <w:rPr>
          <w:rFonts w:hint="eastAsia"/>
        </w:rPr>
      </w:pPr>
    </w:p>
    <w:p w14:paraId="399295F0">
      <w:pPr>
        <w:pageBreakBefore w:val="0"/>
        <w:kinsoku/>
        <w:wordWrap/>
        <w:overflowPunct/>
        <w:topLinePunct w:val="0"/>
        <w:bidi w:val="0"/>
        <w:spacing w:line="360" w:lineRule="auto"/>
        <w:ind w:left="0" w:leftChars="0" w:right="0" w:rightChars="0" w:firstLine="422" w:firstLineChars="200"/>
        <w:jc w:val="center"/>
        <w:rPr>
          <w:rFonts w:hint="eastAsia" w:ascii="仿宋" w:hAnsi="仿宋" w:eastAsia="仿宋" w:cs="仿宋"/>
          <w:b/>
          <w:bCs/>
          <w:color w:val="000000" w:themeColor="text1"/>
          <w:highlight w:val="none"/>
          <w14:textFill>
            <w14:solidFill>
              <w14:schemeClr w14:val="tx1"/>
            </w14:solidFill>
          </w14:textFill>
        </w:rPr>
      </w:pPr>
    </w:p>
    <w:p w14:paraId="16431A7D">
      <w:pPr>
        <w:pStyle w:val="2"/>
        <w:rPr>
          <w:rFonts w:hint="eastAsia" w:ascii="仿宋" w:hAnsi="仿宋" w:eastAsia="仿宋" w:cs="仿宋"/>
          <w:b/>
          <w:bCs/>
          <w:color w:val="000000" w:themeColor="text1"/>
          <w:highlight w:val="none"/>
          <w14:textFill>
            <w14:solidFill>
              <w14:schemeClr w14:val="tx1"/>
            </w14:solidFill>
          </w14:textFill>
        </w:rPr>
      </w:pPr>
    </w:p>
    <w:p w14:paraId="7B7C792F">
      <w:pPr>
        <w:rPr>
          <w:rFonts w:hint="eastAsia"/>
        </w:rPr>
      </w:pPr>
    </w:p>
    <w:p w14:paraId="2BEC147E">
      <w:pPr>
        <w:pageBreakBefore w:val="0"/>
        <w:kinsoku/>
        <w:wordWrap/>
        <w:overflowPunct/>
        <w:topLinePunct w:val="0"/>
        <w:bidi w:val="0"/>
        <w:spacing w:line="360" w:lineRule="auto"/>
        <w:ind w:left="0" w:leftChars="0" w:right="0" w:rightChars="0" w:firstLine="562" w:firstLineChars="200"/>
        <w:jc w:val="center"/>
        <w:rPr>
          <w:rFonts w:hint="eastAsia" w:ascii="仿宋" w:hAnsi="仿宋" w:eastAsia="仿宋" w:cs="仿宋"/>
          <w:b/>
          <w:bCs/>
          <w:color w:val="000000" w:themeColor="text1"/>
          <w:sz w:val="28"/>
          <w:szCs w:val="28"/>
          <w:highlight w:val="none"/>
          <w14:textFill>
            <w14:solidFill>
              <w14:schemeClr w14:val="tx1"/>
            </w14:solidFill>
          </w14:textFill>
        </w:rPr>
      </w:pPr>
    </w:p>
    <w:p w14:paraId="6752E2EA">
      <w:pPr>
        <w:pageBreakBefore w:val="0"/>
        <w:kinsoku/>
        <w:wordWrap/>
        <w:overflowPunct/>
        <w:topLinePunct w:val="0"/>
        <w:bidi w:val="0"/>
        <w:spacing w:line="360" w:lineRule="auto"/>
        <w:ind w:right="0" w:rightChars="0"/>
        <w:jc w:val="center"/>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中山大学孙逸仙纪念医院</w:t>
      </w:r>
    </w:p>
    <w:p w14:paraId="3733CFCA">
      <w:pPr>
        <w:pageBreakBefore w:val="0"/>
        <w:kinsoku/>
        <w:wordWrap/>
        <w:overflowPunct/>
        <w:topLinePunct w:val="0"/>
        <w:bidi w:val="0"/>
        <w:spacing w:line="360" w:lineRule="auto"/>
        <w:ind w:right="0" w:rightChars="0"/>
        <w:jc w:val="center"/>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202</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5</w:t>
      </w:r>
      <w:r>
        <w:rPr>
          <w:rFonts w:hint="eastAsia" w:ascii="仿宋" w:hAnsi="仿宋" w:eastAsia="仿宋" w:cs="仿宋"/>
          <w:b/>
          <w:bCs/>
          <w:color w:val="000000" w:themeColor="text1"/>
          <w:sz w:val="28"/>
          <w:szCs w:val="28"/>
          <w:highlight w:val="none"/>
          <w14:textFill>
            <w14:solidFill>
              <w14:schemeClr w14:val="tx1"/>
            </w14:solidFill>
          </w14:textFill>
        </w:rPr>
        <w:t>年</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7</w:t>
      </w:r>
      <w:r>
        <w:rPr>
          <w:rFonts w:hint="eastAsia" w:ascii="仿宋" w:hAnsi="仿宋" w:eastAsia="仿宋" w:cs="仿宋"/>
          <w:b/>
          <w:bCs/>
          <w:color w:val="000000" w:themeColor="text1"/>
          <w:sz w:val="28"/>
          <w:szCs w:val="28"/>
          <w:highlight w:val="none"/>
          <w14:textFill>
            <w14:solidFill>
              <w14:schemeClr w14:val="tx1"/>
            </w14:solidFill>
          </w14:textFill>
        </w:rPr>
        <w:t>月</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17日</w:t>
      </w:r>
    </w:p>
    <w:p w14:paraId="2BBCF06A">
      <w:pPr>
        <w:pStyle w:val="26"/>
        <w:rPr>
          <w:rFonts w:hint="eastAsia" w:ascii="宋体" w:hAnsi="宋体" w:cs="宋体"/>
          <w:b/>
          <w:bCs/>
          <w:color w:val="auto"/>
          <w:sz w:val="28"/>
          <w:szCs w:val="28"/>
          <w:highlight w:val="none"/>
        </w:rPr>
      </w:pPr>
    </w:p>
    <w:p w14:paraId="1B57B2C6">
      <w:pPr>
        <w:pStyle w:val="26"/>
        <w:rPr>
          <w:rFonts w:hint="eastAsia" w:ascii="宋体" w:hAnsi="宋体" w:cs="宋体"/>
          <w:b/>
          <w:bCs/>
          <w:color w:val="auto"/>
          <w:sz w:val="28"/>
          <w:szCs w:val="28"/>
          <w:highlight w:val="none"/>
        </w:rPr>
      </w:pPr>
    </w:p>
    <w:p w14:paraId="04DE7C7F">
      <w:pPr>
        <w:pStyle w:val="26"/>
        <w:rPr>
          <w:rFonts w:hint="eastAsia" w:ascii="宋体" w:hAnsi="宋体" w:cs="宋体"/>
          <w:b/>
          <w:bCs/>
          <w:color w:val="auto"/>
          <w:sz w:val="28"/>
          <w:szCs w:val="28"/>
          <w:highlight w:val="none"/>
        </w:rPr>
      </w:pPr>
    </w:p>
    <w:p w14:paraId="7E247553">
      <w:pPr>
        <w:pStyle w:val="26"/>
        <w:rPr>
          <w:rFonts w:hint="eastAsia" w:ascii="宋体" w:hAnsi="宋体" w:cs="宋体"/>
          <w:b/>
          <w:bCs/>
          <w:color w:val="auto"/>
          <w:sz w:val="28"/>
          <w:szCs w:val="28"/>
          <w:highlight w:val="none"/>
        </w:rPr>
      </w:pPr>
    </w:p>
    <w:p w14:paraId="4A894D04">
      <w:pPr>
        <w:pStyle w:val="26"/>
        <w:rPr>
          <w:rFonts w:hint="eastAsia" w:ascii="宋体" w:hAnsi="宋体" w:cs="宋体"/>
          <w:b/>
          <w:bCs/>
          <w:color w:val="auto"/>
          <w:sz w:val="28"/>
          <w:szCs w:val="28"/>
          <w:highlight w:val="none"/>
        </w:rPr>
      </w:pPr>
    </w:p>
    <w:p w14:paraId="084DD094">
      <w:pPr>
        <w:pStyle w:val="26"/>
        <w:rPr>
          <w:rFonts w:hint="eastAsia" w:ascii="宋体" w:hAnsi="宋体" w:cs="宋体"/>
          <w:b/>
          <w:bCs/>
          <w:color w:val="auto"/>
          <w:sz w:val="28"/>
          <w:szCs w:val="28"/>
          <w:highlight w:val="none"/>
        </w:rPr>
      </w:pPr>
    </w:p>
    <w:p w14:paraId="07825709">
      <w:pPr>
        <w:pStyle w:val="26"/>
        <w:rPr>
          <w:rFonts w:hint="eastAsia" w:ascii="宋体" w:hAnsi="宋体" w:cs="宋体"/>
          <w:b/>
          <w:bCs/>
          <w:color w:val="auto"/>
          <w:sz w:val="28"/>
          <w:szCs w:val="28"/>
          <w:highlight w:val="none"/>
        </w:rPr>
      </w:pPr>
    </w:p>
    <w:p w14:paraId="425ECDA2">
      <w:pPr>
        <w:pStyle w:val="26"/>
        <w:rPr>
          <w:rFonts w:hint="eastAsia" w:ascii="宋体" w:hAnsi="宋体" w:cs="宋体"/>
          <w:b/>
          <w:bCs/>
          <w:color w:val="auto"/>
          <w:sz w:val="28"/>
          <w:szCs w:val="28"/>
          <w:highlight w:val="none"/>
        </w:rPr>
      </w:pPr>
    </w:p>
    <w:p w14:paraId="445E59DF">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3A69A993">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p>
    <w:p w14:paraId="77D6CBF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auto"/>
          <w:sz w:val="48"/>
          <w:szCs w:val="48"/>
          <w:highlight w:val="none"/>
        </w:rPr>
      </w:pPr>
      <w:r>
        <w:rPr>
          <w:rFonts w:hint="eastAsia" w:ascii="华文中宋" w:hAnsi="华文中宋" w:eastAsia="华文中宋" w:cs="华文中宋"/>
          <w:b/>
          <w:bCs/>
          <w:color w:val="auto"/>
          <w:sz w:val="48"/>
          <w:szCs w:val="48"/>
          <w:highlight w:val="none"/>
        </w:rPr>
        <w:t>目</w:t>
      </w:r>
      <w:r>
        <w:rPr>
          <w:rFonts w:hint="eastAsia" w:ascii="华文中宋" w:hAnsi="华文中宋" w:eastAsia="华文中宋" w:cs="华文中宋"/>
          <w:b/>
          <w:bCs/>
          <w:color w:val="auto"/>
          <w:sz w:val="48"/>
          <w:szCs w:val="48"/>
          <w:highlight w:val="none"/>
          <w:lang w:val="en-US" w:eastAsia="zh-CN"/>
        </w:rPr>
        <w:t xml:space="preserve"> </w:t>
      </w:r>
      <w:r>
        <w:rPr>
          <w:rFonts w:hint="eastAsia" w:ascii="华文中宋" w:hAnsi="华文中宋" w:eastAsia="华文中宋" w:cs="华文中宋"/>
          <w:b/>
          <w:bCs/>
          <w:color w:val="auto"/>
          <w:sz w:val="48"/>
          <w:szCs w:val="48"/>
          <w:highlight w:val="none"/>
        </w:rPr>
        <w:t>录</w:t>
      </w:r>
    </w:p>
    <w:p w14:paraId="5ECB7024">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auto"/>
          <w:sz w:val="30"/>
          <w:szCs w:val="30"/>
          <w:highlight w:val="none"/>
        </w:rPr>
      </w:pPr>
    </w:p>
    <w:p w14:paraId="152EE143">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TOC \o "1-1" \h \z \u </w:instrText>
      </w:r>
      <w:r>
        <w:rPr>
          <w:rFonts w:hint="eastAsia" w:ascii="仿宋" w:hAnsi="仿宋" w:eastAsia="仿宋" w:cs="仿宋"/>
          <w:b/>
          <w:color w:val="auto"/>
          <w:sz w:val="32"/>
          <w:szCs w:val="32"/>
          <w:highlight w:val="none"/>
        </w:rPr>
        <w:fldChar w:fldCharType="separate"/>
      </w: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"_Toc417914517" </w:instrText>
      </w:r>
      <w:r>
        <w:rPr>
          <w:rFonts w:hint="eastAsia" w:ascii="仿宋" w:hAnsi="仿宋" w:eastAsia="仿宋" w:cs="仿宋"/>
          <w:b/>
          <w:color w:val="auto"/>
          <w:sz w:val="32"/>
          <w:szCs w:val="32"/>
          <w:highlight w:val="none"/>
        </w:rPr>
        <w:fldChar w:fldCharType="separate"/>
      </w:r>
      <w:r>
        <w:rPr>
          <w:rStyle w:val="23"/>
          <w:rFonts w:hint="eastAsia" w:ascii="仿宋" w:hAnsi="仿宋" w:eastAsia="仿宋" w:cs="仿宋"/>
          <w:b/>
          <w:color w:val="auto"/>
          <w:sz w:val="32"/>
          <w:szCs w:val="32"/>
          <w:highlight w:val="none"/>
        </w:rPr>
        <w:t>第一章</w:t>
      </w:r>
      <w:r>
        <w:rPr>
          <w:rStyle w:val="23"/>
          <w:rFonts w:hint="eastAsia" w:ascii="仿宋" w:hAnsi="仿宋" w:eastAsia="仿宋" w:cs="仿宋"/>
          <w:b/>
          <w:color w:val="auto"/>
          <w:sz w:val="32"/>
          <w:szCs w:val="32"/>
          <w:highlight w:val="none"/>
          <w:lang w:val="en-US" w:eastAsia="zh-CN"/>
        </w:rPr>
        <w:t xml:space="preserve"> 谈判邀请</w:t>
      </w:r>
      <w:r>
        <w:rPr>
          <w:rStyle w:val="23"/>
          <w:rFonts w:hint="eastAsia" w:ascii="仿宋" w:hAnsi="仿宋" w:eastAsia="仿宋" w:cs="仿宋"/>
          <w:b/>
          <w:color w:val="auto"/>
          <w:sz w:val="32"/>
          <w:szCs w:val="32"/>
          <w:highlight w:val="none"/>
        </w:rPr>
        <w:t>函</w:t>
      </w:r>
      <w:r>
        <w:rPr>
          <w:rFonts w:hint="eastAsia" w:ascii="仿宋" w:hAnsi="仿宋" w:eastAsia="仿宋" w:cs="仿宋"/>
          <w:b/>
          <w:color w:val="auto"/>
          <w:sz w:val="32"/>
          <w:szCs w:val="32"/>
          <w:highlight w:val="none"/>
        </w:rPr>
        <w:fldChar w:fldCharType="end"/>
      </w:r>
    </w:p>
    <w:p w14:paraId="37371AAA">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"_Toc417914518" </w:instrText>
      </w:r>
      <w:r>
        <w:rPr>
          <w:rFonts w:hint="eastAsia" w:ascii="仿宋" w:hAnsi="仿宋" w:eastAsia="仿宋" w:cs="仿宋"/>
          <w:b/>
          <w:color w:val="auto"/>
          <w:sz w:val="32"/>
          <w:szCs w:val="32"/>
          <w:highlight w:val="none"/>
        </w:rPr>
        <w:fldChar w:fldCharType="separate"/>
      </w:r>
      <w:r>
        <w:rPr>
          <w:rStyle w:val="23"/>
          <w:rFonts w:hint="eastAsia" w:ascii="仿宋" w:hAnsi="仿宋" w:eastAsia="仿宋" w:cs="仿宋"/>
          <w:b/>
          <w:color w:val="auto"/>
          <w:sz w:val="32"/>
          <w:szCs w:val="32"/>
          <w:highlight w:val="none"/>
        </w:rPr>
        <w:t>第二章</w:t>
      </w:r>
      <w:r>
        <w:rPr>
          <w:rStyle w:val="23"/>
          <w:rFonts w:hint="eastAsia" w:ascii="仿宋" w:hAnsi="仿宋" w:eastAsia="仿宋" w:cs="仿宋"/>
          <w:b/>
          <w:color w:val="auto"/>
          <w:sz w:val="32"/>
          <w:szCs w:val="32"/>
          <w:highlight w:val="none"/>
          <w:lang w:val="en-US" w:eastAsia="zh-CN"/>
        </w:rPr>
        <w:t xml:space="preserve"> </w:t>
      </w:r>
      <w:r>
        <w:rPr>
          <w:rStyle w:val="23"/>
          <w:rFonts w:hint="eastAsia" w:ascii="仿宋" w:hAnsi="仿宋" w:eastAsia="仿宋" w:cs="仿宋"/>
          <w:b/>
          <w:color w:val="auto"/>
          <w:sz w:val="32"/>
          <w:szCs w:val="32"/>
          <w:highlight w:val="none"/>
          <w:lang w:eastAsia="zh-CN"/>
        </w:rPr>
        <w:t>用户</w:t>
      </w:r>
      <w:r>
        <w:rPr>
          <w:rStyle w:val="23"/>
          <w:rFonts w:hint="eastAsia" w:ascii="仿宋" w:hAnsi="仿宋" w:eastAsia="仿宋" w:cs="仿宋"/>
          <w:b/>
          <w:color w:val="auto"/>
          <w:sz w:val="32"/>
          <w:szCs w:val="32"/>
          <w:highlight w:val="none"/>
        </w:rPr>
        <w:t>需求书</w:t>
      </w:r>
      <w:r>
        <w:rPr>
          <w:rFonts w:hint="eastAsia" w:ascii="仿宋" w:hAnsi="仿宋" w:eastAsia="仿宋" w:cs="仿宋"/>
          <w:b/>
          <w:color w:val="auto"/>
          <w:sz w:val="32"/>
          <w:szCs w:val="32"/>
          <w:highlight w:val="none"/>
        </w:rPr>
        <w:fldChar w:fldCharType="end"/>
      </w:r>
    </w:p>
    <w:p w14:paraId="67A23070">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fldChar w:fldCharType="begin"/>
      </w:r>
      <w:r>
        <w:rPr>
          <w:rFonts w:hint="eastAsia" w:ascii="仿宋" w:hAnsi="仿宋" w:eastAsia="仿宋" w:cs="仿宋"/>
          <w:b/>
          <w:color w:val="auto"/>
          <w:sz w:val="32"/>
          <w:szCs w:val="32"/>
          <w:highlight w:val="none"/>
        </w:rPr>
        <w:instrText xml:space="preserve"> HYPERLINK \l "_Toc417914519" </w:instrText>
      </w:r>
      <w:r>
        <w:rPr>
          <w:rFonts w:hint="eastAsia" w:ascii="仿宋" w:hAnsi="仿宋" w:eastAsia="仿宋" w:cs="仿宋"/>
          <w:b/>
          <w:color w:val="auto"/>
          <w:sz w:val="32"/>
          <w:szCs w:val="32"/>
          <w:highlight w:val="none"/>
        </w:rPr>
        <w:fldChar w:fldCharType="separate"/>
      </w:r>
      <w:r>
        <w:rPr>
          <w:rStyle w:val="23"/>
          <w:rFonts w:hint="eastAsia" w:ascii="仿宋" w:hAnsi="仿宋" w:eastAsia="仿宋" w:cs="仿宋"/>
          <w:b/>
          <w:color w:val="auto"/>
          <w:sz w:val="32"/>
          <w:szCs w:val="32"/>
          <w:highlight w:val="none"/>
        </w:rPr>
        <w:t>第三章</w:t>
      </w:r>
      <w:r>
        <w:rPr>
          <w:rStyle w:val="23"/>
          <w:rFonts w:hint="eastAsia" w:ascii="仿宋" w:hAnsi="仿宋" w:eastAsia="仿宋" w:cs="仿宋"/>
          <w:b/>
          <w:color w:val="auto"/>
          <w:sz w:val="32"/>
          <w:szCs w:val="32"/>
          <w:highlight w:val="none"/>
          <w:lang w:val="en-US" w:eastAsia="zh-CN"/>
        </w:rPr>
        <w:t xml:space="preserve"> 响应</w:t>
      </w:r>
      <w:r>
        <w:rPr>
          <w:rStyle w:val="23"/>
          <w:rFonts w:hint="eastAsia" w:ascii="仿宋" w:hAnsi="仿宋" w:eastAsia="仿宋" w:cs="仿宋"/>
          <w:b/>
          <w:color w:val="auto"/>
          <w:sz w:val="32"/>
          <w:szCs w:val="32"/>
          <w:highlight w:val="none"/>
          <w:lang w:eastAsia="zh-CN"/>
        </w:rPr>
        <w:t>须知</w:t>
      </w:r>
      <w:r>
        <w:rPr>
          <w:rFonts w:hint="eastAsia" w:ascii="仿宋" w:hAnsi="仿宋" w:eastAsia="仿宋" w:cs="仿宋"/>
          <w:b/>
          <w:color w:val="auto"/>
          <w:sz w:val="32"/>
          <w:szCs w:val="32"/>
          <w:highlight w:val="none"/>
        </w:rPr>
        <w:fldChar w:fldCharType="end"/>
      </w:r>
    </w:p>
    <w:p w14:paraId="2845B02A">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第四章 合同参考文本</w:t>
      </w:r>
    </w:p>
    <w:p w14:paraId="3E0105E5">
      <w:pPr>
        <w:pStyle w:val="15"/>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第五章 响应文件编制要求</w:t>
      </w:r>
    </w:p>
    <w:p w14:paraId="709D8A59">
      <w:pPr>
        <w:pStyle w:val="26"/>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auto"/>
          <w:sz w:val="28"/>
          <w:szCs w:val="28"/>
          <w:highlight w:val="none"/>
        </w:rPr>
      </w:pPr>
      <w:r>
        <w:rPr>
          <w:rFonts w:hint="eastAsia" w:ascii="仿宋" w:hAnsi="仿宋" w:eastAsia="仿宋" w:cs="仿宋"/>
          <w:b/>
          <w:color w:val="auto"/>
          <w:sz w:val="32"/>
          <w:szCs w:val="32"/>
          <w:highlight w:val="none"/>
        </w:rPr>
        <w:fldChar w:fldCharType="end"/>
      </w:r>
    </w:p>
    <w:p w14:paraId="5A1B3830">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5910DA73">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E9F491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3431224">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43663B81">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2FA3DD0B">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6D39A44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auto"/>
          <w:sz w:val="36"/>
          <w:szCs w:val="36"/>
          <w:highlight w:val="none"/>
        </w:rPr>
      </w:pPr>
    </w:p>
    <w:p w14:paraId="322EED25">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auto"/>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0CB00CE6">
      <w:pPr>
        <w:rPr>
          <w:color w:val="auto"/>
          <w:highlight w:val="none"/>
        </w:rPr>
      </w:pPr>
    </w:p>
    <w:p w14:paraId="5A9D4925">
      <w:pPr>
        <w:pStyle w:val="26"/>
        <w:rPr>
          <w:color w:val="auto"/>
          <w:highlight w:val="none"/>
        </w:rPr>
      </w:pPr>
    </w:p>
    <w:p w14:paraId="0A15806B">
      <w:pPr>
        <w:pStyle w:val="26"/>
        <w:rPr>
          <w:color w:val="auto"/>
          <w:highlight w:val="none"/>
        </w:rPr>
      </w:pPr>
    </w:p>
    <w:p w14:paraId="3DCA7AD5">
      <w:pPr>
        <w:pStyle w:val="26"/>
        <w:rPr>
          <w:color w:val="auto"/>
          <w:highlight w:val="none"/>
        </w:rPr>
      </w:pPr>
    </w:p>
    <w:p w14:paraId="6E14FAB4">
      <w:pPr>
        <w:pStyle w:val="26"/>
        <w:rPr>
          <w:color w:val="auto"/>
          <w:highlight w:val="none"/>
        </w:rPr>
      </w:pPr>
    </w:p>
    <w:p w14:paraId="64575E93">
      <w:pPr>
        <w:pStyle w:val="26"/>
        <w:rPr>
          <w:color w:val="auto"/>
          <w:highlight w:val="none"/>
        </w:rPr>
      </w:pPr>
    </w:p>
    <w:p w14:paraId="2C222BBF">
      <w:pPr>
        <w:pStyle w:val="26"/>
        <w:rPr>
          <w:color w:val="auto"/>
          <w:highlight w:val="none"/>
        </w:rPr>
      </w:pPr>
    </w:p>
    <w:p w14:paraId="09C05EDD">
      <w:pPr>
        <w:pStyle w:val="26"/>
        <w:rPr>
          <w:color w:val="auto"/>
          <w:highlight w:val="none"/>
        </w:rPr>
      </w:pPr>
    </w:p>
    <w:p w14:paraId="78BEBE66">
      <w:pPr>
        <w:pStyle w:val="26"/>
        <w:rPr>
          <w:color w:val="auto"/>
          <w:highlight w:val="none"/>
        </w:rPr>
      </w:pPr>
    </w:p>
    <w:p w14:paraId="7FFB3F36">
      <w:pPr>
        <w:pStyle w:val="26"/>
        <w:rPr>
          <w:color w:val="auto"/>
          <w:highlight w:val="none"/>
        </w:rPr>
      </w:pPr>
    </w:p>
    <w:p w14:paraId="3DF6BD4F">
      <w:pPr>
        <w:pStyle w:val="26"/>
        <w:rPr>
          <w:color w:val="auto"/>
          <w:highlight w:val="none"/>
        </w:rPr>
      </w:pPr>
    </w:p>
    <w:p w14:paraId="2734705C">
      <w:pPr>
        <w:pStyle w:val="26"/>
        <w:rPr>
          <w:color w:val="auto"/>
          <w:highlight w:val="none"/>
        </w:rPr>
      </w:pPr>
    </w:p>
    <w:p w14:paraId="4314B196">
      <w:pPr>
        <w:pStyle w:val="26"/>
        <w:rPr>
          <w:color w:val="auto"/>
          <w:highlight w:val="none"/>
        </w:rPr>
      </w:pPr>
    </w:p>
    <w:p w14:paraId="3A1D323C">
      <w:pPr>
        <w:pStyle w:val="26"/>
        <w:ind w:left="0" w:leftChars="0" w:firstLine="0" w:firstLineChars="0"/>
        <w:rPr>
          <w:color w:val="auto"/>
          <w:highlight w:val="none"/>
        </w:rPr>
      </w:pPr>
    </w:p>
    <w:p w14:paraId="28873E3D">
      <w:pPr>
        <w:pStyle w:val="26"/>
        <w:rPr>
          <w:color w:val="auto"/>
          <w:highlight w:val="none"/>
        </w:rPr>
      </w:pPr>
    </w:p>
    <w:p w14:paraId="50FA7ED8">
      <w:pPr>
        <w:pStyle w:val="26"/>
        <w:rPr>
          <w:color w:val="auto"/>
          <w:highlight w:val="none"/>
        </w:rPr>
      </w:pPr>
    </w:p>
    <w:p w14:paraId="6B2899CF">
      <w:pPr>
        <w:pStyle w:val="26"/>
        <w:rPr>
          <w:color w:val="auto"/>
          <w:highlight w:val="none"/>
        </w:rPr>
      </w:pPr>
    </w:p>
    <w:p w14:paraId="33C44C0F">
      <w:pPr>
        <w:pStyle w:val="26"/>
        <w:rPr>
          <w:color w:val="auto"/>
          <w:highlight w:val="none"/>
        </w:rPr>
      </w:pPr>
    </w:p>
    <w:p w14:paraId="42E0C72B">
      <w:pPr>
        <w:pStyle w:val="26"/>
        <w:rPr>
          <w:color w:val="auto"/>
          <w:highlight w:val="none"/>
        </w:rPr>
      </w:pPr>
    </w:p>
    <w:p w14:paraId="605B6840">
      <w:pPr>
        <w:pStyle w:val="26"/>
        <w:rPr>
          <w:color w:val="auto"/>
          <w:highlight w:val="none"/>
        </w:rPr>
      </w:pPr>
    </w:p>
    <w:p w14:paraId="67B723F3">
      <w:pPr>
        <w:pStyle w:val="26"/>
        <w:rPr>
          <w:color w:val="auto"/>
          <w:highlight w:val="none"/>
        </w:rPr>
      </w:pPr>
    </w:p>
    <w:p w14:paraId="42B80870">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auto"/>
          <w:highlight w:val="none"/>
        </w:rPr>
      </w:pPr>
      <w:bookmarkStart w:id="0" w:name="_Toc50737317"/>
      <w:bookmarkStart w:id="1" w:name="_Toc50736465"/>
      <w:bookmarkStart w:id="2" w:name="_Toc385939527"/>
      <w:bookmarkStart w:id="3" w:name="_Toc385940868"/>
      <w:bookmarkStart w:id="4" w:name="_Toc50737285"/>
      <w:bookmarkStart w:id="5" w:name="_Toc76354913"/>
      <w:bookmarkStart w:id="6" w:name="_Toc50691018"/>
      <w:bookmarkStart w:id="7" w:name="_Toc417914517"/>
      <w:r>
        <w:rPr>
          <w:rFonts w:hint="eastAsia" w:ascii="微软雅黑" w:hAnsi="微软雅黑" w:eastAsia="微软雅黑" w:cs="微软雅黑"/>
          <w:color w:val="auto"/>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auto"/>
          <w:highlight w:val="none"/>
          <w:lang w:val="en-US" w:eastAsia="zh-CN"/>
        </w:rPr>
        <w:t xml:space="preserve"> 谈判邀请</w:t>
      </w:r>
      <w:r>
        <w:rPr>
          <w:rFonts w:hint="eastAsia" w:ascii="微软雅黑" w:hAnsi="微软雅黑" w:eastAsia="微软雅黑" w:cs="微软雅黑"/>
          <w:color w:val="auto"/>
          <w:highlight w:val="none"/>
        </w:rPr>
        <w:t>函</w:t>
      </w:r>
      <w:bookmarkEnd w:id="7"/>
    </w:p>
    <w:p w14:paraId="09A011E9">
      <w:pPr>
        <w:pStyle w:val="26"/>
        <w:rPr>
          <w:color w:val="auto"/>
          <w:highlight w:val="none"/>
        </w:rPr>
      </w:pPr>
    </w:p>
    <w:p w14:paraId="0E1E6DAA">
      <w:pPr>
        <w:pStyle w:val="26"/>
        <w:rPr>
          <w:color w:val="auto"/>
          <w:highlight w:val="none"/>
        </w:rPr>
      </w:pPr>
    </w:p>
    <w:p w14:paraId="3BA9C6FC">
      <w:pPr>
        <w:pStyle w:val="26"/>
        <w:rPr>
          <w:color w:val="auto"/>
          <w:highlight w:val="none"/>
        </w:rPr>
      </w:pPr>
    </w:p>
    <w:p w14:paraId="785CAE00">
      <w:pPr>
        <w:pStyle w:val="26"/>
        <w:rPr>
          <w:color w:val="auto"/>
          <w:highlight w:val="none"/>
        </w:rPr>
      </w:pPr>
    </w:p>
    <w:p w14:paraId="39EE392B">
      <w:pPr>
        <w:pStyle w:val="26"/>
        <w:rPr>
          <w:color w:val="auto"/>
          <w:highlight w:val="none"/>
        </w:rPr>
      </w:pPr>
    </w:p>
    <w:p w14:paraId="706178C8">
      <w:pPr>
        <w:pStyle w:val="26"/>
        <w:rPr>
          <w:color w:val="auto"/>
          <w:highlight w:val="none"/>
        </w:rPr>
      </w:pPr>
    </w:p>
    <w:p w14:paraId="772CC2BD">
      <w:pPr>
        <w:pStyle w:val="26"/>
        <w:rPr>
          <w:color w:val="auto"/>
          <w:highlight w:val="none"/>
        </w:rPr>
      </w:pPr>
    </w:p>
    <w:p w14:paraId="67FC31CB">
      <w:pPr>
        <w:pStyle w:val="26"/>
        <w:rPr>
          <w:color w:val="auto"/>
          <w:highlight w:val="none"/>
        </w:rPr>
      </w:pPr>
    </w:p>
    <w:p w14:paraId="386EC698">
      <w:pPr>
        <w:pStyle w:val="26"/>
        <w:rPr>
          <w:color w:val="auto"/>
          <w:highlight w:val="none"/>
        </w:rPr>
      </w:pPr>
    </w:p>
    <w:p w14:paraId="2C1A4281">
      <w:pPr>
        <w:pStyle w:val="26"/>
        <w:rPr>
          <w:color w:val="auto"/>
          <w:highlight w:val="none"/>
        </w:rPr>
      </w:pPr>
    </w:p>
    <w:p w14:paraId="5F86BCBC">
      <w:pPr>
        <w:pStyle w:val="26"/>
        <w:rPr>
          <w:color w:val="auto"/>
          <w:highlight w:val="none"/>
        </w:rPr>
      </w:pPr>
    </w:p>
    <w:p w14:paraId="455E259F">
      <w:pPr>
        <w:pStyle w:val="26"/>
        <w:rPr>
          <w:color w:val="auto"/>
          <w:highlight w:val="none"/>
        </w:rPr>
      </w:pPr>
    </w:p>
    <w:p w14:paraId="2CAB1CE8">
      <w:pPr>
        <w:pStyle w:val="26"/>
        <w:rPr>
          <w:color w:val="auto"/>
          <w:highlight w:val="none"/>
        </w:rPr>
      </w:pPr>
    </w:p>
    <w:p w14:paraId="4886323E">
      <w:pPr>
        <w:pStyle w:val="26"/>
        <w:rPr>
          <w:color w:val="auto"/>
          <w:highlight w:val="none"/>
        </w:rPr>
      </w:pPr>
    </w:p>
    <w:p w14:paraId="70322BB7">
      <w:pPr>
        <w:pStyle w:val="26"/>
        <w:rPr>
          <w:color w:val="auto"/>
          <w:highlight w:val="none"/>
        </w:rPr>
      </w:pPr>
    </w:p>
    <w:p w14:paraId="3AB65DC5">
      <w:pPr>
        <w:pStyle w:val="26"/>
        <w:rPr>
          <w:color w:val="auto"/>
          <w:highlight w:val="none"/>
        </w:rPr>
      </w:pPr>
    </w:p>
    <w:p w14:paraId="35ACE013">
      <w:pPr>
        <w:pStyle w:val="26"/>
        <w:rPr>
          <w:color w:val="auto"/>
          <w:highlight w:val="none"/>
        </w:rPr>
      </w:pPr>
    </w:p>
    <w:p w14:paraId="4ABCB55B">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12CCCD53">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C414E7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6D544DC6">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lang w:val="en-US" w:eastAsia="zh-CN"/>
        </w:rPr>
      </w:pPr>
    </w:p>
    <w:p w14:paraId="77B37B1F">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auto"/>
          <w:kern w:val="44"/>
          <w:sz w:val="36"/>
          <w:szCs w:val="36"/>
          <w:highlight w:val="none"/>
        </w:rPr>
      </w:pPr>
      <w:r>
        <w:rPr>
          <w:rFonts w:hint="eastAsia" w:ascii="华文中宋" w:hAnsi="华文中宋" w:eastAsia="华文中宋" w:cs="华文中宋"/>
          <w:b/>
          <w:bCs/>
          <w:color w:val="auto"/>
          <w:kern w:val="44"/>
          <w:sz w:val="36"/>
          <w:szCs w:val="36"/>
          <w:highlight w:val="none"/>
          <w:lang w:val="en-US" w:eastAsia="zh-CN"/>
        </w:rPr>
        <w:t>谈判邀请</w:t>
      </w:r>
      <w:r>
        <w:rPr>
          <w:rFonts w:hint="eastAsia" w:ascii="华文中宋" w:hAnsi="华文中宋" w:eastAsia="华文中宋" w:cs="华文中宋"/>
          <w:b/>
          <w:bCs/>
          <w:color w:val="auto"/>
          <w:kern w:val="44"/>
          <w:sz w:val="36"/>
          <w:szCs w:val="36"/>
          <w:highlight w:val="none"/>
        </w:rPr>
        <w:t>函</w:t>
      </w:r>
    </w:p>
    <w:p w14:paraId="1627EA99">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各</w:t>
      </w:r>
      <w:r>
        <w:rPr>
          <w:rFonts w:hint="eastAsia" w:ascii="仿宋" w:hAnsi="仿宋" w:eastAsia="仿宋" w:cs="仿宋"/>
          <w:b/>
          <w:bCs w:val="0"/>
          <w:color w:val="auto"/>
          <w:sz w:val="24"/>
          <w:szCs w:val="24"/>
          <w:highlight w:val="none"/>
          <w:lang w:eastAsia="zh-CN"/>
        </w:rPr>
        <w:t>供应商</w:t>
      </w:r>
      <w:r>
        <w:rPr>
          <w:rFonts w:hint="eastAsia" w:ascii="仿宋" w:hAnsi="仿宋" w:eastAsia="仿宋" w:cs="仿宋"/>
          <w:b/>
          <w:bCs w:val="0"/>
          <w:color w:val="auto"/>
          <w:sz w:val="24"/>
          <w:szCs w:val="24"/>
          <w:highlight w:val="none"/>
        </w:rPr>
        <w:t>：</w:t>
      </w:r>
    </w:p>
    <w:p w14:paraId="0BF5537A">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中山大学孙逸仙纪念医院</w:t>
      </w:r>
      <w:r>
        <w:rPr>
          <w:rFonts w:hint="eastAsia" w:ascii="仿宋" w:hAnsi="仿宋" w:eastAsia="仿宋" w:cs="仿宋"/>
          <w:bCs/>
          <w:color w:val="auto"/>
          <w:sz w:val="24"/>
          <w:szCs w:val="24"/>
          <w:highlight w:val="none"/>
        </w:rPr>
        <w:t>（以下简称“</w:t>
      </w:r>
      <w:r>
        <w:rPr>
          <w:rFonts w:hint="eastAsia" w:ascii="仿宋" w:hAnsi="仿宋" w:eastAsia="仿宋" w:cs="仿宋"/>
          <w:bCs/>
          <w:color w:val="auto"/>
          <w:sz w:val="24"/>
          <w:szCs w:val="24"/>
          <w:highlight w:val="none"/>
          <w:lang w:eastAsia="zh-CN"/>
        </w:rPr>
        <w:t>我院</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依据我院的需求，现</w:t>
      </w:r>
      <w:r>
        <w:rPr>
          <w:rFonts w:hint="eastAsia" w:ascii="仿宋" w:hAnsi="仿宋" w:eastAsia="仿宋" w:cs="仿宋"/>
          <w:bCs/>
          <w:color w:val="auto"/>
          <w:sz w:val="24"/>
          <w:szCs w:val="24"/>
          <w:highlight w:val="none"/>
        </w:rPr>
        <w:t>对</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我院公务车辆定点加油服务项目</w:t>
      </w:r>
      <w:r>
        <w:rPr>
          <w:rFonts w:hint="eastAsia" w:ascii="仿宋" w:hAnsi="仿宋" w:eastAsia="仿宋" w:cs="仿宋"/>
          <w:bCs/>
          <w:color w:val="000000" w:themeColor="text1"/>
          <w:sz w:val="24"/>
          <w:szCs w:val="24"/>
          <w:highlight w:val="none"/>
          <w:lang w:eastAsia="zh-CN"/>
          <w14:textFill>
            <w14:solidFill>
              <w14:schemeClr w14:val="tx1"/>
            </w14:solidFill>
          </w14:textFill>
        </w:rPr>
        <w:t>进行</w:t>
      </w:r>
      <w:r>
        <w:rPr>
          <w:rFonts w:hint="eastAsia" w:ascii="仿宋" w:hAnsi="仿宋" w:eastAsia="仿宋" w:cs="仿宋"/>
          <w:bCs/>
          <w:color w:val="000000" w:themeColor="text1"/>
          <w:sz w:val="24"/>
          <w:szCs w:val="24"/>
          <w:highlight w:val="none"/>
          <w:lang w:val="en-US" w:eastAsia="zh-CN"/>
          <w14:textFill>
            <w14:solidFill>
              <w14:schemeClr w14:val="tx1"/>
            </w14:solidFill>
          </w14:textFill>
        </w:rPr>
        <w:t>院内</w:t>
      </w:r>
      <w:r>
        <w:rPr>
          <w:rFonts w:hint="eastAsia" w:ascii="仿宋" w:hAnsi="仿宋" w:eastAsia="仿宋" w:cs="仿宋"/>
          <w:bCs/>
          <w:color w:val="000000" w:themeColor="text1"/>
          <w:sz w:val="24"/>
          <w:szCs w:val="24"/>
          <w:highlight w:val="none"/>
          <w:lang w:eastAsia="zh-CN"/>
          <w14:textFill>
            <w14:solidFill>
              <w14:schemeClr w14:val="tx1"/>
            </w14:solidFill>
          </w14:textFill>
        </w:rPr>
        <w:t>谈判采购</w:t>
      </w:r>
      <w:r>
        <w:rPr>
          <w:rFonts w:hint="eastAsia" w:ascii="仿宋" w:hAnsi="仿宋" w:eastAsia="仿宋" w:cs="仿宋"/>
          <w:bCs/>
          <w:color w:val="auto"/>
          <w:sz w:val="24"/>
          <w:szCs w:val="24"/>
          <w:highlight w:val="none"/>
        </w:rPr>
        <w:t>，欢迎符合条件的</w:t>
      </w:r>
      <w:r>
        <w:rPr>
          <w:rFonts w:hint="eastAsia" w:ascii="仿宋" w:hAnsi="仿宋" w:eastAsia="仿宋" w:cs="仿宋"/>
          <w:bCs/>
          <w:color w:val="auto"/>
          <w:sz w:val="24"/>
          <w:szCs w:val="24"/>
          <w:highlight w:val="none"/>
          <w:lang w:val="en-US" w:eastAsia="zh-CN"/>
        </w:rPr>
        <w:t>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14:paraId="51201932">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项目编号：</w:t>
      </w:r>
      <w:r>
        <w:rPr>
          <w:rFonts w:hint="eastAsia" w:ascii="仿宋" w:hAnsi="仿宋" w:eastAsia="仿宋" w:cs="仿宋"/>
          <w:b/>
          <w:bCs/>
          <w:color w:val="auto"/>
          <w:sz w:val="24"/>
          <w:szCs w:val="24"/>
          <w:highlight w:val="none"/>
          <w:u w:val="none"/>
          <w:lang w:val="en-US" w:eastAsia="zh-CN"/>
        </w:rPr>
        <w:t>ZCB-2025080</w:t>
      </w:r>
    </w:p>
    <w:p w14:paraId="0C09B74B">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项目名称</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000000" w:themeColor="text1"/>
          <w:sz w:val="24"/>
          <w:szCs w:val="24"/>
          <w:highlight w:val="none"/>
          <w:lang w:eastAsia="zh-CN"/>
          <w14:textFill>
            <w14:solidFill>
              <w14:schemeClr w14:val="tx1"/>
            </w14:solidFill>
          </w14:textFill>
        </w:rPr>
        <w:t>中山大学孙逸仙纪念医院公务车辆定点加油服务项目</w:t>
      </w: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 DOCVARIABLE  项目名称  \* MERGEFORMAT </w:instrText>
      </w:r>
      <w:r>
        <w:rPr>
          <w:rFonts w:hint="eastAsia" w:ascii="仿宋" w:hAnsi="仿宋" w:eastAsia="仿宋" w:cs="仿宋"/>
          <w:b/>
          <w:bCs w:val="0"/>
          <w:color w:val="auto"/>
          <w:sz w:val="24"/>
          <w:szCs w:val="24"/>
          <w:highlight w:val="none"/>
        </w:rPr>
        <w:fldChar w:fldCharType="end"/>
      </w:r>
    </w:p>
    <w:p w14:paraId="7CA54714">
      <w:pPr>
        <w:keepNext w:val="0"/>
        <w:keepLines w:val="0"/>
        <w:pageBreakBefore w:val="0"/>
        <w:numPr>
          <w:ilvl w:val="0"/>
          <w:numId w:val="2"/>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eastAsia="zh-CN"/>
        </w:rPr>
        <w:t>项目</w:t>
      </w:r>
      <w:r>
        <w:rPr>
          <w:rFonts w:hint="eastAsia" w:ascii="仿宋" w:hAnsi="仿宋" w:eastAsia="仿宋" w:cs="仿宋"/>
          <w:b/>
          <w:bCs w:val="0"/>
          <w:color w:val="auto"/>
          <w:sz w:val="24"/>
          <w:szCs w:val="24"/>
          <w:highlight w:val="none"/>
        </w:rPr>
        <w:t>内容及需求：</w:t>
      </w:r>
    </w:p>
    <w:tbl>
      <w:tblPr>
        <w:tblStyle w:val="19"/>
        <w:tblpPr w:leftFromText="180" w:rightFromText="180" w:vertAnchor="text" w:horzAnchor="page" w:tblpXSpec="center" w:tblpY="295"/>
        <w:tblOverlap w:val="never"/>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883"/>
        <w:gridCol w:w="1180"/>
        <w:gridCol w:w="1150"/>
        <w:gridCol w:w="1998"/>
        <w:gridCol w:w="1384"/>
        <w:gridCol w:w="1133"/>
      </w:tblGrid>
      <w:tr w14:paraId="7025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05" w:type="dxa"/>
            <w:vAlign w:val="center"/>
          </w:tcPr>
          <w:p w14:paraId="296DB74D">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包号</w:t>
            </w:r>
          </w:p>
        </w:tc>
        <w:tc>
          <w:tcPr>
            <w:tcW w:w="1883" w:type="dxa"/>
            <w:vAlign w:val="center"/>
          </w:tcPr>
          <w:p w14:paraId="0EA431DF">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zh-CN"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采购内容</w:t>
            </w:r>
          </w:p>
        </w:tc>
        <w:tc>
          <w:tcPr>
            <w:tcW w:w="1180" w:type="dxa"/>
          </w:tcPr>
          <w:p w14:paraId="655AFC9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服务年限</w:t>
            </w:r>
          </w:p>
        </w:tc>
        <w:tc>
          <w:tcPr>
            <w:tcW w:w="1150" w:type="dxa"/>
          </w:tcPr>
          <w:p w14:paraId="26497D2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油品标号</w:t>
            </w:r>
          </w:p>
        </w:tc>
        <w:tc>
          <w:tcPr>
            <w:tcW w:w="1998" w:type="dxa"/>
            <w:vAlign w:val="top"/>
          </w:tcPr>
          <w:p w14:paraId="7EF190B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项目采购预算</w:t>
            </w:r>
          </w:p>
          <w:p w14:paraId="728ED77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（最高限价）</w:t>
            </w:r>
          </w:p>
        </w:tc>
        <w:tc>
          <w:tcPr>
            <w:tcW w:w="1384" w:type="dxa"/>
          </w:tcPr>
          <w:p w14:paraId="2C7147A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成交供应商数量</w:t>
            </w:r>
          </w:p>
        </w:tc>
        <w:tc>
          <w:tcPr>
            <w:tcW w:w="1133" w:type="dxa"/>
          </w:tcPr>
          <w:p w14:paraId="24DE0C6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备注</w:t>
            </w:r>
          </w:p>
        </w:tc>
      </w:tr>
      <w:tr w14:paraId="4348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05" w:type="dxa"/>
            <w:vAlign w:val="center"/>
          </w:tcPr>
          <w:p w14:paraId="2853719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包组1</w:t>
            </w:r>
          </w:p>
        </w:tc>
        <w:tc>
          <w:tcPr>
            <w:tcW w:w="1883" w:type="dxa"/>
            <w:vAlign w:val="center"/>
          </w:tcPr>
          <w:p w14:paraId="7EBE271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zh-CN"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北院区</w:t>
            </w:r>
            <w:r>
              <w:rPr>
                <w:rFonts w:hint="eastAsia" w:ascii="仿宋" w:hAnsi="仿宋" w:eastAsia="仿宋" w:cs="仿宋"/>
                <w:b w:val="0"/>
                <w:bCs w:val="0"/>
                <w:color w:val="000000" w:themeColor="text1"/>
                <w:sz w:val="22"/>
                <w:szCs w:val="22"/>
                <w:highlight w:val="none"/>
                <w14:textFill>
                  <w14:solidFill>
                    <w14:schemeClr w14:val="tx1"/>
                  </w14:solidFill>
                </w14:textFill>
              </w:rPr>
              <w:t>公务车辆定点加油服务</w:t>
            </w:r>
          </w:p>
        </w:tc>
        <w:tc>
          <w:tcPr>
            <w:tcW w:w="1180" w:type="dxa"/>
            <w:vAlign w:val="center"/>
          </w:tcPr>
          <w:p w14:paraId="7CFD8B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2年</w:t>
            </w:r>
          </w:p>
        </w:tc>
        <w:tc>
          <w:tcPr>
            <w:tcW w:w="1150" w:type="dxa"/>
            <w:vAlign w:val="center"/>
          </w:tcPr>
          <w:p w14:paraId="28AC00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lang w:val="en-US" w:eastAsia="zh-CN"/>
              </w:rPr>
              <w:t>至少包含</w:t>
            </w:r>
            <w:r>
              <w:rPr>
                <w:rFonts w:hint="eastAsia" w:ascii="仿宋" w:hAnsi="仿宋" w:eastAsia="仿宋" w:cs="仿宋"/>
              </w:rPr>
              <w:t>95#汽油</w:t>
            </w:r>
          </w:p>
        </w:tc>
        <w:tc>
          <w:tcPr>
            <w:tcW w:w="1998" w:type="dxa"/>
            <w:vAlign w:val="center"/>
          </w:tcPr>
          <w:p w14:paraId="2AE35DE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p>
          <w:p w14:paraId="6B321CD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35万</w:t>
            </w:r>
            <w:r>
              <w:rPr>
                <w:rFonts w:hint="eastAsia" w:ascii="仿宋" w:hAnsi="仿宋" w:eastAsia="仿宋" w:cs="仿宋"/>
                <w:color w:val="000000" w:themeColor="text1"/>
                <w:sz w:val="22"/>
                <w:szCs w:val="22"/>
                <w:highlight w:val="none"/>
                <w:lang w:val="zh-CN"/>
                <w14:textFill>
                  <w14:solidFill>
                    <w14:schemeClr w14:val="tx1"/>
                  </w14:solidFill>
                </w14:textFill>
              </w:rPr>
              <w:t>元</w:t>
            </w:r>
          </w:p>
          <w:p w14:paraId="253EE86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c>
          <w:tcPr>
            <w:tcW w:w="1384" w:type="dxa"/>
            <w:vAlign w:val="center"/>
          </w:tcPr>
          <w:p w14:paraId="35A3015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1家</w:t>
            </w:r>
          </w:p>
        </w:tc>
        <w:tc>
          <w:tcPr>
            <w:tcW w:w="1133" w:type="dxa"/>
            <w:vMerge w:val="restart"/>
            <w:vAlign w:val="center"/>
          </w:tcPr>
          <w:p w14:paraId="62154F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供应商可兼投兼中。</w:t>
            </w:r>
          </w:p>
        </w:tc>
      </w:tr>
      <w:tr w14:paraId="27F9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5" w:type="dxa"/>
            <w:vAlign w:val="center"/>
          </w:tcPr>
          <w:p w14:paraId="20F1347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包组2</w:t>
            </w:r>
          </w:p>
        </w:tc>
        <w:tc>
          <w:tcPr>
            <w:tcW w:w="1883" w:type="dxa"/>
            <w:vAlign w:val="center"/>
          </w:tcPr>
          <w:p w14:paraId="1AB595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南院区公务车辆定点加油服务</w:t>
            </w:r>
          </w:p>
        </w:tc>
        <w:tc>
          <w:tcPr>
            <w:tcW w:w="1180" w:type="dxa"/>
            <w:vAlign w:val="center"/>
          </w:tcPr>
          <w:p w14:paraId="277E74F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2年</w:t>
            </w:r>
          </w:p>
        </w:tc>
        <w:tc>
          <w:tcPr>
            <w:tcW w:w="1150" w:type="dxa"/>
            <w:vAlign w:val="center"/>
          </w:tcPr>
          <w:p w14:paraId="0D7032F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lang w:val="en-US" w:eastAsia="zh-CN"/>
              </w:rPr>
              <w:t>至少包含</w:t>
            </w:r>
            <w:r>
              <w:rPr>
                <w:rFonts w:hint="eastAsia" w:ascii="仿宋" w:hAnsi="仿宋" w:eastAsia="仿宋" w:cs="仿宋"/>
              </w:rPr>
              <w:t>0#柴油国Ⅵ</w:t>
            </w:r>
            <w:r>
              <w:rPr>
                <w:rFonts w:hint="eastAsia" w:ascii="仿宋" w:hAnsi="仿宋" w:eastAsia="仿宋" w:cs="仿宋"/>
                <w:lang w:eastAsia="zh-CN"/>
              </w:rPr>
              <w:t>、</w:t>
            </w:r>
            <w:r>
              <w:rPr>
                <w:rFonts w:hint="eastAsia" w:ascii="仿宋" w:hAnsi="仿宋" w:eastAsia="仿宋" w:cs="仿宋"/>
              </w:rPr>
              <w:t>95#汽油</w:t>
            </w:r>
          </w:p>
        </w:tc>
        <w:tc>
          <w:tcPr>
            <w:tcW w:w="1998" w:type="dxa"/>
            <w:vAlign w:val="center"/>
          </w:tcPr>
          <w:p w14:paraId="2739E43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35万</w:t>
            </w:r>
            <w:r>
              <w:rPr>
                <w:rFonts w:hint="eastAsia" w:ascii="仿宋" w:hAnsi="仿宋" w:eastAsia="仿宋" w:cs="仿宋"/>
                <w:color w:val="000000" w:themeColor="text1"/>
                <w:sz w:val="22"/>
                <w:szCs w:val="22"/>
                <w:highlight w:val="none"/>
                <w:lang w:val="zh-CN"/>
                <w14:textFill>
                  <w14:solidFill>
                    <w14:schemeClr w14:val="tx1"/>
                  </w14:solidFill>
                </w14:textFill>
              </w:rPr>
              <w:t>元</w:t>
            </w:r>
          </w:p>
        </w:tc>
        <w:tc>
          <w:tcPr>
            <w:tcW w:w="1384" w:type="dxa"/>
            <w:vAlign w:val="center"/>
          </w:tcPr>
          <w:p w14:paraId="2A1ADE2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1家</w:t>
            </w:r>
          </w:p>
        </w:tc>
        <w:tc>
          <w:tcPr>
            <w:tcW w:w="1133" w:type="dxa"/>
            <w:vMerge w:val="continue"/>
            <w:vAlign w:val="center"/>
          </w:tcPr>
          <w:p w14:paraId="5AA7D7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r>
      <w:tr w14:paraId="524B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5" w:type="dxa"/>
            <w:vAlign w:val="center"/>
          </w:tcPr>
          <w:p w14:paraId="6CED89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包组3</w:t>
            </w:r>
          </w:p>
        </w:tc>
        <w:tc>
          <w:tcPr>
            <w:tcW w:w="1883" w:type="dxa"/>
            <w:vAlign w:val="center"/>
          </w:tcPr>
          <w:p w14:paraId="76A575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花都院区公务车辆定点加油服务</w:t>
            </w:r>
          </w:p>
        </w:tc>
        <w:tc>
          <w:tcPr>
            <w:tcW w:w="1180" w:type="dxa"/>
            <w:vAlign w:val="center"/>
          </w:tcPr>
          <w:p w14:paraId="6A03D9D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2年</w:t>
            </w:r>
          </w:p>
        </w:tc>
        <w:tc>
          <w:tcPr>
            <w:tcW w:w="1150" w:type="dxa"/>
            <w:vAlign w:val="center"/>
          </w:tcPr>
          <w:p w14:paraId="308563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lang w:val="en-US" w:eastAsia="zh-CN"/>
              </w:rPr>
              <w:t>至少包含</w:t>
            </w:r>
            <w:r>
              <w:rPr>
                <w:rFonts w:hint="eastAsia" w:ascii="仿宋" w:hAnsi="仿宋" w:eastAsia="仿宋" w:cs="仿宋"/>
              </w:rPr>
              <w:t>0#柴油国Ⅵ</w:t>
            </w:r>
            <w:r>
              <w:rPr>
                <w:rFonts w:hint="eastAsia" w:ascii="仿宋" w:hAnsi="仿宋" w:eastAsia="仿宋" w:cs="仿宋"/>
                <w:lang w:eastAsia="zh-CN"/>
              </w:rPr>
              <w:t>、</w:t>
            </w:r>
            <w:r>
              <w:rPr>
                <w:rFonts w:hint="eastAsia" w:ascii="仿宋" w:hAnsi="仿宋" w:eastAsia="仿宋" w:cs="仿宋"/>
              </w:rPr>
              <w:t>95#汽油</w:t>
            </w:r>
          </w:p>
        </w:tc>
        <w:tc>
          <w:tcPr>
            <w:tcW w:w="1998" w:type="dxa"/>
            <w:vAlign w:val="center"/>
          </w:tcPr>
          <w:p w14:paraId="4932693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26.8万</w:t>
            </w:r>
            <w:r>
              <w:rPr>
                <w:rFonts w:hint="eastAsia" w:ascii="仿宋" w:hAnsi="仿宋" w:eastAsia="仿宋" w:cs="仿宋"/>
                <w:color w:val="000000" w:themeColor="text1"/>
                <w:sz w:val="22"/>
                <w:szCs w:val="22"/>
                <w:highlight w:val="none"/>
                <w:lang w:val="zh-CN"/>
                <w14:textFill>
                  <w14:solidFill>
                    <w14:schemeClr w14:val="tx1"/>
                  </w14:solidFill>
                </w14:textFill>
              </w:rPr>
              <w:t>元</w:t>
            </w:r>
          </w:p>
        </w:tc>
        <w:tc>
          <w:tcPr>
            <w:tcW w:w="1384" w:type="dxa"/>
            <w:vAlign w:val="center"/>
          </w:tcPr>
          <w:p w14:paraId="0CF873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1家</w:t>
            </w:r>
          </w:p>
        </w:tc>
        <w:tc>
          <w:tcPr>
            <w:tcW w:w="1133" w:type="dxa"/>
            <w:vMerge w:val="continue"/>
            <w:vAlign w:val="center"/>
          </w:tcPr>
          <w:p w14:paraId="2211E4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r>
    </w:tbl>
    <w:p w14:paraId="288C421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r>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t>1.详细技术规范请参阅谈判文件中的“用户需求书”。</w:t>
      </w:r>
    </w:p>
    <w:p w14:paraId="27E3AA2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r>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t>2.服务时间：按采购人要求。</w:t>
      </w:r>
    </w:p>
    <w:p w14:paraId="580066AA">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r>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t>3.采用院内谈判方式采购3家广州市内定点加油站，分别为中山大学孙逸仙纪念医院北院区、南院区、花都院区的公务车辆提供加油服务。</w:t>
      </w:r>
    </w:p>
    <w:p w14:paraId="1B5CE14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r>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t>（1）北院区地址：广州市越秀区沿江西路107号；</w:t>
      </w:r>
    </w:p>
    <w:p w14:paraId="0327BAE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r>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t>（2）南院区地址：广州市海珠区盈丰路33号；</w:t>
      </w:r>
    </w:p>
    <w:p w14:paraId="634F7BEB">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pPr>
      <w:r>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t>（3）花都院区地址：广州市花都区镜湖大道11号。</w:t>
      </w:r>
    </w:p>
    <w:p w14:paraId="77EB30F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2"/>
          <w:rFonts w:hint="eastAsia" w:ascii="仿宋" w:hAnsi="仿宋" w:eastAsia="仿宋" w:cs="仿宋"/>
          <w:b/>
          <w:bCs/>
          <w:i w:val="0"/>
          <w:iCs w:val="0"/>
          <w:caps w:val="0"/>
          <w:color w:val="auto"/>
          <w:spacing w:val="0"/>
          <w:sz w:val="24"/>
          <w:szCs w:val="24"/>
          <w:highlight w:val="none"/>
          <w:u w:val="none"/>
          <w:vertAlign w:val="baseline"/>
          <w:lang w:val="en-US" w:eastAsia="zh-CN"/>
        </w:rPr>
        <w:t>四</w:t>
      </w:r>
      <w:r>
        <w:rPr>
          <w:rStyle w:val="22"/>
          <w:rFonts w:hint="eastAsia" w:ascii="仿宋" w:hAnsi="仿宋" w:eastAsia="仿宋" w:cs="仿宋"/>
          <w:b/>
          <w:bCs/>
          <w:i w:val="0"/>
          <w:iCs w:val="0"/>
          <w:caps w:val="0"/>
          <w:color w:val="auto"/>
          <w:spacing w:val="0"/>
          <w:sz w:val="24"/>
          <w:szCs w:val="24"/>
          <w:highlight w:val="none"/>
          <w:u w:val="none"/>
          <w:vertAlign w:val="baseline"/>
        </w:rPr>
        <w:t>、提供资料相关事项</w:t>
      </w:r>
    </w:p>
    <w:p w14:paraId="37E5C0EC">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auto"/>
          <w:spacing w:val="0"/>
          <w:sz w:val="24"/>
          <w:szCs w:val="24"/>
          <w:highlight w:val="none"/>
          <w:u w:val="none"/>
          <w:vertAlign w:val="baseline"/>
        </w:rPr>
      </w:pPr>
      <w:r>
        <w:rPr>
          <w:rStyle w:val="22"/>
          <w:rFonts w:hint="eastAsia" w:ascii="仿宋" w:hAnsi="仿宋" w:eastAsia="仿宋" w:cs="仿宋"/>
          <w:b w:val="0"/>
          <w:bCs w:val="0"/>
          <w:i w:val="0"/>
          <w:iCs w:val="0"/>
          <w:caps w:val="0"/>
          <w:color w:val="auto"/>
          <w:spacing w:val="0"/>
          <w:sz w:val="24"/>
          <w:szCs w:val="24"/>
          <w:highlight w:val="none"/>
          <w:u w:val="none"/>
          <w:vertAlign w:val="baseline"/>
          <w:lang w:val="en-US" w:eastAsia="zh-CN"/>
        </w:rPr>
        <w:t>1</w:t>
      </w:r>
      <w:r>
        <w:rPr>
          <w:rStyle w:val="22"/>
          <w:rFonts w:hint="eastAsia" w:ascii="仿宋" w:hAnsi="仿宋" w:eastAsia="仿宋" w:cs="仿宋"/>
          <w:b w:val="0"/>
          <w:bCs w:val="0"/>
          <w:i w:val="0"/>
          <w:iCs w:val="0"/>
          <w:caps w:val="0"/>
          <w:color w:val="auto"/>
          <w:spacing w:val="0"/>
          <w:sz w:val="24"/>
          <w:szCs w:val="24"/>
          <w:highlight w:val="none"/>
          <w:u w:val="none"/>
          <w:vertAlign w:val="baseline"/>
        </w:rPr>
        <w:t>.报名方式：</w:t>
      </w:r>
      <w:r>
        <w:rPr>
          <w:rFonts w:hint="eastAsia" w:ascii="仿宋" w:hAnsi="仿宋" w:eastAsia="仿宋" w:cs="仿宋"/>
          <w:b w:val="0"/>
          <w:bCs w:val="0"/>
          <w:i w:val="0"/>
          <w:iCs w:val="0"/>
          <w:caps w:val="0"/>
          <w:color w:val="auto"/>
          <w:spacing w:val="0"/>
          <w:sz w:val="24"/>
          <w:szCs w:val="24"/>
          <w:highlight w:val="none"/>
          <w:u w:val="none"/>
          <w:vertAlign w:val="baseline"/>
        </w:rPr>
        <w:t>电子邮件报名。</w:t>
      </w:r>
    </w:p>
    <w:p w14:paraId="22E47D74">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邮件主题：</w:t>
      </w:r>
      <w:r>
        <w:rPr>
          <w:rFonts w:hint="eastAsia" w:ascii="仿宋" w:hAnsi="仿宋" w:eastAsia="仿宋" w:cs="仿宋"/>
          <w:i w:val="0"/>
          <w:iCs w:val="0"/>
          <w:caps w:val="0"/>
          <w:color w:val="000000"/>
          <w:spacing w:val="0"/>
          <w:sz w:val="24"/>
          <w:szCs w:val="24"/>
          <w:u w:val="none"/>
          <w:vertAlign w:val="baseline"/>
          <w:lang w:val="en-US" w:eastAsia="zh-CN"/>
        </w:rPr>
        <w:t>包号+</w:t>
      </w:r>
      <w:r>
        <w:rPr>
          <w:rFonts w:hint="eastAsia" w:ascii="仿宋" w:hAnsi="仿宋" w:eastAsia="仿宋" w:cs="仿宋"/>
          <w:i w:val="0"/>
          <w:iCs w:val="0"/>
          <w:caps w:val="0"/>
          <w:color w:val="000000"/>
          <w:spacing w:val="0"/>
          <w:sz w:val="24"/>
          <w:szCs w:val="24"/>
          <w:u w:val="none"/>
          <w:vertAlign w:val="baseline"/>
        </w:rPr>
        <w:t>车辆定点加油-某某公司</w:t>
      </w:r>
    </w:p>
    <w:p w14:paraId="6723920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3</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邮件正文：公司名称全称、项目联系人、联系电话（手机号码）</w:t>
      </w:r>
    </w:p>
    <w:p w14:paraId="59D3259F">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vertAlign w:val="baseline"/>
        </w:rPr>
      </w:pPr>
      <w:r>
        <w:rPr>
          <w:rFonts w:hint="eastAsia" w:ascii="仿宋" w:hAnsi="仿宋" w:eastAsia="仿宋" w:cs="仿宋"/>
          <w:i w:val="0"/>
          <w:iCs w:val="0"/>
          <w:caps w:val="0"/>
          <w:color w:val="auto"/>
          <w:spacing w:val="0"/>
          <w:sz w:val="24"/>
          <w:szCs w:val="24"/>
          <w:highlight w:val="none"/>
          <w:u w:val="none"/>
          <w:vertAlign w:val="baseline"/>
          <w:lang w:val="en-US" w:eastAsia="zh-CN"/>
        </w:rPr>
        <w:t>4</w:t>
      </w:r>
      <w:r>
        <w:rPr>
          <w:rFonts w:hint="eastAsia" w:ascii="仿宋" w:hAnsi="仿宋" w:eastAsia="仿宋" w:cs="仿宋"/>
          <w:i w:val="0"/>
          <w:iCs w:val="0"/>
          <w:caps w:val="0"/>
          <w:color w:val="auto"/>
          <w:spacing w:val="0"/>
          <w:sz w:val="24"/>
          <w:szCs w:val="24"/>
          <w:highlight w:val="none"/>
          <w:u w:val="none"/>
          <w:vertAlign w:val="baseline"/>
          <w:lang w:eastAsia="zh-CN"/>
        </w:rPr>
        <w:t>.</w:t>
      </w:r>
      <w:r>
        <w:rPr>
          <w:rFonts w:hint="eastAsia" w:ascii="仿宋" w:hAnsi="仿宋" w:eastAsia="仿宋" w:cs="仿宋"/>
          <w:i w:val="0"/>
          <w:iCs w:val="0"/>
          <w:caps w:val="0"/>
          <w:color w:val="auto"/>
          <w:spacing w:val="0"/>
          <w:sz w:val="24"/>
          <w:szCs w:val="24"/>
          <w:highlight w:val="none"/>
          <w:u w:val="none"/>
          <w:vertAlign w:val="baseline"/>
        </w:rPr>
        <w:t>报名截止时间：202</w:t>
      </w:r>
      <w:r>
        <w:rPr>
          <w:rFonts w:hint="eastAsia" w:ascii="仿宋" w:hAnsi="仿宋" w:eastAsia="仿宋" w:cs="仿宋"/>
          <w:i w:val="0"/>
          <w:iCs w:val="0"/>
          <w:caps w:val="0"/>
          <w:color w:val="auto"/>
          <w:spacing w:val="0"/>
          <w:sz w:val="24"/>
          <w:szCs w:val="24"/>
          <w:highlight w:val="none"/>
          <w:u w:val="none"/>
          <w:vertAlign w:val="baseline"/>
          <w:lang w:val="en-US" w:eastAsia="zh-CN"/>
        </w:rPr>
        <w:t>5</w:t>
      </w:r>
      <w:r>
        <w:rPr>
          <w:rFonts w:hint="eastAsia" w:ascii="仿宋" w:hAnsi="仿宋" w:eastAsia="仿宋" w:cs="仿宋"/>
          <w:i w:val="0"/>
          <w:iCs w:val="0"/>
          <w:caps w:val="0"/>
          <w:color w:val="auto"/>
          <w:spacing w:val="0"/>
          <w:sz w:val="24"/>
          <w:szCs w:val="24"/>
          <w:highlight w:val="none"/>
          <w:u w:val="none"/>
          <w:vertAlign w:val="baseline"/>
        </w:rPr>
        <w:t>年</w:t>
      </w:r>
      <w:r>
        <w:rPr>
          <w:rFonts w:hint="eastAsia" w:ascii="仿宋" w:hAnsi="仿宋" w:eastAsia="仿宋" w:cs="仿宋"/>
          <w:i w:val="0"/>
          <w:iCs w:val="0"/>
          <w:caps w:val="0"/>
          <w:color w:val="auto"/>
          <w:spacing w:val="0"/>
          <w:sz w:val="24"/>
          <w:szCs w:val="24"/>
          <w:highlight w:val="none"/>
          <w:u w:val="none"/>
          <w:vertAlign w:val="baseline"/>
          <w:lang w:val="en-US" w:eastAsia="zh-CN"/>
        </w:rPr>
        <w:t>7</w:t>
      </w:r>
      <w:r>
        <w:rPr>
          <w:rFonts w:hint="eastAsia" w:ascii="仿宋" w:hAnsi="仿宋" w:eastAsia="仿宋" w:cs="仿宋"/>
          <w:i w:val="0"/>
          <w:iCs w:val="0"/>
          <w:caps w:val="0"/>
          <w:color w:val="auto"/>
          <w:spacing w:val="0"/>
          <w:sz w:val="24"/>
          <w:szCs w:val="24"/>
          <w:highlight w:val="none"/>
          <w:u w:val="none"/>
          <w:vertAlign w:val="baseline"/>
        </w:rPr>
        <w:t>月</w:t>
      </w:r>
      <w:r>
        <w:rPr>
          <w:rFonts w:hint="eastAsia" w:ascii="仿宋" w:hAnsi="仿宋" w:eastAsia="仿宋" w:cs="仿宋"/>
          <w:i w:val="0"/>
          <w:iCs w:val="0"/>
          <w:caps w:val="0"/>
          <w:color w:val="auto"/>
          <w:spacing w:val="0"/>
          <w:sz w:val="24"/>
          <w:szCs w:val="24"/>
          <w:highlight w:val="none"/>
          <w:u w:val="none"/>
          <w:vertAlign w:val="baseline"/>
          <w:lang w:val="en-US" w:eastAsia="zh-CN"/>
        </w:rPr>
        <w:t>23</w:t>
      </w:r>
      <w:r>
        <w:rPr>
          <w:rFonts w:hint="eastAsia" w:ascii="仿宋" w:hAnsi="仿宋" w:eastAsia="仿宋" w:cs="仿宋"/>
          <w:i w:val="0"/>
          <w:iCs w:val="0"/>
          <w:caps w:val="0"/>
          <w:color w:val="auto"/>
          <w:spacing w:val="0"/>
          <w:sz w:val="24"/>
          <w:szCs w:val="24"/>
          <w:highlight w:val="none"/>
          <w:u w:val="none"/>
          <w:vertAlign w:val="baseline"/>
        </w:rPr>
        <w:t>日下午17:00，以邮件接收时间为准，超时视为无效报名。</w:t>
      </w:r>
    </w:p>
    <w:p w14:paraId="233BF838">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auto"/>
          <w:spacing w:val="0"/>
          <w:sz w:val="24"/>
          <w:szCs w:val="24"/>
          <w:highlight w:val="none"/>
          <w:u w:val="none"/>
        </w:rPr>
      </w:pPr>
      <w:r>
        <w:rPr>
          <w:rStyle w:val="22"/>
          <w:rFonts w:hint="eastAsia" w:ascii="仿宋" w:hAnsi="仿宋" w:eastAsia="仿宋" w:cs="仿宋"/>
          <w:i w:val="0"/>
          <w:iCs w:val="0"/>
          <w:caps w:val="0"/>
          <w:color w:val="auto"/>
          <w:spacing w:val="0"/>
          <w:sz w:val="24"/>
          <w:szCs w:val="24"/>
          <w:highlight w:val="none"/>
          <w:u w:val="none"/>
          <w:vertAlign w:val="baseline"/>
          <w:lang w:val="en-US" w:eastAsia="zh-CN"/>
        </w:rPr>
        <w:t>5</w:t>
      </w:r>
      <w:r>
        <w:rPr>
          <w:rStyle w:val="22"/>
          <w:rFonts w:hint="eastAsia" w:ascii="仿宋" w:hAnsi="仿宋" w:eastAsia="仿宋" w:cs="仿宋"/>
          <w:i w:val="0"/>
          <w:iCs w:val="0"/>
          <w:caps w:val="0"/>
          <w:color w:val="auto"/>
          <w:spacing w:val="0"/>
          <w:sz w:val="24"/>
          <w:szCs w:val="24"/>
          <w:highlight w:val="none"/>
          <w:u w:val="none"/>
          <w:vertAlign w:val="baseline"/>
        </w:rPr>
        <w:t>.报名所需提供资料及要求</w:t>
      </w:r>
      <w:r>
        <w:rPr>
          <w:rFonts w:hint="eastAsia" w:ascii="仿宋" w:hAnsi="仿宋" w:eastAsia="仿宋" w:cs="仿宋"/>
          <w:i w:val="0"/>
          <w:iCs w:val="0"/>
          <w:caps w:val="0"/>
          <w:color w:val="auto"/>
          <w:spacing w:val="0"/>
          <w:sz w:val="24"/>
          <w:szCs w:val="24"/>
          <w:highlight w:val="none"/>
          <w:u w:val="none"/>
          <w:vertAlign w:val="baseline"/>
        </w:rPr>
        <w:t>：详见附件</w:t>
      </w:r>
      <w:r>
        <w:rPr>
          <w:rFonts w:hint="eastAsia" w:ascii="仿宋" w:hAnsi="仿宋" w:eastAsia="仿宋" w:cs="仿宋"/>
          <w:i w:val="0"/>
          <w:iCs w:val="0"/>
          <w:caps w:val="0"/>
          <w:color w:val="auto"/>
          <w:spacing w:val="0"/>
          <w:sz w:val="24"/>
          <w:szCs w:val="24"/>
          <w:highlight w:val="none"/>
          <w:u w:val="none"/>
          <w:vertAlign w:val="baseline"/>
          <w:lang w:val="en-US" w:eastAsia="zh-CN"/>
        </w:rPr>
        <w:t>2</w:t>
      </w:r>
      <w:r>
        <w:rPr>
          <w:rFonts w:hint="eastAsia" w:ascii="仿宋" w:hAnsi="仿宋" w:eastAsia="仿宋" w:cs="仿宋"/>
          <w:i w:val="0"/>
          <w:iCs w:val="0"/>
          <w:caps w:val="0"/>
          <w:color w:val="auto"/>
          <w:spacing w:val="0"/>
          <w:sz w:val="24"/>
          <w:szCs w:val="24"/>
          <w:highlight w:val="none"/>
          <w:u w:val="none"/>
          <w:vertAlign w:val="baseline"/>
        </w:rPr>
        <w:t>报名资料。</w:t>
      </w:r>
    </w:p>
    <w:p w14:paraId="634BD18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auto"/>
          <w:spacing w:val="0"/>
          <w:sz w:val="24"/>
          <w:szCs w:val="24"/>
          <w:highlight w:val="none"/>
          <w:u w:val="none"/>
        </w:rPr>
      </w:pPr>
      <w:r>
        <w:rPr>
          <w:rStyle w:val="22"/>
          <w:rFonts w:hint="eastAsia" w:ascii="仿宋" w:hAnsi="仿宋" w:eastAsia="仿宋" w:cs="仿宋"/>
          <w:b/>
          <w:bCs/>
          <w:i w:val="0"/>
          <w:iCs w:val="0"/>
          <w:caps w:val="0"/>
          <w:color w:val="auto"/>
          <w:spacing w:val="0"/>
          <w:sz w:val="24"/>
          <w:szCs w:val="24"/>
          <w:highlight w:val="none"/>
          <w:u w:val="none"/>
          <w:vertAlign w:val="baseline"/>
        </w:rPr>
        <w:t>*温馨告知：</w:t>
      </w:r>
      <w:r>
        <w:rPr>
          <w:rFonts w:hint="eastAsia" w:ascii="仿宋" w:hAnsi="仿宋" w:eastAsia="仿宋" w:cs="仿宋"/>
          <w:i w:val="0"/>
          <w:iCs w:val="0"/>
          <w:caps w:val="0"/>
          <w:color w:val="auto"/>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auto"/>
          <w:spacing w:val="0"/>
          <w:sz w:val="24"/>
          <w:szCs w:val="24"/>
          <w:highlight w:val="none"/>
          <w:u w:val="none"/>
          <w:vertAlign w:val="baseline"/>
          <w:lang w:val="en-US" w:eastAsia="zh-CN"/>
        </w:rPr>
        <w:t>谈判</w:t>
      </w:r>
      <w:r>
        <w:rPr>
          <w:rFonts w:hint="eastAsia" w:ascii="仿宋" w:hAnsi="仿宋" w:eastAsia="仿宋" w:cs="仿宋"/>
          <w:i w:val="0"/>
          <w:iCs w:val="0"/>
          <w:caps w:val="0"/>
          <w:color w:val="auto"/>
          <w:spacing w:val="0"/>
          <w:sz w:val="24"/>
          <w:szCs w:val="24"/>
          <w:highlight w:val="none"/>
          <w:u w:val="none"/>
          <w:vertAlign w:val="baseline"/>
          <w:lang w:eastAsia="zh-CN"/>
        </w:rPr>
        <w:t>环节</w:t>
      </w:r>
      <w:r>
        <w:rPr>
          <w:rFonts w:hint="eastAsia" w:ascii="仿宋" w:hAnsi="仿宋" w:eastAsia="仿宋" w:cs="仿宋"/>
          <w:i w:val="0"/>
          <w:iCs w:val="0"/>
          <w:caps w:val="0"/>
          <w:color w:val="auto"/>
          <w:spacing w:val="0"/>
          <w:sz w:val="24"/>
          <w:szCs w:val="24"/>
          <w:highlight w:val="none"/>
          <w:u w:val="none"/>
          <w:vertAlign w:val="baseline"/>
        </w:rPr>
        <w:t>等严重后果由供应商自行负责。</w:t>
      </w:r>
    </w:p>
    <w:p w14:paraId="1D812519">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供应商资质要求（提供声明函，模板详见附件2报名资料）</w:t>
      </w:r>
    </w:p>
    <w:p w14:paraId="39F1DC79">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应具备</w:t>
      </w:r>
      <w:r>
        <w:rPr>
          <w:rFonts w:hint="eastAsia" w:ascii="仿宋" w:hAnsi="仿宋" w:eastAsia="仿宋" w:cs="仿宋"/>
          <w:color w:val="auto"/>
          <w:sz w:val="24"/>
          <w:szCs w:val="24"/>
          <w:highlight w:val="none"/>
          <w:lang w:val="en-US" w:eastAsia="zh-CN"/>
        </w:rPr>
        <w:t>以下</w:t>
      </w:r>
      <w:r>
        <w:rPr>
          <w:rFonts w:hint="eastAsia" w:ascii="仿宋" w:hAnsi="仿宋" w:eastAsia="仿宋" w:cs="仿宋"/>
          <w:color w:val="auto"/>
          <w:sz w:val="24"/>
          <w:szCs w:val="24"/>
          <w:highlight w:val="none"/>
        </w:rPr>
        <w:t>条件：</w:t>
      </w:r>
    </w:p>
    <w:p w14:paraId="2B3D066C">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（1）具有良好的商业信誉和健全的财务会计制度；</w:t>
      </w:r>
    </w:p>
    <w:p w14:paraId="6AA72531">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（2）有依法缴纳税收和社会保障资金的良好记录；</w:t>
      </w:r>
    </w:p>
    <w:p w14:paraId="0C7FBADB">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（3）具备履行合同所必需的设备和专业技术能力；</w:t>
      </w:r>
    </w:p>
    <w:p w14:paraId="6BBAF248">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（4）参加本次采购活动前三年内，在经营活动中没有重大违法记录。</w:t>
      </w:r>
    </w:p>
    <w:p w14:paraId="6E5169C6">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5987E14D">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auto"/>
          <w:sz w:val="24"/>
          <w:szCs w:val="24"/>
          <w:highlight w:val="none"/>
          <w:lang w:val="en-US" w:eastAsia="zh-CN"/>
        </w:rPr>
        <w:t>。</w:t>
      </w:r>
    </w:p>
    <w:p w14:paraId="4DE584FD">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4、为本采购项目提供过整体设计、规范编制或者项目管理、监理、检测等服务的供应商及其附属机构，不得再参加本采购项目的响应。</w:t>
      </w:r>
    </w:p>
    <w:p w14:paraId="40ABCFA0">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提供有效的营业执照（或事业法人登记证或身份证等相关证明）副本复印件</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如非“三证合一”证照，同时提供税务登记证副本复印件,加盖公章</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rPr>
        <w:t>如为分公司</w:t>
      </w:r>
      <w:r>
        <w:rPr>
          <w:rFonts w:hint="eastAsia" w:ascii="仿宋" w:hAnsi="仿宋" w:eastAsia="仿宋" w:cs="仿宋"/>
          <w:color w:val="auto"/>
          <w:sz w:val="24"/>
          <w:szCs w:val="24"/>
          <w:highlight w:val="none"/>
          <w:u w:val="none"/>
          <w:lang w:val="en-US" w:eastAsia="zh-CN"/>
        </w:rPr>
        <w:t>报名</w:t>
      </w:r>
      <w:r>
        <w:rPr>
          <w:rFonts w:hint="eastAsia" w:ascii="仿宋" w:hAnsi="仿宋" w:eastAsia="仿宋" w:cs="仿宋"/>
          <w:color w:val="auto"/>
          <w:sz w:val="24"/>
          <w:szCs w:val="24"/>
          <w:highlight w:val="none"/>
          <w:u w:val="none"/>
        </w:rPr>
        <w:t>，必须</w:t>
      </w:r>
      <w:r>
        <w:rPr>
          <w:rFonts w:hint="eastAsia" w:ascii="仿宋" w:hAnsi="仿宋" w:eastAsia="仿宋" w:cs="仿宋"/>
          <w:color w:val="auto"/>
          <w:sz w:val="24"/>
          <w:szCs w:val="24"/>
          <w:highlight w:val="none"/>
          <w:u w:val="none"/>
          <w:lang w:val="en-US" w:eastAsia="zh-CN"/>
        </w:rPr>
        <w:t>同时</w:t>
      </w:r>
      <w:r>
        <w:rPr>
          <w:rFonts w:hint="eastAsia" w:ascii="仿宋" w:hAnsi="仿宋" w:eastAsia="仿宋" w:cs="仿宋"/>
          <w:color w:val="auto"/>
          <w:sz w:val="24"/>
          <w:szCs w:val="24"/>
          <w:highlight w:val="none"/>
          <w:u w:val="none"/>
        </w:rPr>
        <w:t>提供总公司的营业执照副本复印件及总公司授权书</w:t>
      </w:r>
      <w:r>
        <w:rPr>
          <w:rFonts w:hint="eastAsia" w:ascii="仿宋" w:hAnsi="仿宋" w:eastAsia="仿宋" w:cs="仿宋"/>
          <w:color w:val="auto"/>
          <w:sz w:val="24"/>
          <w:szCs w:val="24"/>
          <w:highlight w:val="none"/>
          <w:u w:val="none"/>
          <w:lang w:eastAsia="zh-CN"/>
        </w:rPr>
        <w:t>。</w:t>
      </w:r>
    </w:p>
    <w:p w14:paraId="4AF73463">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6、供应商须具备有效的《成品油批发经营批准证书》或《成品油零售经营批准证书》、《危险化学品经营许可证》。</w:t>
      </w:r>
    </w:p>
    <w:p w14:paraId="7E6ED6C8">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7、供应商在参加本次采购活动前3年内没有发生严重违约行为以及发生重大质量安全事故。</w:t>
      </w:r>
    </w:p>
    <w:p w14:paraId="5F6B25CF">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8、本项目不接受联合体响应，成交供应商不得以任何方式转包或分包本项目。</w:t>
      </w:r>
    </w:p>
    <w:p w14:paraId="24EE84B3">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注：供应商若不能同时满足以上条件则视为响应参与无效。（如发现提供虚假材料者，取消其参加谈判资格，并列入采购人失信供应商名单。）</w:t>
      </w:r>
    </w:p>
    <w:p w14:paraId="48A115A5">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六、采购人联系方式</w:t>
      </w:r>
    </w:p>
    <w:p w14:paraId="735C681F">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联系人：梁老师</w:t>
      </w:r>
    </w:p>
    <w:p w14:paraId="032E13EF">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电话：020-81338019、81338035工作日8:30-12:00、15:00-17:00，其余时间请勿电联。</w:t>
      </w:r>
    </w:p>
    <w:p w14:paraId="349F207C">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电子邮箱：liangfj5@mail.sysu.edu.cn</w:t>
      </w:r>
    </w:p>
    <w:p w14:paraId="072128FC">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联系地址：广州市越秀区长堤大马路171号一方长堤健康产业中心907室 中山大学孙逸仙纪念医院招投标与采购管理办公室</w:t>
      </w:r>
    </w:p>
    <w:p w14:paraId="6E13FD17">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邮编：510120</w:t>
      </w:r>
    </w:p>
    <w:p w14:paraId="050AFA83">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七、公告期限</w:t>
      </w:r>
    </w:p>
    <w:p w14:paraId="17AF419A">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自本公告发布之日起5个工作日。</w:t>
      </w:r>
    </w:p>
    <w:p w14:paraId="2DDD029A">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八</w:t>
      </w:r>
      <w:r>
        <w:rPr>
          <w:rFonts w:hint="eastAsia" w:ascii="仿宋" w:hAnsi="仿宋" w:eastAsia="仿宋" w:cs="仿宋"/>
          <w:b/>
          <w:bCs/>
          <w:color w:val="000000" w:themeColor="text1"/>
          <w:sz w:val="24"/>
          <w:szCs w:val="24"/>
          <w:highlight w:val="none"/>
          <w:lang w:eastAsia="zh-CN"/>
          <w14:textFill>
            <w14:solidFill>
              <w14:schemeClr w14:val="tx1"/>
            </w14:solidFill>
          </w14:textFill>
        </w:rPr>
        <w:t>、响应文件提交的截止时间、地点：</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待定，以报名成功后的邮件通知为准</w:t>
      </w:r>
      <w:r>
        <w:rPr>
          <w:rFonts w:hint="eastAsia" w:ascii="仿宋" w:hAnsi="仿宋" w:eastAsia="仿宋" w:cs="仿宋"/>
          <w:b/>
          <w:bCs/>
          <w:color w:val="000000" w:themeColor="text1"/>
          <w:sz w:val="24"/>
          <w:szCs w:val="24"/>
          <w:highlight w:val="none"/>
          <w14:textFill>
            <w14:solidFill>
              <w14:schemeClr w14:val="tx1"/>
            </w14:solidFill>
          </w14:textFill>
        </w:rPr>
        <w:t>。</w:t>
      </w:r>
    </w:p>
    <w:p w14:paraId="3D814CC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u w:val="single"/>
          <w:lang w:val="en-US" w:eastAsia="zh-CN"/>
        </w:rPr>
        <w:t>响应文件仅受理纸质，纸质材料一式叁份（正本1份/副本2份），具体要求详见格式《院内谈判文件》的第五章响应文件编制要求</w:t>
      </w:r>
      <w:r>
        <w:rPr>
          <w:rFonts w:hint="eastAsia" w:ascii="仿宋" w:hAnsi="仿宋" w:eastAsia="仿宋" w:cs="仿宋"/>
          <w:sz w:val="24"/>
          <w:szCs w:val="24"/>
          <w:highlight w:val="none"/>
          <w:u w:val="single"/>
          <w:lang w:eastAsia="zh-CN"/>
        </w:rPr>
        <w:t>；</w:t>
      </w:r>
    </w:p>
    <w:p w14:paraId="6387C583">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none"/>
          <w:lang w:val="en-US" w:eastAsia="zh-CN"/>
        </w:rPr>
        <w:t>2、</w:t>
      </w:r>
      <w:r>
        <w:rPr>
          <w:rFonts w:hint="eastAsia" w:ascii="仿宋" w:hAnsi="仿宋" w:eastAsia="仿宋" w:cs="仿宋"/>
          <w:sz w:val="24"/>
          <w:szCs w:val="24"/>
          <w:highlight w:val="none"/>
          <w:u w:val="single"/>
          <w:lang w:val="en-US" w:eastAsia="zh-CN"/>
        </w:rPr>
        <w:t>纸质响应文件原则上应由响应人或其授权代表亲自送达。</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754262BA">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九、谈判会议时间、地点：待定。</w:t>
      </w:r>
    </w:p>
    <w:p w14:paraId="692DC1E0">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1、本项目设有现场谈判报价环节。</w:t>
      </w:r>
    </w:p>
    <w:p w14:paraId="2FCD1B72">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2、请报名成功的供应商安排1-2名人员准时出席谈判会议。</w:t>
      </w:r>
    </w:p>
    <w:p w14:paraId="6C38F8E0">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rPr>
      </w:pPr>
    </w:p>
    <w:p w14:paraId="3E3AE264">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rPr>
      </w:pPr>
    </w:p>
    <w:p w14:paraId="43FC838B">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中山大学</w:t>
      </w:r>
      <w:r>
        <w:rPr>
          <w:rFonts w:hint="eastAsia" w:ascii="仿宋" w:hAnsi="仿宋" w:eastAsia="仿宋" w:cs="仿宋"/>
          <w:color w:val="auto"/>
          <w:sz w:val="24"/>
          <w:szCs w:val="24"/>
          <w:highlight w:val="none"/>
          <w:lang w:eastAsia="zh-CN"/>
        </w:rPr>
        <w:t>孙逸仙纪念医院</w:t>
      </w:r>
    </w:p>
    <w:p w14:paraId="18BC7785">
      <w:pPr>
        <w:pStyle w:val="26"/>
        <w:keepNext w:val="0"/>
        <w:keepLines w:val="0"/>
        <w:pageBreakBefore w:val="0"/>
        <w:kinsoku/>
        <w:wordWrap/>
        <w:overflowPunct/>
        <w:topLinePunct w:val="0"/>
        <w:bidi w:val="0"/>
        <w:adjustRightInd w:val="0"/>
        <w:snapToGrid w:val="0"/>
        <w:spacing w:line="360" w:lineRule="exact"/>
        <w:ind w:leftChars="3400" w:firstLine="480" w:firstLineChars="200"/>
        <w:jc w:val="left"/>
        <w:textAlignment w:val="auto"/>
        <w:rPr>
          <w:rFonts w:hint="eastAsia" w:ascii="宋体" w:hAnsi="宋体" w:eastAsia="宋体" w:cs="宋体"/>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202</w:t>
      </w: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eastAsia="zh-CN"/>
        </w:rPr>
        <w:t>年</w:t>
      </w: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lang w:eastAsia="zh-CN"/>
        </w:rPr>
        <w:t>月</w:t>
      </w:r>
      <w:r>
        <w:rPr>
          <w:rFonts w:hint="eastAsia" w:ascii="仿宋" w:hAnsi="仿宋" w:eastAsia="仿宋" w:cs="仿宋"/>
          <w:b w:val="0"/>
          <w:bCs w:val="0"/>
          <w:color w:val="auto"/>
          <w:sz w:val="24"/>
          <w:szCs w:val="24"/>
          <w:highlight w:val="none"/>
          <w:lang w:val="en-US" w:eastAsia="zh-CN"/>
        </w:rPr>
        <w:t>17</w:t>
      </w:r>
      <w:r>
        <w:rPr>
          <w:rFonts w:hint="eastAsia" w:ascii="仿宋" w:hAnsi="仿宋" w:eastAsia="仿宋" w:cs="仿宋"/>
          <w:b w:val="0"/>
          <w:bCs w:val="0"/>
          <w:color w:val="auto"/>
          <w:sz w:val="24"/>
          <w:szCs w:val="24"/>
          <w:highlight w:val="none"/>
          <w:lang w:eastAsia="zh-CN"/>
        </w:rPr>
        <w:t>日</w:t>
      </w:r>
    </w:p>
    <w:p w14:paraId="3B75403C">
      <w:pPr>
        <w:pStyle w:val="26"/>
        <w:rPr>
          <w:color w:val="000000"/>
          <w:highlight w:val="none"/>
        </w:rPr>
      </w:pPr>
    </w:p>
    <w:p w14:paraId="523B7E81">
      <w:pPr>
        <w:pStyle w:val="26"/>
        <w:rPr>
          <w:color w:val="000000"/>
          <w:highlight w:val="none"/>
        </w:rPr>
      </w:pPr>
    </w:p>
    <w:p w14:paraId="7B08AE2A">
      <w:pPr>
        <w:pStyle w:val="26"/>
        <w:rPr>
          <w:color w:val="000000"/>
          <w:highlight w:val="none"/>
        </w:rPr>
      </w:pPr>
    </w:p>
    <w:p w14:paraId="763C632D">
      <w:pPr>
        <w:pStyle w:val="26"/>
        <w:rPr>
          <w:color w:val="000000"/>
          <w:highlight w:val="none"/>
        </w:rPr>
      </w:pPr>
    </w:p>
    <w:p w14:paraId="1C8374F1">
      <w:pPr>
        <w:pStyle w:val="26"/>
        <w:rPr>
          <w:color w:val="000000"/>
          <w:highlight w:val="none"/>
        </w:rPr>
      </w:pPr>
    </w:p>
    <w:p w14:paraId="73391BE5">
      <w:pPr>
        <w:pStyle w:val="26"/>
        <w:rPr>
          <w:color w:val="000000"/>
          <w:highlight w:val="none"/>
        </w:rPr>
      </w:pPr>
    </w:p>
    <w:p w14:paraId="74C9205F">
      <w:pPr>
        <w:pStyle w:val="26"/>
        <w:rPr>
          <w:color w:val="000000"/>
          <w:highlight w:val="none"/>
        </w:rPr>
      </w:pPr>
    </w:p>
    <w:p w14:paraId="2CFB9821">
      <w:pPr>
        <w:pStyle w:val="26"/>
        <w:rPr>
          <w:color w:val="000000"/>
          <w:highlight w:val="none"/>
        </w:rPr>
      </w:pPr>
    </w:p>
    <w:p w14:paraId="0E775D1F">
      <w:pPr>
        <w:pStyle w:val="26"/>
        <w:rPr>
          <w:color w:val="000000"/>
          <w:highlight w:val="none"/>
        </w:rPr>
      </w:pPr>
    </w:p>
    <w:p w14:paraId="5D95D69A">
      <w:pPr>
        <w:pStyle w:val="26"/>
        <w:rPr>
          <w:color w:val="000000"/>
          <w:highlight w:val="none"/>
        </w:rPr>
      </w:pPr>
    </w:p>
    <w:p w14:paraId="7B9A53FE">
      <w:pPr>
        <w:pStyle w:val="26"/>
        <w:rPr>
          <w:color w:val="000000"/>
          <w:highlight w:val="none"/>
        </w:rPr>
      </w:pPr>
    </w:p>
    <w:p w14:paraId="4DE491E1">
      <w:pPr>
        <w:pStyle w:val="26"/>
        <w:rPr>
          <w:color w:val="000000"/>
          <w:highlight w:val="none"/>
        </w:rPr>
      </w:pPr>
    </w:p>
    <w:p w14:paraId="2FFC76BA">
      <w:pPr>
        <w:pStyle w:val="26"/>
        <w:rPr>
          <w:color w:val="000000"/>
          <w:highlight w:val="none"/>
        </w:rPr>
      </w:pPr>
    </w:p>
    <w:p w14:paraId="73BF78BD">
      <w:pPr>
        <w:pStyle w:val="26"/>
        <w:rPr>
          <w:color w:val="000000"/>
          <w:highlight w:val="none"/>
        </w:rPr>
      </w:pPr>
    </w:p>
    <w:p w14:paraId="3A79C033">
      <w:pPr>
        <w:pStyle w:val="26"/>
        <w:rPr>
          <w:color w:val="000000"/>
          <w:highlight w:val="none"/>
        </w:rPr>
      </w:pPr>
    </w:p>
    <w:p w14:paraId="26086641">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8" w:name="_Toc50737320"/>
      <w:bookmarkStart w:id="9" w:name="_Toc76354916"/>
      <w:bookmarkStart w:id="10" w:name="_Toc50691021"/>
      <w:bookmarkStart w:id="11" w:name="_Toc50737288"/>
      <w:bookmarkStart w:id="12" w:name="_Toc50736468"/>
      <w:bookmarkStart w:id="13" w:name="_Toc385939528"/>
      <w:bookmarkStart w:id="14" w:name="_Toc385940869"/>
      <w:bookmarkStart w:id="15" w:name="_Toc417914518"/>
    </w:p>
    <w:p w14:paraId="5ECF1A33">
      <w:pPr>
        <w:rPr>
          <w:rFonts w:hint="eastAsia"/>
        </w:rPr>
      </w:pPr>
    </w:p>
    <w:p w14:paraId="70CA6FA1">
      <w:pPr>
        <w:rPr>
          <w:rFonts w:hint="eastAsia" w:ascii="微软雅黑" w:hAnsi="微软雅黑" w:eastAsia="微软雅黑" w:cs="微软雅黑"/>
          <w:color w:val="000000"/>
          <w:highlight w:val="none"/>
        </w:rPr>
      </w:pPr>
    </w:p>
    <w:p w14:paraId="68121AFE">
      <w:pPr>
        <w:pStyle w:val="2"/>
        <w:rPr>
          <w:rFonts w:hint="eastAsia"/>
        </w:rPr>
      </w:pPr>
    </w:p>
    <w:p w14:paraId="0581A833">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CA0A847">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1CA5D1E">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0D488285">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77DAAC9">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7BC51842">
      <w:pPr>
        <w:pStyle w:val="26"/>
        <w:rPr>
          <w:color w:val="000000"/>
          <w:highlight w:val="none"/>
        </w:rPr>
      </w:pPr>
    </w:p>
    <w:p w14:paraId="7B5409AB">
      <w:pPr>
        <w:pStyle w:val="26"/>
        <w:rPr>
          <w:color w:val="000000"/>
          <w:highlight w:val="none"/>
        </w:rPr>
      </w:pPr>
    </w:p>
    <w:p w14:paraId="579A73DC">
      <w:pPr>
        <w:pStyle w:val="26"/>
        <w:rPr>
          <w:color w:val="000000"/>
          <w:highlight w:val="none"/>
        </w:rPr>
      </w:pPr>
    </w:p>
    <w:p w14:paraId="0105CC83">
      <w:pPr>
        <w:pStyle w:val="26"/>
        <w:rPr>
          <w:color w:val="000000"/>
          <w:highlight w:val="none"/>
        </w:rPr>
      </w:pPr>
    </w:p>
    <w:p w14:paraId="0C7D97FD">
      <w:pPr>
        <w:pStyle w:val="26"/>
        <w:rPr>
          <w:color w:val="000000"/>
          <w:highlight w:val="none"/>
        </w:rPr>
      </w:pPr>
    </w:p>
    <w:p w14:paraId="41FB5545">
      <w:pPr>
        <w:pStyle w:val="26"/>
        <w:rPr>
          <w:color w:val="000000"/>
          <w:highlight w:val="none"/>
        </w:rPr>
      </w:pPr>
    </w:p>
    <w:p w14:paraId="5110413C">
      <w:pPr>
        <w:pStyle w:val="26"/>
        <w:rPr>
          <w:color w:val="000000"/>
          <w:highlight w:val="none"/>
        </w:rPr>
      </w:pPr>
    </w:p>
    <w:p w14:paraId="212397A4">
      <w:pPr>
        <w:pStyle w:val="26"/>
        <w:rPr>
          <w:color w:val="000000"/>
          <w:highlight w:val="none"/>
        </w:rPr>
      </w:pPr>
    </w:p>
    <w:p w14:paraId="39ADDE77">
      <w:pPr>
        <w:pStyle w:val="26"/>
        <w:rPr>
          <w:color w:val="000000"/>
          <w:highlight w:val="none"/>
        </w:rPr>
      </w:pPr>
    </w:p>
    <w:p w14:paraId="1E0BE797">
      <w:pPr>
        <w:pStyle w:val="26"/>
        <w:rPr>
          <w:color w:val="000000"/>
          <w:highlight w:val="none"/>
        </w:rPr>
      </w:pPr>
    </w:p>
    <w:p w14:paraId="7E8721E1">
      <w:pPr>
        <w:pStyle w:val="26"/>
        <w:rPr>
          <w:color w:val="000000"/>
          <w:highlight w:val="none"/>
        </w:rPr>
      </w:pPr>
    </w:p>
    <w:p w14:paraId="3F61F534">
      <w:pPr>
        <w:pStyle w:val="26"/>
        <w:rPr>
          <w:color w:val="000000"/>
          <w:highlight w:val="none"/>
        </w:rPr>
      </w:pPr>
    </w:p>
    <w:p w14:paraId="708FE55D">
      <w:pPr>
        <w:pStyle w:val="26"/>
        <w:rPr>
          <w:color w:val="000000"/>
          <w:highlight w:val="none"/>
        </w:rPr>
      </w:pPr>
    </w:p>
    <w:p w14:paraId="05468A54">
      <w:pPr>
        <w:pStyle w:val="26"/>
        <w:rPr>
          <w:color w:val="000000"/>
          <w:highlight w:val="none"/>
        </w:rPr>
      </w:pPr>
    </w:p>
    <w:p w14:paraId="253A6C82">
      <w:pPr>
        <w:pStyle w:val="26"/>
        <w:rPr>
          <w:color w:val="000000"/>
          <w:highlight w:val="none"/>
        </w:rPr>
      </w:pPr>
    </w:p>
    <w:p w14:paraId="7C6DA5A1">
      <w:pPr>
        <w:pStyle w:val="26"/>
        <w:rPr>
          <w:color w:val="000000"/>
          <w:highlight w:val="none"/>
        </w:rPr>
      </w:pPr>
    </w:p>
    <w:p w14:paraId="7FC74A6A">
      <w:pPr>
        <w:pStyle w:val="26"/>
        <w:rPr>
          <w:color w:val="000000"/>
          <w:highlight w:val="none"/>
        </w:rPr>
      </w:pPr>
    </w:p>
    <w:p w14:paraId="4130B247">
      <w:pPr>
        <w:pStyle w:val="26"/>
        <w:rPr>
          <w:color w:val="000000"/>
          <w:highlight w:val="none"/>
        </w:rPr>
      </w:pPr>
    </w:p>
    <w:p w14:paraId="091D03A4">
      <w:pPr>
        <w:pStyle w:val="26"/>
        <w:rPr>
          <w:color w:val="000000"/>
          <w:highlight w:val="none"/>
        </w:rPr>
      </w:pPr>
    </w:p>
    <w:p w14:paraId="5D7CDA4D">
      <w:pPr>
        <w:pStyle w:val="26"/>
        <w:rPr>
          <w:color w:val="000000"/>
          <w:highlight w:val="none"/>
        </w:rPr>
      </w:pPr>
    </w:p>
    <w:p w14:paraId="62D34784">
      <w:pPr>
        <w:pStyle w:val="26"/>
        <w:rPr>
          <w:color w:val="000000"/>
          <w:highlight w:val="none"/>
        </w:rPr>
      </w:pPr>
    </w:p>
    <w:p w14:paraId="253F0BCA">
      <w:pPr>
        <w:pStyle w:val="26"/>
        <w:rPr>
          <w:color w:val="000000"/>
          <w:highlight w:val="none"/>
        </w:rPr>
      </w:pPr>
    </w:p>
    <w:p w14:paraId="3B55D060">
      <w:pPr>
        <w:pStyle w:val="26"/>
        <w:rPr>
          <w:color w:val="000000"/>
          <w:highlight w:val="none"/>
        </w:rPr>
      </w:pPr>
    </w:p>
    <w:p w14:paraId="62ABDEA0">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2E9C363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4C7A567">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14:paraId="6AC07D1F">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4212C7D7">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779B2F11">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083605E5">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57366BB4">
      <w:pPr>
        <w:keepNext w:val="0"/>
        <w:keepLines w:val="0"/>
        <w:widowControl/>
        <w:suppressLineNumbers w:val="0"/>
        <w:jc w:val="left"/>
        <w:rPr>
          <w:b/>
          <w:bCs/>
          <w:color w:val="000000"/>
          <w:highlight w:val="none"/>
        </w:rPr>
      </w:pPr>
    </w:p>
    <w:p w14:paraId="50CAE63B">
      <w:pPr>
        <w:pStyle w:val="26"/>
        <w:rPr>
          <w:rFonts w:hint="eastAsia"/>
          <w:color w:val="000000"/>
          <w:highlight w:val="none"/>
        </w:rPr>
      </w:pPr>
    </w:p>
    <w:p w14:paraId="25A969A7">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bookmarkStart w:id="16" w:name="_Toc385939529"/>
      <w:bookmarkStart w:id="17" w:name="_Toc385940875"/>
      <w:bookmarkStart w:id="18" w:name="_Toc417914519"/>
      <w:r>
        <w:rPr>
          <w:rFonts w:hint="eastAsia" w:ascii="仿宋" w:hAnsi="仿宋" w:eastAsia="仿宋" w:cs="仿宋"/>
          <w:b/>
          <w:color w:val="000000"/>
          <w:kern w:val="2"/>
          <w:sz w:val="24"/>
          <w:szCs w:val="24"/>
          <w:lang w:val="en-US" w:eastAsia="zh-CN" w:bidi="ar-SA"/>
        </w:rPr>
        <w:t>一、</w:t>
      </w:r>
      <w:r>
        <w:rPr>
          <w:rFonts w:hint="eastAsia" w:ascii="仿宋" w:hAnsi="仿宋" w:eastAsia="仿宋" w:cs="仿宋"/>
          <w:b/>
          <w:color w:val="000000"/>
          <w:sz w:val="24"/>
          <w:szCs w:val="24"/>
          <w:highlight w:val="none"/>
          <w:lang w:val="en-US" w:eastAsia="zh-CN"/>
        </w:rPr>
        <w:t>采购项目内容</w:t>
      </w:r>
    </w:p>
    <w:tbl>
      <w:tblPr>
        <w:tblStyle w:val="19"/>
        <w:tblpPr w:leftFromText="180" w:rightFromText="180" w:vertAnchor="text" w:horzAnchor="page" w:tblpXSpec="center" w:tblpY="295"/>
        <w:tblOverlap w:val="never"/>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883"/>
        <w:gridCol w:w="1180"/>
        <w:gridCol w:w="1150"/>
        <w:gridCol w:w="1998"/>
        <w:gridCol w:w="1384"/>
        <w:gridCol w:w="1133"/>
      </w:tblGrid>
      <w:tr w14:paraId="481B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05" w:type="dxa"/>
            <w:vAlign w:val="center"/>
          </w:tcPr>
          <w:p w14:paraId="6B17227F">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包号</w:t>
            </w:r>
          </w:p>
        </w:tc>
        <w:tc>
          <w:tcPr>
            <w:tcW w:w="1883" w:type="dxa"/>
            <w:vAlign w:val="center"/>
          </w:tcPr>
          <w:p w14:paraId="129085FE">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zh-CN"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采购内容</w:t>
            </w:r>
          </w:p>
        </w:tc>
        <w:tc>
          <w:tcPr>
            <w:tcW w:w="1180" w:type="dxa"/>
          </w:tcPr>
          <w:p w14:paraId="395E409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服务年限</w:t>
            </w:r>
          </w:p>
        </w:tc>
        <w:tc>
          <w:tcPr>
            <w:tcW w:w="1150" w:type="dxa"/>
          </w:tcPr>
          <w:p w14:paraId="6BD1944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油品标号</w:t>
            </w:r>
          </w:p>
        </w:tc>
        <w:tc>
          <w:tcPr>
            <w:tcW w:w="1998" w:type="dxa"/>
            <w:vAlign w:val="top"/>
          </w:tcPr>
          <w:p w14:paraId="5526721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项目采购预算</w:t>
            </w:r>
          </w:p>
          <w:p w14:paraId="7BE07F3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（最高限价）</w:t>
            </w:r>
          </w:p>
        </w:tc>
        <w:tc>
          <w:tcPr>
            <w:tcW w:w="1384" w:type="dxa"/>
          </w:tcPr>
          <w:p w14:paraId="7252338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成交供应商数量</w:t>
            </w:r>
          </w:p>
        </w:tc>
        <w:tc>
          <w:tcPr>
            <w:tcW w:w="1133" w:type="dxa"/>
          </w:tcPr>
          <w:p w14:paraId="3DCAB08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bCs/>
                <w:color w:val="000000" w:themeColor="text1"/>
                <w:sz w:val="22"/>
                <w:szCs w:val="22"/>
                <w:highlight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备注</w:t>
            </w:r>
          </w:p>
        </w:tc>
      </w:tr>
      <w:tr w14:paraId="6D5F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05" w:type="dxa"/>
            <w:vAlign w:val="center"/>
          </w:tcPr>
          <w:p w14:paraId="1C891F6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包组1</w:t>
            </w:r>
          </w:p>
        </w:tc>
        <w:tc>
          <w:tcPr>
            <w:tcW w:w="1883" w:type="dxa"/>
            <w:vAlign w:val="center"/>
          </w:tcPr>
          <w:p w14:paraId="7128AC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zh-CN"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北院区</w:t>
            </w:r>
            <w:r>
              <w:rPr>
                <w:rFonts w:hint="eastAsia" w:ascii="仿宋" w:hAnsi="仿宋" w:eastAsia="仿宋" w:cs="仿宋"/>
                <w:b w:val="0"/>
                <w:bCs w:val="0"/>
                <w:color w:val="000000" w:themeColor="text1"/>
                <w:sz w:val="22"/>
                <w:szCs w:val="22"/>
                <w:highlight w:val="none"/>
                <w14:textFill>
                  <w14:solidFill>
                    <w14:schemeClr w14:val="tx1"/>
                  </w14:solidFill>
                </w14:textFill>
              </w:rPr>
              <w:t>公务车辆定点加油服务</w:t>
            </w:r>
          </w:p>
        </w:tc>
        <w:tc>
          <w:tcPr>
            <w:tcW w:w="1180" w:type="dxa"/>
            <w:vAlign w:val="center"/>
          </w:tcPr>
          <w:p w14:paraId="2BD38DC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2年</w:t>
            </w:r>
          </w:p>
        </w:tc>
        <w:tc>
          <w:tcPr>
            <w:tcW w:w="1150" w:type="dxa"/>
            <w:vAlign w:val="center"/>
          </w:tcPr>
          <w:p w14:paraId="63BA8B66">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lang w:val="en-US" w:eastAsia="zh-CN"/>
              </w:rPr>
              <w:t>至少包含</w:t>
            </w:r>
            <w:r>
              <w:rPr>
                <w:rFonts w:hint="eastAsia" w:ascii="仿宋" w:hAnsi="仿宋" w:eastAsia="仿宋" w:cs="仿宋"/>
              </w:rPr>
              <w:t>95#汽油</w:t>
            </w:r>
          </w:p>
        </w:tc>
        <w:tc>
          <w:tcPr>
            <w:tcW w:w="1998" w:type="dxa"/>
            <w:vAlign w:val="center"/>
          </w:tcPr>
          <w:p w14:paraId="774E64C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p>
          <w:p w14:paraId="77A816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35万</w:t>
            </w:r>
            <w:r>
              <w:rPr>
                <w:rFonts w:hint="eastAsia" w:ascii="仿宋" w:hAnsi="仿宋" w:eastAsia="仿宋" w:cs="仿宋"/>
                <w:color w:val="000000" w:themeColor="text1"/>
                <w:sz w:val="22"/>
                <w:szCs w:val="22"/>
                <w:highlight w:val="none"/>
                <w:lang w:val="zh-CN"/>
                <w14:textFill>
                  <w14:solidFill>
                    <w14:schemeClr w14:val="tx1"/>
                  </w14:solidFill>
                </w14:textFill>
              </w:rPr>
              <w:t>元</w:t>
            </w:r>
          </w:p>
          <w:p w14:paraId="27A6BC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c>
          <w:tcPr>
            <w:tcW w:w="1384" w:type="dxa"/>
            <w:vAlign w:val="center"/>
          </w:tcPr>
          <w:p w14:paraId="547B84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1家</w:t>
            </w:r>
          </w:p>
        </w:tc>
        <w:tc>
          <w:tcPr>
            <w:tcW w:w="1133" w:type="dxa"/>
            <w:vMerge w:val="restart"/>
            <w:vAlign w:val="center"/>
          </w:tcPr>
          <w:p w14:paraId="72E4BDC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供应商可兼投兼中。</w:t>
            </w:r>
          </w:p>
        </w:tc>
      </w:tr>
      <w:tr w14:paraId="4D88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vAlign w:val="center"/>
          </w:tcPr>
          <w:p w14:paraId="65442C63">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包组2</w:t>
            </w:r>
          </w:p>
        </w:tc>
        <w:tc>
          <w:tcPr>
            <w:tcW w:w="1883" w:type="dxa"/>
            <w:vAlign w:val="center"/>
          </w:tcPr>
          <w:p w14:paraId="49CF28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南院区公务车辆定点加油服务</w:t>
            </w:r>
          </w:p>
        </w:tc>
        <w:tc>
          <w:tcPr>
            <w:tcW w:w="1180" w:type="dxa"/>
            <w:vAlign w:val="center"/>
          </w:tcPr>
          <w:p w14:paraId="04893F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2年</w:t>
            </w:r>
          </w:p>
        </w:tc>
        <w:tc>
          <w:tcPr>
            <w:tcW w:w="1150" w:type="dxa"/>
            <w:vAlign w:val="center"/>
          </w:tcPr>
          <w:p w14:paraId="68DEDDE1">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lang w:val="en-US" w:eastAsia="zh-CN"/>
              </w:rPr>
              <w:t>至少包含</w:t>
            </w:r>
            <w:r>
              <w:rPr>
                <w:rFonts w:hint="eastAsia" w:ascii="仿宋" w:hAnsi="仿宋" w:eastAsia="仿宋" w:cs="仿宋"/>
              </w:rPr>
              <w:t>0#柴油国Ⅵ</w:t>
            </w:r>
            <w:r>
              <w:rPr>
                <w:rFonts w:hint="eastAsia" w:ascii="仿宋" w:hAnsi="仿宋" w:eastAsia="仿宋" w:cs="仿宋"/>
                <w:lang w:eastAsia="zh-CN"/>
              </w:rPr>
              <w:t>、</w:t>
            </w:r>
            <w:r>
              <w:rPr>
                <w:rFonts w:hint="eastAsia" w:ascii="仿宋" w:hAnsi="仿宋" w:eastAsia="仿宋" w:cs="仿宋"/>
              </w:rPr>
              <w:t>95#汽油</w:t>
            </w:r>
          </w:p>
        </w:tc>
        <w:tc>
          <w:tcPr>
            <w:tcW w:w="1998" w:type="dxa"/>
            <w:vAlign w:val="center"/>
          </w:tcPr>
          <w:p w14:paraId="089362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35万</w:t>
            </w:r>
            <w:r>
              <w:rPr>
                <w:rFonts w:hint="eastAsia" w:ascii="仿宋" w:hAnsi="仿宋" w:eastAsia="仿宋" w:cs="仿宋"/>
                <w:color w:val="000000" w:themeColor="text1"/>
                <w:sz w:val="22"/>
                <w:szCs w:val="22"/>
                <w:highlight w:val="none"/>
                <w:lang w:val="zh-CN"/>
                <w14:textFill>
                  <w14:solidFill>
                    <w14:schemeClr w14:val="tx1"/>
                  </w14:solidFill>
                </w14:textFill>
              </w:rPr>
              <w:t>元</w:t>
            </w:r>
          </w:p>
        </w:tc>
        <w:tc>
          <w:tcPr>
            <w:tcW w:w="1384" w:type="dxa"/>
            <w:vAlign w:val="center"/>
          </w:tcPr>
          <w:p w14:paraId="01607F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1家</w:t>
            </w:r>
          </w:p>
        </w:tc>
        <w:tc>
          <w:tcPr>
            <w:tcW w:w="1133" w:type="dxa"/>
            <w:vMerge w:val="continue"/>
            <w:vAlign w:val="center"/>
          </w:tcPr>
          <w:p w14:paraId="166E935F">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r>
      <w:tr w14:paraId="7F1B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5" w:type="dxa"/>
            <w:vAlign w:val="center"/>
          </w:tcPr>
          <w:p w14:paraId="21CEEF4C">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包组3</w:t>
            </w:r>
          </w:p>
        </w:tc>
        <w:tc>
          <w:tcPr>
            <w:tcW w:w="1883" w:type="dxa"/>
            <w:vAlign w:val="center"/>
          </w:tcPr>
          <w:p w14:paraId="6801ADAB">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花都院区公务车辆定点加油服务</w:t>
            </w:r>
          </w:p>
        </w:tc>
        <w:tc>
          <w:tcPr>
            <w:tcW w:w="1180" w:type="dxa"/>
            <w:vAlign w:val="center"/>
          </w:tcPr>
          <w:p w14:paraId="3110DAF4">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2年</w:t>
            </w:r>
          </w:p>
        </w:tc>
        <w:tc>
          <w:tcPr>
            <w:tcW w:w="1150" w:type="dxa"/>
            <w:vAlign w:val="center"/>
          </w:tcPr>
          <w:p w14:paraId="74061F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lang w:val="en-US" w:eastAsia="zh-CN"/>
              </w:rPr>
              <w:t>至少包含</w:t>
            </w:r>
            <w:r>
              <w:rPr>
                <w:rFonts w:hint="eastAsia" w:ascii="仿宋" w:hAnsi="仿宋" w:eastAsia="仿宋" w:cs="仿宋"/>
              </w:rPr>
              <w:t>0#柴油国Ⅵ</w:t>
            </w:r>
            <w:r>
              <w:rPr>
                <w:rFonts w:hint="eastAsia" w:ascii="仿宋" w:hAnsi="仿宋" w:eastAsia="仿宋" w:cs="仿宋"/>
                <w:lang w:eastAsia="zh-CN"/>
              </w:rPr>
              <w:t>、</w:t>
            </w:r>
            <w:r>
              <w:rPr>
                <w:rFonts w:hint="eastAsia" w:ascii="仿宋" w:hAnsi="仿宋" w:eastAsia="仿宋" w:cs="仿宋"/>
              </w:rPr>
              <w:t>95#汽油</w:t>
            </w:r>
          </w:p>
        </w:tc>
        <w:tc>
          <w:tcPr>
            <w:tcW w:w="1998" w:type="dxa"/>
            <w:vAlign w:val="center"/>
          </w:tcPr>
          <w:p w14:paraId="5AE17FA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color w:val="000000" w:themeColor="text1"/>
                <w:sz w:val="22"/>
                <w:szCs w:val="22"/>
                <w:highlight w:val="none"/>
                <w:lang w:val="zh-CN"/>
                <w14:textFill>
                  <w14:solidFill>
                    <w14:schemeClr w14:val="tx1"/>
                  </w14:solidFill>
                </w14:textFill>
              </w:rPr>
            </w:pPr>
            <w:r>
              <w:rPr>
                <w:rFonts w:hint="eastAsia" w:ascii="仿宋" w:hAnsi="仿宋" w:eastAsia="仿宋" w:cs="仿宋"/>
                <w:color w:val="000000" w:themeColor="text1"/>
                <w:sz w:val="22"/>
                <w:szCs w:val="22"/>
                <w:highlight w:val="none"/>
                <w:lang w:val="zh-CN"/>
                <w14:textFill>
                  <w14:solidFill>
                    <w14:schemeClr w14:val="tx1"/>
                  </w14:solidFill>
                </w14:textFill>
              </w:rPr>
              <w:t>人民币</w:t>
            </w:r>
            <w:r>
              <w:rPr>
                <w:rFonts w:hint="eastAsia" w:ascii="仿宋" w:hAnsi="仿宋" w:eastAsia="仿宋" w:cs="仿宋"/>
                <w:color w:val="000000" w:themeColor="text1"/>
                <w:sz w:val="22"/>
                <w:szCs w:val="22"/>
                <w:highlight w:val="none"/>
                <w:lang w:val="en-US" w:eastAsia="zh-CN"/>
                <w14:textFill>
                  <w14:solidFill>
                    <w14:schemeClr w14:val="tx1"/>
                  </w14:solidFill>
                </w14:textFill>
              </w:rPr>
              <w:t>26.8万</w:t>
            </w:r>
            <w:r>
              <w:rPr>
                <w:rFonts w:hint="eastAsia" w:ascii="仿宋" w:hAnsi="仿宋" w:eastAsia="仿宋" w:cs="仿宋"/>
                <w:color w:val="000000" w:themeColor="text1"/>
                <w:sz w:val="22"/>
                <w:szCs w:val="22"/>
                <w:highlight w:val="none"/>
                <w:lang w:val="zh-CN"/>
                <w14:textFill>
                  <w14:solidFill>
                    <w14:schemeClr w14:val="tx1"/>
                  </w14:solidFill>
                </w14:textFill>
              </w:rPr>
              <w:t>元</w:t>
            </w:r>
          </w:p>
        </w:tc>
        <w:tc>
          <w:tcPr>
            <w:tcW w:w="1384" w:type="dxa"/>
            <w:vAlign w:val="center"/>
          </w:tcPr>
          <w:p w14:paraId="69CEC472">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b w:val="0"/>
                <w:bCs w:val="0"/>
                <w:color w:val="000000" w:themeColor="text1"/>
                <w:sz w:val="22"/>
                <w:szCs w:val="22"/>
                <w:highlight w:val="none"/>
                <w:lang w:val="en-US" w:eastAsia="zh-CN"/>
                <w14:textFill>
                  <w14:solidFill>
                    <w14:schemeClr w14:val="tx1"/>
                  </w14:solidFill>
                </w14:textFill>
              </w:rPr>
            </w:pPr>
            <w:r>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t>1家</w:t>
            </w:r>
          </w:p>
        </w:tc>
        <w:tc>
          <w:tcPr>
            <w:tcW w:w="1133" w:type="dxa"/>
            <w:vMerge w:val="continue"/>
            <w:vAlign w:val="center"/>
          </w:tcPr>
          <w:p w14:paraId="74A3410E">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2"/>
                <w:szCs w:val="22"/>
                <w:highlight w:val="none"/>
                <w:lang w:val="en-US" w:eastAsia="zh-CN"/>
                <w14:textFill>
                  <w14:solidFill>
                    <w14:schemeClr w14:val="tx1"/>
                  </w14:solidFill>
                </w14:textFill>
              </w:rPr>
            </w:pPr>
          </w:p>
        </w:tc>
      </w:tr>
    </w:tbl>
    <w:p w14:paraId="36F86EC2">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val="en-US" w:eastAsia="zh-CN"/>
        </w:rPr>
        <w:t>谈判</w:t>
      </w:r>
      <w:r>
        <w:rPr>
          <w:rFonts w:hint="eastAsia" w:ascii="仿宋" w:hAnsi="仿宋" w:eastAsia="仿宋" w:cs="仿宋"/>
          <w:color w:val="000000"/>
          <w:sz w:val="24"/>
          <w:szCs w:val="24"/>
          <w:highlight w:val="none"/>
        </w:rPr>
        <w:t>文件中的“用户需求书”。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w:t>
      </w:r>
      <w:r>
        <w:rPr>
          <w:rFonts w:hint="eastAsia" w:ascii="仿宋" w:hAnsi="仿宋" w:eastAsia="仿宋" w:cs="仿宋"/>
          <w:color w:val="000000"/>
          <w:sz w:val="24"/>
          <w:szCs w:val="24"/>
          <w:highlight w:val="none"/>
          <w:lang w:val="en-US" w:eastAsia="zh-CN"/>
        </w:rPr>
        <w:t>中至少一个包组</w:t>
      </w:r>
      <w:r>
        <w:rPr>
          <w:rFonts w:hint="eastAsia" w:ascii="仿宋" w:hAnsi="仿宋" w:eastAsia="仿宋" w:cs="仿宋"/>
          <w:color w:val="000000"/>
          <w:sz w:val="24"/>
          <w:szCs w:val="24"/>
          <w:highlight w:val="none"/>
        </w:rPr>
        <w:t>的全部内容进行响应报价，如有缺漏或超出采购预算</w:t>
      </w:r>
      <w:r>
        <w:rPr>
          <w:rFonts w:hint="eastAsia" w:ascii="仿宋" w:hAnsi="仿宋" w:eastAsia="仿宋" w:cs="仿宋"/>
          <w:color w:val="000000" w:themeColor="text1"/>
          <w:sz w:val="24"/>
          <w:szCs w:val="24"/>
          <w:highlight w:val="none"/>
          <w14:textFill>
            <w14:solidFill>
              <w14:schemeClr w14:val="tx1"/>
            </w14:solidFill>
          </w14:textFill>
        </w:rPr>
        <w:t>（最高限价）</w:t>
      </w:r>
      <w:r>
        <w:rPr>
          <w:rFonts w:hint="eastAsia" w:ascii="仿宋" w:hAnsi="仿宋" w:eastAsia="仿宋" w:cs="仿宋"/>
          <w:color w:val="000000"/>
          <w:sz w:val="24"/>
          <w:szCs w:val="24"/>
          <w:highlight w:val="none"/>
        </w:rPr>
        <w:t>，将导致响应无效</w:t>
      </w:r>
      <w:r>
        <w:rPr>
          <w:rFonts w:hint="eastAsia" w:ascii="仿宋" w:hAnsi="仿宋" w:eastAsia="仿宋" w:cs="仿宋"/>
          <w:color w:val="000000"/>
          <w:sz w:val="24"/>
          <w:szCs w:val="24"/>
          <w:highlight w:val="none"/>
          <w:lang w:eastAsia="zh-CN"/>
        </w:rPr>
        <w:t>。</w:t>
      </w:r>
      <w:bookmarkStart w:id="21" w:name="_GoBack"/>
      <w:bookmarkEnd w:id="21"/>
    </w:p>
    <w:p w14:paraId="0FC56355">
      <w:pPr>
        <w:keepNext w:val="0"/>
        <w:keepLines w:val="0"/>
        <w:pageBreakBefore w:val="0"/>
        <w:widowControl w:val="0"/>
        <w:numPr>
          <w:ilvl w:val="8"/>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1.基于采购人不同院区分布的特点，现分为三个包组进行，不同院区各油种的两年使用量分别为：</w:t>
      </w:r>
    </w:p>
    <w:p w14:paraId="3121647D">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（1）北院区：95#汽油约4.06万升，预算费用合计不超过35万元/两年；</w:t>
      </w:r>
    </w:p>
    <w:p w14:paraId="416771AC">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（2）南院区：95#汽油约3.62万升，0#柴油约0.14万升，预算费用合计不超过35万元/两年。</w:t>
      </w:r>
    </w:p>
    <w:p w14:paraId="7C87A430">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（3）花都院区：95#汽油约1.64万升，0#柴油约2.20万升，预算费用合计不超过26.8万元/两年。</w:t>
      </w:r>
    </w:p>
    <w:p w14:paraId="761670F7">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最终采购数量以采购人院区实际使用数量为准。</w:t>
      </w:r>
    </w:p>
    <w:p w14:paraId="6EDA34B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lang w:val="en-US" w:eastAsia="zh-CN" w:bidi="ar-SA"/>
        </w:rPr>
        <w:t>2.</w:t>
      </w:r>
      <w:r>
        <w:rPr>
          <w:rFonts w:hint="eastAsia" w:ascii="仿宋" w:hAnsi="仿宋" w:eastAsia="仿宋" w:cs="仿宋"/>
          <w:color w:val="000000"/>
          <w:kern w:val="2"/>
          <w:sz w:val="24"/>
          <w:szCs w:val="24"/>
          <w:highlight w:val="none"/>
          <w:lang w:val="en-US" w:eastAsia="zh-CN" w:bidi="ar-SA"/>
        </w:rPr>
        <w:t>项目服务期限为自合同生效之日起2年或对应子包支付达到对应采购预算（最高限价）为止，本次服务范围为本单位所有车辆及合同期内新增的车辆。</w:t>
      </w:r>
    </w:p>
    <w:p w14:paraId="4F2F392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2" w:firstLineChars="200"/>
        <w:jc w:val="left"/>
        <w:textAlignment w:val="auto"/>
        <w:rPr>
          <w:rFonts w:hint="eastAsia" w:ascii="仿宋" w:hAnsi="仿宋" w:eastAsia="仿宋" w:cs="仿宋"/>
          <w:b/>
          <w:color w:val="000000" w:themeColor="text1"/>
          <w:sz w:val="24"/>
          <w:szCs w:val="24"/>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二、服务要求</w:t>
      </w:r>
    </w:p>
    <w:p w14:paraId="18DDB39C">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default"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zh-TW"/>
          <w14:textFill>
            <w14:solidFill>
              <w14:schemeClr w14:val="tx1"/>
            </w14:solidFill>
          </w14:textFill>
        </w:rPr>
        <w:t>1．供应商所提供的燃油油品质量必须达到国家相关标准及要求，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保证</w:t>
      </w:r>
      <w:r>
        <w:rPr>
          <w:rFonts w:hint="eastAsia" w:ascii="仿宋" w:hAnsi="仿宋" w:eastAsia="仿宋" w:cs="仿宋"/>
          <w:color w:val="000000" w:themeColor="text1"/>
          <w:sz w:val="24"/>
          <w:szCs w:val="24"/>
          <w:highlight w:val="none"/>
          <w:lang w:val="zh-TW"/>
          <w14:textFill>
            <w14:solidFill>
              <w14:schemeClr w14:val="tx1"/>
            </w14:solidFill>
          </w14:textFill>
        </w:rPr>
        <w:t>油品来源</w:t>
      </w:r>
      <w:r>
        <w:rPr>
          <w:rFonts w:hint="eastAsia" w:ascii="仿宋" w:hAnsi="仿宋" w:eastAsia="仿宋" w:cs="仿宋"/>
          <w:color w:val="000000" w:themeColor="text1"/>
          <w:sz w:val="24"/>
          <w:szCs w:val="24"/>
          <w:highlight w:val="none"/>
          <w:lang w:val="en-US" w:eastAsia="zh-CN"/>
          <w14:textFill>
            <w14:solidFill>
              <w14:schemeClr w14:val="tx1"/>
            </w14:solidFill>
          </w14:textFill>
        </w:rPr>
        <w:t>渠道合法合规</w:t>
      </w:r>
      <w:r>
        <w:rPr>
          <w:rFonts w:hint="eastAsia" w:ascii="仿宋" w:hAnsi="仿宋" w:eastAsia="仿宋" w:cs="仿宋"/>
          <w:color w:val="000000" w:themeColor="text1"/>
          <w:sz w:val="24"/>
          <w:szCs w:val="24"/>
          <w:highlight w:val="none"/>
          <w:lang w:val="zh-TW"/>
          <w14:textFill>
            <w14:solidFill>
              <w14:schemeClr w14:val="tx1"/>
            </w14:solidFill>
          </w14:textFill>
        </w:rPr>
        <w:t>，严禁提供假冒伪劣、过期变质物资</w:t>
      </w:r>
      <w:r>
        <w:rPr>
          <w:rFonts w:hint="default"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zh-TW"/>
          <w14:textFill>
            <w14:solidFill>
              <w14:schemeClr w14:val="tx1"/>
            </w14:solidFill>
          </w14:textFill>
        </w:rPr>
        <w:t>如经第三方检测机构认定因油质问题致使医院车辆部件损坏的，除鉴定费用由供应商支付外，供应商还须无条件赔偿医院所受损失，同时医院有权单方终止采购合同。</w:t>
      </w:r>
    </w:p>
    <w:p w14:paraId="55778321">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val="zh-TW"/>
          <w14:textFill>
            <w14:solidFill>
              <w14:schemeClr w14:val="tx1"/>
            </w14:solidFill>
          </w14:textFill>
        </w:rPr>
        <w:t>医院有权对供应商所供应油品不定期不限次抽检。若经相关部门鉴定确立存在问题时（以国家或者地方政府指定检测部门抽检油站油品检验结果为基准），鉴定费用由供应商支付，并由供应商承担责任，赔偿损失。</w:t>
      </w:r>
    </w:p>
    <w:p w14:paraId="19AEF0DA">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b/>
          <w:bCs w:val="0"/>
          <w:color w:val="000000"/>
          <w:sz w:val="24"/>
          <w:szCs w:val="24"/>
          <w:highlight w:val="none"/>
          <w:lang w:val="en-US" w:eastAsia="zh-CN"/>
        </w:rPr>
      </w:pPr>
      <w:r>
        <w:rPr>
          <w:rFonts w:hint="default" w:ascii="仿宋" w:hAnsi="仿宋" w:eastAsia="仿宋" w:cs="仿宋"/>
          <w:color w:val="000000" w:themeColor="text1"/>
          <w:sz w:val="24"/>
          <w:szCs w:val="24"/>
          <w:highlight w:val="none"/>
          <w14:textFill>
            <w14:solidFill>
              <w14:schemeClr w14:val="tx1"/>
            </w14:solidFill>
          </w14:textFill>
        </w:rPr>
        <w:t>★3.</w:t>
      </w:r>
      <w:r>
        <w:rPr>
          <w:rFonts w:hint="eastAsia" w:ascii="仿宋" w:hAnsi="仿宋" w:eastAsia="仿宋" w:cs="仿宋"/>
          <w:color w:val="000000" w:themeColor="text1"/>
          <w:sz w:val="24"/>
          <w:szCs w:val="24"/>
          <w:highlight w:val="none"/>
          <w:lang w:val="zh-TW"/>
          <w14:textFill>
            <w14:solidFill>
              <w14:schemeClr w14:val="tx1"/>
            </w14:solidFill>
          </w14:textFill>
        </w:rPr>
        <w:t>供应商所提供的加油站应位于本项目对应子包所在院区周边5公里半径范围内，并应具备为</w:t>
      </w:r>
      <w:r>
        <w:rPr>
          <w:rFonts w:hint="eastAsia" w:ascii="仿宋" w:hAnsi="仿宋" w:eastAsia="仿宋" w:cs="仿宋"/>
          <w:b w:val="0"/>
          <w:bCs w:val="0"/>
          <w:color w:val="000000" w:themeColor="text1"/>
          <w:sz w:val="24"/>
          <w:szCs w:val="24"/>
          <w:highlight w:val="none"/>
          <w:lang w:val="zh-TW"/>
          <w14:textFill>
            <w14:solidFill>
              <w14:schemeClr w14:val="tx1"/>
            </w14:solidFill>
          </w14:textFill>
        </w:rPr>
        <w:t>中型客车提供加油服务的场地条件。响应时必须明确提供加油站的详细地址、地理位置图、经营面积、油枪数量以及至</w:t>
      </w:r>
      <w:r>
        <w:rPr>
          <w:rFonts w:hint="eastAsia" w:ascii="仿宋" w:hAnsi="仿宋" w:eastAsia="仿宋" w:cs="仿宋"/>
          <w:b w:val="0"/>
          <w:bCs w:val="0"/>
          <w:color w:val="000000"/>
          <w:sz w:val="24"/>
          <w:szCs w:val="24"/>
          <w:highlight w:val="none"/>
          <w:lang w:val="en-US" w:eastAsia="zh-CN"/>
        </w:rPr>
        <w:t>中山大学孙逸仙纪念医院北院区/南院区/花都院区的实际驾车里程（提供百度地图实际驾车里程截图）。</w:t>
      </w:r>
    </w:p>
    <w:p w14:paraId="1921F75B">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供应商须保证给采购人公务车辆足量加油。供应商加油设备必须通过质量技术监督局计量部门监测，保证加油机油量符合国家标准。如采购人对加油足量情况有疑问，采购人有权向市场监督部门反馈。如情况属实，采购人有权提前终止合同。</w:t>
      </w:r>
    </w:p>
    <w:p w14:paraId="2145F91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供应商在工作过程中接触到采购人的任何资料（车辆号牌、书面或电子文档），负有为采购人保密的责任，未经采购人书面同意，供应商不得以任何形式向第三方提供或透露。属电子文档的应从电脑存储设备上永久清除。</w:t>
      </w:r>
    </w:p>
    <w:p w14:paraId="06254542">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供应商按照医院提供的车辆资料及要求办理加油卡，加油卡实行一车一卡，签订合同之日起3个工作日内根据医院提供的车牌号码办理加油卡，所有加油卡设置密码、限制油品、限车牌，供应商应配合医院做好车辆加油监督管理。当医院出现加油卡丢失或损坏时，供应商负责更换新的加油卡，并将丢失或损坏的加油卡剩余金额转入更换后的新卡。</w:t>
      </w:r>
    </w:p>
    <w:p w14:paraId="59DA2073">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7.加油卡可以实现资料变更、查询加油信息及资金划转记录等功能。有新增车辆需要增加加油卡数量的，需持采购人单位车辆行驶证复印件、采购人书面通知方可办理。</w:t>
      </w:r>
    </w:p>
    <w:p w14:paraId="0E6E240F">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建立加油人员、管理人员双层审核等相关管理制度。加油时，加油人员应确认加油卡信息与车号一致，方可加油；否则，不予加油。严禁卡号与车号不符加油、持卡给桶等其他容器加油、持卡提现金或购买其他物品等违规违纪问题。如发生违规违纪问题，采购人有权责令其整改，对拒不整改或拖延整改的，采购人将根据情况除有权决定单方解除合同、取消其采购定点单位资格外，供应商还应赔偿由此给采购人造成的损失。</w:t>
      </w:r>
    </w:p>
    <w:p w14:paraId="6503ABB5">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9.供应商提供的油品数量必须保证每天都能满足医院的需求，特别是油品紧缺时也要力争保证医院每天的正常需要（在同等条件下优先提供加油服务)。</w:t>
      </w:r>
    </w:p>
    <w:p w14:paraId="12F252C4">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sz w:val="24"/>
          <w:szCs w:val="24"/>
          <w:highlight w:val="none"/>
          <w:lang w:val="en-US" w:eastAsia="zh-CN"/>
        </w:rPr>
        <w:t>★</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10.对于响应包组1的供应商，要求至少能供应95#汽油；响应包组2或包组3的供应商，要求至少能供应0#柴油国Ⅵ、95#汽油。</w:t>
      </w:r>
    </w:p>
    <w:p w14:paraId="4A65FA21">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2" w:firstLineChars="200"/>
        <w:jc w:val="left"/>
        <w:textAlignment w:val="auto"/>
        <w:rPr>
          <w:rFonts w:hint="eastAsia" w:ascii="仿宋" w:hAnsi="仿宋" w:eastAsia="仿宋" w:cs="仿宋"/>
          <w:b/>
          <w:bCs/>
          <w:color w:val="000000" w:themeColor="text1"/>
          <w:sz w:val="24"/>
          <w:szCs w:val="24"/>
          <w:highlight w:val="none"/>
          <w:lang w:val="zh-TW"/>
          <w14:textFill>
            <w14:solidFill>
              <w14:schemeClr w14:val="tx1"/>
            </w14:solidFill>
          </w14:textFill>
        </w:rPr>
      </w:pPr>
      <w:r>
        <w:rPr>
          <w:rFonts w:hint="eastAsia" w:ascii="仿宋" w:hAnsi="仿宋" w:eastAsia="仿宋" w:cs="仿宋"/>
          <w:b/>
          <w:bCs/>
          <w:color w:val="000000" w:themeColor="text1"/>
          <w:sz w:val="24"/>
          <w:szCs w:val="24"/>
          <w:highlight w:val="none"/>
          <w:lang w:val="zh-TW"/>
          <w14:textFill>
            <w14:solidFill>
              <w14:schemeClr w14:val="tx1"/>
            </w14:solidFill>
          </w14:textFill>
        </w:rPr>
        <w:t>三、</w:t>
      </w:r>
      <w:r>
        <w:rPr>
          <w:rFonts w:hint="eastAsia" w:ascii="仿宋" w:hAnsi="仿宋" w:eastAsia="仿宋" w:cs="仿宋"/>
          <w:b/>
          <w:bCs w:val="0"/>
          <w:i w:val="0"/>
          <w:iCs w:val="0"/>
          <w:color w:val="000000" w:themeColor="text1"/>
          <w:sz w:val="24"/>
          <w:szCs w:val="24"/>
          <w:highlight w:val="none"/>
          <w:lang w:val="en-US" w:eastAsia="zh-CN"/>
          <w14:textFill>
            <w14:solidFill>
              <w14:schemeClr w14:val="tx1"/>
            </w14:solidFill>
          </w14:textFill>
        </w:rPr>
        <w:t>报价要求</w:t>
      </w:r>
      <w:r>
        <w:rPr>
          <w:rFonts w:hint="eastAsia" w:ascii="仿宋" w:hAnsi="仿宋" w:eastAsia="仿宋" w:cs="仿宋"/>
          <w:b/>
          <w:bCs/>
          <w:color w:val="000000" w:themeColor="text1"/>
          <w:sz w:val="24"/>
          <w:szCs w:val="24"/>
          <w:highlight w:val="none"/>
          <w:lang w:val="zh-TW"/>
          <w14:textFill>
            <w14:solidFill>
              <w14:schemeClr w14:val="tx1"/>
            </w14:solidFill>
          </w14:textFill>
        </w:rPr>
        <w:t xml:space="preserve"> </w:t>
      </w:r>
    </w:p>
    <w:p w14:paraId="2E5C4587">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zh-TW"/>
          <w14:textFill>
            <w14:solidFill>
              <w14:schemeClr w14:val="tx1"/>
            </w14:solidFill>
          </w14:textFill>
        </w:rPr>
        <w:t>★</w:t>
      </w:r>
      <w:r>
        <w:rPr>
          <w:rFonts w:hint="default"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zh-TW"/>
          <w14:textFill>
            <w14:solidFill>
              <w14:schemeClr w14:val="tx1"/>
            </w14:solidFill>
          </w14:textFill>
        </w:rPr>
        <w:t>供应商须按照加油站挂牌零售价的折扣率报价，报价包含单位货物价款、运输费、保险费用、税费及售后服务等一切费用。（如遇国家价格调整，在价格调整基础上折扣不变）优惠折扣率为固定且唯一的报价，双方签订合同后，不得以任何原因进行更改，否则视为违约并承担相应责任。</w:t>
      </w:r>
    </w:p>
    <w:p w14:paraId="43CD67E1">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单次加油服务</w:t>
      </w:r>
      <w:r>
        <w:rPr>
          <w:rFonts w:hint="eastAsia" w:ascii="仿宋" w:hAnsi="仿宋" w:eastAsia="仿宋" w:cs="仿宋"/>
          <w:color w:val="000000" w:themeColor="text1"/>
          <w:sz w:val="24"/>
          <w:szCs w:val="24"/>
          <w:highlight w:val="none"/>
          <w:lang w:val="zh-TW"/>
          <w14:textFill>
            <w14:solidFill>
              <w14:schemeClr w14:val="tx1"/>
            </w14:solidFill>
          </w14:textFill>
        </w:rPr>
        <w:t>实际</w:t>
      </w:r>
      <w:r>
        <w:rPr>
          <w:rFonts w:hint="eastAsia" w:ascii="仿宋" w:hAnsi="仿宋" w:eastAsia="仿宋" w:cs="仿宋"/>
          <w:color w:val="000000" w:themeColor="text1"/>
          <w:sz w:val="24"/>
          <w:szCs w:val="24"/>
          <w:highlight w:val="none"/>
          <w:lang w:val="en-US" w:eastAsia="zh-CN"/>
          <w14:textFill>
            <w14:solidFill>
              <w14:schemeClr w14:val="tx1"/>
            </w14:solidFill>
          </w14:textFill>
        </w:rPr>
        <w:t>结算单价</w:t>
      </w:r>
      <w:r>
        <w:rPr>
          <w:rFonts w:hint="eastAsia" w:ascii="仿宋" w:hAnsi="仿宋" w:eastAsia="仿宋" w:cs="仿宋"/>
          <w:color w:val="000000" w:themeColor="text1"/>
          <w:sz w:val="24"/>
          <w:szCs w:val="24"/>
          <w:highlight w:val="none"/>
          <w:lang w:val="zh-TW"/>
          <w14:textFill>
            <w14:solidFill>
              <w14:schemeClr w14:val="tx1"/>
            </w14:solidFill>
          </w14:textFill>
        </w:rPr>
        <w:t>=车辆加油油品当日挂牌价格*折扣率（优惠活动期间</w:t>
      </w:r>
      <w:r>
        <w:rPr>
          <w:rFonts w:hint="eastAsia" w:ascii="仿宋" w:hAnsi="仿宋" w:eastAsia="仿宋" w:cs="仿宋"/>
          <w:color w:val="000000" w:themeColor="text1"/>
          <w:sz w:val="24"/>
          <w:szCs w:val="24"/>
          <w:highlight w:val="none"/>
          <w:lang w:val="en-US" w:eastAsia="zh-CN"/>
          <w14:textFill>
            <w14:solidFill>
              <w14:schemeClr w14:val="tx1"/>
            </w14:solidFill>
          </w14:textFill>
        </w:rPr>
        <w:t>同时</w:t>
      </w:r>
      <w:r>
        <w:rPr>
          <w:rFonts w:hint="eastAsia" w:ascii="仿宋" w:hAnsi="仿宋" w:eastAsia="仿宋" w:cs="仿宋"/>
          <w:color w:val="000000" w:themeColor="text1"/>
          <w:sz w:val="24"/>
          <w:szCs w:val="24"/>
          <w:highlight w:val="none"/>
          <w:lang w:val="zh-TW"/>
          <w14:textFill>
            <w14:solidFill>
              <w14:schemeClr w14:val="tx1"/>
            </w14:solidFill>
          </w14:textFill>
        </w:rPr>
        <w:t>享受优惠叠加</w:t>
      </w:r>
      <w:r>
        <w:rPr>
          <w:rFonts w:hint="eastAsia" w:ascii="仿宋" w:hAnsi="仿宋" w:eastAsia="仿宋" w:cs="仿宋"/>
          <w:color w:val="000000" w:themeColor="text1"/>
          <w:sz w:val="24"/>
          <w:szCs w:val="24"/>
          <w:highlight w:val="none"/>
          <w:lang w:val="zh-TW"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结算单价</w:t>
      </w:r>
      <w:r>
        <w:rPr>
          <w:rFonts w:hint="eastAsia" w:ascii="仿宋" w:hAnsi="仿宋" w:eastAsia="仿宋" w:cs="仿宋"/>
          <w:color w:val="000000" w:themeColor="text1"/>
          <w:sz w:val="24"/>
          <w:szCs w:val="24"/>
          <w:highlight w:val="none"/>
          <w:lang w:val="zh-TW" w:eastAsia="zh-CN"/>
          <w14:textFill>
            <w14:solidFill>
              <w14:schemeClr w14:val="tx1"/>
            </w14:solidFill>
          </w14:textFill>
        </w:rPr>
        <w:t>保留两位小数</w:t>
      </w:r>
      <w:r>
        <w:rPr>
          <w:rFonts w:hint="eastAsia" w:ascii="仿宋" w:hAnsi="仿宋" w:eastAsia="仿宋" w:cs="仿宋"/>
          <w:color w:val="000000" w:themeColor="text1"/>
          <w:sz w:val="24"/>
          <w:szCs w:val="24"/>
          <w:highlight w:val="none"/>
          <w:lang w:val="zh-TW"/>
          <w14:textFill>
            <w14:solidFill>
              <w14:schemeClr w14:val="tx1"/>
            </w14:solidFill>
          </w14:textFill>
        </w:rPr>
        <w:t>）。例如：油品当日挂牌价格为7元/升，折扣率为9</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lang w:val="zh-TW"/>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采购人</w:t>
      </w:r>
      <w:r>
        <w:rPr>
          <w:rFonts w:hint="eastAsia" w:ascii="仿宋" w:hAnsi="仿宋" w:eastAsia="仿宋" w:cs="仿宋"/>
          <w:color w:val="000000" w:themeColor="text1"/>
          <w:sz w:val="24"/>
          <w:szCs w:val="24"/>
          <w:highlight w:val="none"/>
          <w:lang w:val="zh-TW"/>
          <w14:textFill>
            <w14:solidFill>
              <w14:schemeClr w14:val="tx1"/>
            </w14:solidFill>
          </w14:textFill>
        </w:rPr>
        <w:t>定点加油</w:t>
      </w:r>
      <w:r>
        <w:rPr>
          <w:rFonts w:hint="eastAsia" w:ascii="仿宋" w:hAnsi="仿宋" w:eastAsia="仿宋" w:cs="仿宋"/>
          <w:color w:val="000000" w:themeColor="text1"/>
          <w:sz w:val="24"/>
          <w:szCs w:val="24"/>
          <w:highlight w:val="none"/>
          <w:lang w:val="en-US" w:eastAsia="zh-CN"/>
          <w14:textFill>
            <w14:solidFill>
              <w14:schemeClr w14:val="tx1"/>
            </w14:solidFill>
          </w14:textFill>
        </w:rPr>
        <w:t>服务</w:t>
      </w:r>
      <w:r>
        <w:rPr>
          <w:rFonts w:hint="eastAsia" w:ascii="仿宋" w:hAnsi="仿宋" w:eastAsia="仿宋" w:cs="仿宋"/>
          <w:color w:val="000000" w:themeColor="text1"/>
          <w:sz w:val="24"/>
          <w:szCs w:val="24"/>
          <w:highlight w:val="none"/>
          <w:lang w:val="zh-TW"/>
          <w14:textFill>
            <w14:solidFill>
              <w14:schemeClr w14:val="tx1"/>
            </w14:solidFill>
          </w14:textFill>
        </w:rPr>
        <w:t>价格则为6.</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zh-TW"/>
          <w14:textFill>
            <w14:solidFill>
              <w14:schemeClr w14:val="tx1"/>
            </w14:solidFill>
          </w14:textFill>
        </w:rPr>
        <w:t>元/升。</w:t>
      </w:r>
    </w:p>
    <w:p w14:paraId="703DB8C6">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default"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zh-TW"/>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default" w:ascii="仿宋" w:hAnsi="仿宋" w:eastAsia="仿宋" w:cs="仿宋"/>
          <w:color w:val="000000" w:themeColor="text1"/>
          <w:sz w:val="24"/>
          <w:szCs w:val="24"/>
          <w:highlight w:val="none"/>
          <w:lang w:eastAsia="zh-CN"/>
          <w14:textFill>
            <w14:solidFill>
              <w14:schemeClr w14:val="tx1"/>
            </w14:solidFill>
          </w14:textFill>
        </w:rPr>
        <w:t>.供应商在调整油价之前，应将调整油价通知提供给医院，调整后价格按政府批文日期执行。</w:t>
      </w:r>
    </w:p>
    <w:p w14:paraId="6557CC31">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val="zh-TW"/>
          <w14:textFill>
            <w14:solidFill>
              <w14:schemeClr w14:val="tx1"/>
            </w14:solidFill>
          </w14:textFill>
        </w:rPr>
        <w:t>供应商应充分了解项目区域的条件、情况以及影响报价的其他要素，结合市场情况进行报价。</w:t>
      </w:r>
    </w:p>
    <w:p w14:paraId="23DD5CF9">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zh-T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default"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zh-TW"/>
          <w14:textFill>
            <w14:solidFill>
              <w14:schemeClr w14:val="tx1"/>
            </w14:solidFill>
          </w14:textFill>
        </w:rPr>
        <w:t>少报漏报的内容，均已包含在</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w:t>
      </w:r>
      <w:r>
        <w:rPr>
          <w:rFonts w:hint="eastAsia" w:ascii="仿宋" w:hAnsi="仿宋" w:eastAsia="仿宋" w:cs="仿宋"/>
          <w:color w:val="000000" w:themeColor="text1"/>
          <w:sz w:val="24"/>
          <w:szCs w:val="24"/>
          <w:highlight w:val="none"/>
          <w:lang w:val="zh-TW"/>
          <w14:textFill>
            <w14:solidFill>
              <w14:schemeClr w14:val="tx1"/>
            </w14:solidFill>
          </w14:textFill>
        </w:rPr>
        <w:t>内，成交人不得以</w:t>
      </w:r>
      <w:r>
        <w:rPr>
          <w:rFonts w:hint="eastAsia" w:ascii="仿宋" w:hAnsi="仿宋" w:eastAsia="仿宋" w:cs="仿宋"/>
          <w:color w:val="000000" w:themeColor="text1"/>
          <w:sz w:val="24"/>
          <w:szCs w:val="24"/>
          <w:highlight w:val="none"/>
          <w:lang w:val="zh-TW" w:eastAsia="zh-CN"/>
          <w14:textFill>
            <w14:solidFill>
              <w14:schemeClr w14:val="tx1"/>
            </w14:solidFill>
          </w14:textFill>
        </w:rPr>
        <w:t>任何</w:t>
      </w:r>
      <w:r>
        <w:rPr>
          <w:rFonts w:hint="eastAsia" w:ascii="仿宋" w:hAnsi="仿宋" w:eastAsia="仿宋" w:cs="仿宋"/>
          <w:color w:val="000000" w:themeColor="text1"/>
          <w:sz w:val="24"/>
          <w:szCs w:val="24"/>
          <w:highlight w:val="none"/>
          <w:lang w:val="zh-TW"/>
          <w14:textFill>
            <w14:solidFill>
              <w14:schemeClr w14:val="tx1"/>
            </w14:solidFill>
          </w14:textFill>
        </w:rPr>
        <w:t>形式向采购人索要追加任何的费用。</w:t>
      </w:r>
    </w:p>
    <w:p w14:paraId="6E9B6390">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仿宋" w:hAnsi="仿宋" w:eastAsia="仿宋" w:cs="仿宋"/>
          <w:b/>
          <w:bCs/>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zh-TW"/>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b/>
          <w:bCs/>
          <w:color w:val="000000" w:themeColor="text1"/>
          <w:sz w:val="24"/>
          <w:szCs w:val="24"/>
          <w:highlight w:val="none"/>
          <w:lang w:val="zh-TW"/>
          <w14:textFill>
            <w14:solidFill>
              <w14:schemeClr w14:val="tx1"/>
            </w14:solidFill>
          </w14:textFill>
        </w:rPr>
        <w:t>、</w:t>
      </w:r>
      <w:r>
        <w:rPr>
          <w:rFonts w:hint="eastAsia" w:ascii="仿宋" w:hAnsi="仿宋" w:eastAsia="仿宋" w:cs="仿宋"/>
          <w:b/>
          <w:bCs w:val="0"/>
          <w:i w:val="0"/>
          <w:iCs w:val="0"/>
          <w:color w:val="000000" w:themeColor="text1"/>
          <w:sz w:val="24"/>
          <w:szCs w:val="24"/>
          <w:highlight w:val="none"/>
          <w:lang w:val="en-US" w:eastAsia="zh-CN"/>
          <w14:textFill>
            <w14:solidFill>
              <w14:schemeClr w14:val="tx1"/>
            </w14:solidFill>
          </w14:textFill>
        </w:rPr>
        <w:t>结算方式</w:t>
      </w:r>
    </w:p>
    <w:p w14:paraId="4D36C6B8">
      <w:pPr>
        <w:pStyle w:val="26"/>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签订合同后，采购人须向各子包成交供应商的指定账户支付3万元的保证金。合同结束后，供应商应当自医院结清款项之日起15日内，将3万元保证金退还医院。</w:t>
      </w:r>
    </w:p>
    <w:p w14:paraId="1BC9E22F">
      <w:pPr>
        <w:pStyle w:val="26"/>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转账充值。</w:t>
      </w:r>
      <w:r>
        <w:rPr>
          <w:rFonts w:hint="eastAsia" w:ascii="仿宋" w:hAnsi="仿宋" w:eastAsia="仿宋" w:cs="仿宋"/>
          <w:color w:val="000000" w:themeColor="text1"/>
          <w:kern w:val="2"/>
          <w:sz w:val="24"/>
          <w:szCs w:val="24"/>
          <w:lang w:val="en-US" w:eastAsia="zh-CN" w:bidi="ar-SA"/>
          <w14:textFill>
            <w14:solidFill>
              <w14:schemeClr w14:val="tx1"/>
            </w14:solidFill>
          </w14:textFill>
        </w:rPr>
        <w:t>医院公务车辆到供应商实行记账加油方式，每月结算一次，定点加油服务结算金额是按医院公务车辆上月实际发生的加油量进行结算支付。</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负责提供医院上月实际发生的油料情况明细表（即：每台车辆的加油明细及汇总金额），经院方审核确认后，供应商根据医院上月油款情况开具正规发票。院方在收到供应商的正规发票后30日内，以转账充值形式付清结算周期所发生的油款。</w:t>
      </w:r>
    </w:p>
    <w:p w14:paraId="686DC9BF">
      <w:pPr>
        <w:pStyle w:val="26"/>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若</w:t>
      </w:r>
      <w:r>
        <w:rPr>
          <w:rFonts w:hint="eastAsia" w:ascii="仿宋" w:hAnsi="仿宋" w:eastAsia="仿宋" w:cs="仿宋"/>
          <w:color w:val="000000" w:themeColor="text1"/>
          <w:kern w:val="2"/>
          <w:sz w:val="24"/>
          <w:szCs w:val="24"/>
          <w:lang w:val="en-US" w:eastAsia="zh-CN" w:bidi="ar-SA"/>
          <w14:textFill>
            <w14:solidFill>
              <w14:schemeClr w14:val="tx1"/>
            </w14:solidFill>
          </w14:textFill>
        </w:rPr>
        <w:t>采购人</w:t>
      </w:r>
      <w:r>
        <w:rPr>
          <w:rFonts w:hint="eastAsia" w:ascii="仿宋" w:hAnsi="仿宋" w:eastAsia="仿宋" w:cs="仿宋"/>
          <w:color w:val="000000" w:themeColor="text1"/>
          <w:sz w:val="24"/>
          <w:szCs w:val="24"/>
          <w:highlight w:val="none"/>
          <w:lang w:val="en-US" w:eastAsia="zh-CN"/>
          <w14:textFill>
            <w14:solidFill>
              <w14:schemeClr w14:val="tx1"/>
            </w14:solidFill>
          </w14:textFill>
        </w:rPr>
        <w:t>对</w:t>
      </w:r>
      <w:r>
        <w:rPr>
          <w:rFonts w:hint="eastAsia" w:ascii="仿宋" w:hAnsi="仿宋" w:eastAsia="仿宋" w:cs="仿宋"/>
          <w:color w:val="000000" w:themeColor="text1"/>
          <w:kern w:val="2"/>
          <w:sz w:val="24"/>
          <w:szCs w:val="24"/>
          <w:lang w:val="en-US" w:eastAsia="zh-CN" w:bidi="ar-SA"/>
          <w14:textFill>
            <w14:solidFill>
              <w14:schemeClr w14:val="tx1"/>
            </w14:solidFill>
          </w14:textFill>
        </w:rPr>
        <w:t>供应商</w:t>
      </w:r>
      <w:r>
        <w:rPr>
          <w:rFonts w:hint="eastAsia" w:ascii="仿宋" w:hAnsi="仿宋" w:eastAsia="仿宋" w:cs="仿宋"/>
          <w:color w:val="000000" w:themeColor="text1"/>
          <w:sz w:val="24"/>
          <w:szCs w:val="24"/>
          <w:highlight w:val="none"/>
          <w:lang w:val="en-US" w:eastAsia="zh-CN"/>
          <w14:textFill>
            <w14:solidFill>
              <w14:schemeClr w14:val="tx1"/>
            </w14:solidFill>
          </w14:textFill>
        </w:rPr>
        <w:t>提供的明细表有异议，应在收到明细表五个工作日内通知供应商，双方共同审核交易明细。</w:t>
      </w:r>
    </w:p>
    <w:p w14:paraId="2E00853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2" w:firstLineChars="200"/>
        <w:textAlignment w:val="auto"/>
        <w:rPr>
          <w:rFonts w:hint="eastAsia" w:ascii="仿宋" w:hAnsi="仿宋" w:eastAsia="仿宋" w:cs="仿宋"/>
          <w:b/>
          <w:bCs w:val="0"/>
          <w:color w:val="000000"/>
          <w:sz w:val="24"/>
          <w:szCs w:val="24"/>
          <w:highlight w:val="none"/>
          <w:lang w:val="en-US" w:eastAsia="zh-CN"/>
        </w:rPr>
      </w:pPr>
    </w:p>
    <w:p w14:paraId="2953EC02">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2" w:firstLineChars="200"/>
        <w:textAlignment w:val="auto"/>
        <w:rPr>
          <w:rFonts w:hint="eastAsia" w:ascii="仿宋" w:hAnsi="仿宋" w:eastAsia="仿宋" w:cs="仿宋"/>
          <w:b/>
          <w:bCs w:val="0"/>
          <w:color w:val="000000"/>
          <w:sz w:val="24"/>
          <w:szCs w:val="24"/>
          <w:highlight w:val="none"/>
          <w:lang w:val="en-US" w:eastAsia="zh-CN"/>
        </w:rPr>
      </w:pPr>
    </w:p>
    <w:p w14:paraId="5C38CDBE">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2" w:firstLineChars="200"/>
        <w:textAlignment w:val="auto"/>
        <w:rPr>
          <w:rFonts w:hint="eastAsia" w:ascii="仿宋" w:hAnsi="仿宋" w:eastAsia="仿宋" w:cs="仿宋"/>
          <w:b/>
          <w:bCs w:val="0"/>
          <w:color w:val="000000"/>
          <w:sz w:val="24"/>
          <w:szCs w:val="24"/>
          <w:highlight w:val="none"/>
          <w:lang w:val="en-US" w:eastAsia="zh-CN"/>
        </w:rPr>
      </w:pPr>
    </w:p>
    <w:p w14:paraId="14E435F5">
      <w:pPr>
        <w:pStyle w:val="24"/>
        <w:rPr>
          <w:rFonts w:hint="eastAsia"/>
          <w:highlight w:val="none"/>
        </w:rPr>
      </w:pPr>
    </w:p>
    <w:p w14:paraId="03254B5D">
      <w:pPr>
        <w:pStyle w:val="24"/>
        <w:rPr>
          <w:rFonts w:hint="eastAsia"/>
          <w:highlight w:val="none"/>
        </w:rPr>
      </w:pPr>
    </w:p>
    <w:p w14:paraId="335A87D0">
      <w:pPr>
        <w:pStyle w:val="24"/>
        <w:rPr>
          <w:rFonts w:hint="eastAsia"/>
          <w:highlight w:val="none"/>
        </w:rPr>
      </w:pPr>
    </w:p>
    <w:p w14:paraId="0DD6675B">
      <w:pPr>
        <w:pStyle w:val="24"/>
        <w:rPr>
          <w:rFonts w:hint="eastAsia"/>
          <w:highlight w:val="none"/>
        </w:rPr>
      </w:pPr>
    </w:p>
    <w:p w14:paraId="5BA0842F">
      <w:pPr>
        <w:pStyle w:val="24"/>
        <w:rPr>
          <w:rFonts w:hint="eastAsia"/>
          <w:highlight w:val="none"/>
        </w:rPr>
      </w:pPr>
    </w:p>
    <w:p w14:paraId="269407E0">
      <w:pPr>
        <w:pStyle w:val="24"/>
        <w:rPr>
          <w:rFonts w:hint="eastAsia"/>
          <w:highlight w:val="none"/>
        </w:rPr>
      </w:pPr>
    </w:p>
    <w:p w14:paraId="09B3F94F">
      <w:pPr>
        <w:pStyle w:val="24"/>
        <w:rPr>
          <w:rFonts w:hint="eastAsia"/>
          <w:highlight w:val="none"/>
        </w:rPr>
      </w:pPr>
    </w:p>
    <w:p w14:paraId="7E8760EE">
      <w:pPr>
        <w:pStyle w:val="24"/>
        <w:rPr>
          <w:rFonts w:hint="eastAsia"/>
          <w:highlight w:val="none"/>
        </w:rPr>
      </w:pPr>
    </w:p>
    <w:p w14:paraId="2680F638">
      <w:pPr>
        <w:pStyle w:val="24"/>
        <w:rPr>
          <w:rFonts w:hint="eastAsia"/>
          <w:highlight w:val="none"/>
        </w:rPr>
      </w:pPr>
    </w:p>
    <w:p w14:paraId="3F158CD3">
      <w:pPr>
        <w:pStyle w:val="24"/>
        <w:rPr>
          <w:rFonts w:hint="eastAsia"/>
          <w:highlight w:val="none"/>
        </w:rPr>
      </w:pPr>
    </w:p>
    <w:p w14:paraId="0A7D7D7F">
      <w:pPr>
        <w:pStyle w:val="24"/>
        <w:rPr>
          <w:rFonts w:hint="eastAsia"/>
          <w:highlight w:val="none"/>
        </w:rPr>
      </w:pPr>
    </w:p>
    <w:p w14:paraId="2D27E64D">
      <w:pPr>
        <w:pStyle w:val="24"/>
        <w:rPr>
          <w:rFonts w:hint="eastAsia"/>
          <w:highlight w:val="none"/>
        </w:rPr>
      </w:pPr>
    </w:p>
    <w:p w14:paraId="2742CF50">
      <w:pPr>
        <w:pStyle w:val="24"/>
        <w:rPr>
          <w:rFonts w:hint="eastAsia"/>
          <w:highlight w:val="none"/>
        </w:rPr>
      </w:pPr>
    </w:p>
    <w:p w14:paraId="7BF6D56C">
      <w:pPr>
        <w:pStyle w:val="24"/>
        <w:rPr>
          <w:rFonts w:hint="eastAsia"/>
          <w:highlight w:val="none"/>
        </w:rPr>
      </w:pPr>
    </w:p>
    <w:p w14:paraId="3E3A4571">
      <w:pPr>
        <w:pStyle w:val="18"/>
        <w:rPr>
          <w:rFonts w:hint="eastAsia" w:ascii="微软雅黑" w:hAnsi="微软雅黑" w:eastAsia="微软雅黑" w:cs="微软雅黑"/>
          <w:color w:val="000000"/>
          <w:highlight w:val="none"/>
        </w:rPr>
      </w:pPr>
    </w:p>
    <w:p w14:paraId="791ED1C8">
      <w:pPr>
        <w:pStyle w:val="18"/>
        <w:rPr>
          <w:rFonts w:hint="eastAsia" w:ascii="微软雅黑" w:hAnsi="微软雅黑" w:eastAsia="微软雅黑" w:cs="微软雅黑"/>
          <w:color w:val="000000"/>
          <w:highlight w:val="none"/>
        </w:rPr>
      </w:pPr>
    </w:p>
    <w:p w14:paraId="04AC42F6">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61C06CA">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CB6045D">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95A9897">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D67224D">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20A24F62">
      <w:pPr>
        <w:pStyle w:val="26"/>
        <w:rPr>
          <w:rFonts w:hint="eastAsia"/>
          <w:color w:val="000000"/>
          <w:highlight w:val="none"/>
        </w:rPr>
      </w:pPr>
    </w:p>
    <w:p w14:paraId="711D7E37">
      <w:pPr>
        <w:pStyle w:val="26"/>
        <w:rPr>
          <w:rFonts w:hint="eastAsia"/>
          <w:color w:val="000000"/>
          <w:highlight w:val="none"/>
        </w:rPr>
      </w:pPr>
    </w:p>
    <w:p w14:paraId="69F5DBD4">
      <w:pPr>
        <w:pStyle w:val="26"/>
        <w:rPr>
          <w:rFonts w:hint="eastAsia"/>
          <w:color w:val="000000"/>
          <w:highlight w:val="none"/>
        </w:rPr>
      </w:pPr>
    </w:p>
    <w:p w14:paraId="60344E0F">
      <w:pPr>
        <w:pStyle w:val="26"/>
        <w:rPr>
          <w:rFonts w:hint="eastAsia"/>
          <w:color w:val="000000"/>
          <w:highlight w:val="none"/>
        </w:rPr>
      </w:pPr>
    </w:p>
    <w:p w14:paraId="4890433F">
      <w:pPr>
        <w:pStyle w:val="26"/>
        <w:rPr>
          <w:rFonts w:hint="eastAsia"/>
          <w:color w:val="000000"/>
          <w:highlight w:val="none"/>
        </w:rPr>
      </w:pPr>
    </w:p>
    <w:p w14:paraId="25F80A85">
      <w:pPr>
        <w:pStyle w:val="26"/>
        <w:rPr>
          <w:rFonts w:hint="eastAsia"/>
          <w:color w:val="000000"/>
          <w:highlight w:val="none"/>
        </w:rPr>
      </w:pPr>
    </w:p>
    <w:p w14:paraId="713F8C25">
      <w:pPr>
        <w:pStyle w:val="26"/>
        <w:rPr>
          <w:rFonts w:hint="eastAsia"/>
          <w:color w:val="000000"/>
          <w:highlight w:val="none"/>
        </w:rPr>
      </w:pPr>
    </w:p>
    <w:p w14:paraId="7BF76161">
      <w:pPr>
        <w:pStyle w:val="26"/>
        <w:rPr>
          <w:rFonts w:hint="eastAsia"/>
          <w:color w:val="000000"/>
          <w:highlight w:val="none"/>
        </w:rPr>
      </w:pPr>
    </w:p>
    <w:p w14:paraId="0B091919">
      <w:pPr>
        <w:pStyle w:val="26"/>
        <w:rPr>
          <w:rFonts w:hint="eastAsia"/>
          <w:color w:val="000000"/>
          <w:highlight w:val="none"/>
        </w:rPr>
      </w:pPr>
    </w:p>
    <w:p w14:paraId="68C98261">
      <w:pPr>
        <w:pStyle w:val="26"/>
        <w:rPr>
          <w:rFonts w:hint="eastAsia"/>
          <w:color w:val="000000"/>
          <w:highlight w:val="none"/>
        </w:rPr>
      </w:pPr>
    </w:p>
    <w:p w14:paraId="6F6AD690">
      <w:pPr>
        <w:pStyle w:val="26"/>
        <w:rPr>
          <w:rFonts w:hint="eastAsia"/>
          <w:color w:val="000000"/>
          <w:highlight w:val="none"/>
        </w:rPr>
      </w:pPr>
    </w:p>
    <w:p w14:paraId="6EAB4FC9">
      <w:pPr>
        <w:pStyle w:val="26"/>
        <w:rPr>
          <w:rFonts w:hint="eastAsia"/>
          <w:color w:val="000000"/>
          <w:highlight w:val="none"/>
        </w:rPr>
      </w:pPr>
    </w:p>
    <w:p w14:paraId="0A2BB9E2">
      <w:pPr>
        <w:pStyle w:val="26"/>
        <w:rPr>
          <w:rFonts w:hint="eastAsia"/>
          <w:color w:val="000000"/>
          <w:highlight w:val="none"/>
        </w:rPr>
      </w:pPr>
    </w:p>
    <w:p w14:paraId="0CFBF047">
      <w:pPr>
        <w:pStyle w:val="26"/>
        <w:rPr>
          <w:rFonts w:hint="eastAsia"/>
          <w:color w:val="000000"/>
          <w:highlight w:val="none"/>
        </w:rPr>
      </w:pPr>
    </w:p>
    <w:p w14:paraId="0C75579C">
      <w:pPr>
        <w:pStyle w:val="26"/>
        <w:rPr>
          <w:rFonts w:hint="eastAsia"/>
          <w:color w:val="000000"/>
          <w:highlight w:val="none"/>
        </w:rPr>
      </w:pPr>
    </w:p>
    <w:p w14:paraId="19B892A5">
      <w:pPr>
        <w:pStyle w:val="26"/>
        <w:rPr>
          <w:rFonts w:hint="eastAsia"/>
          <w:color w:val="000000"/>
          <w:highlight w:val="none"/>
        </w:rPr>
      </w:pPr>
    </w:p>
    <w:p w14:paraId="5D9772DF">
      <w:pPr>
        <w:pStyle w:val="26"/>
        <w:rPr>
          <w:rFonts w:hint="eastAsia"/>
          <w:color w:val="000000"/>
          <w:highlight w:val="none"/>
        </w:rPr>
      </w:pPr>
    </w:p>
    <w:p w14:paraId="706DAF68">
      <w:pPr>
        <w:pStyle w:val="26"/>
        <w:rPr>
          <w:rFonts w:hint="eastAsia"/>
          <w:color w:val="000000"/>
          <w:highlight w:val="none"/>
        </w:rPr>
      </w:pPr>
    </w:p>
    <w:p w14:paraId="4155099F">
      <w:pPr>
        <w:pStyle w:val="26"/>
        <w:rPr>
          <w:rFonts w:hint="eastAsia"/>
          <w:color w:val="000000"/>
          <w:highlight w:val="none"/>
        </w:rPr>
      </w:pPr>
    </w:p>
    <w:p w14:paraId="67FF39B6">
      <w:pPr>
        <w:pStyle w:val="26"/>
        <w:rPr>
          <w:rFonts w:hint="eastAsia"/>
          <w:color w:val="000000"/>
          <w:highlight w:val="none"/>
        </w:rPr>
      </w:pPr>
    </w:p>
    <w:p w14:paraId="1FB2C232">
      <w:pPr>
        <w:pStyle w:val="26"/>
        <w:rPr>
          <w:rFonts w:hint="eastAsia"/>
          <w:color w:val="000000"/>
          <w:highlight w:val="none"/>
        </w:rPr>
      </w:pPr>
    </w:p>
    <w:p w14:paraId="2BB9883B">
      <w:pPr>
        <w:pStyle w:val="26"/>
        <w:rPr>
          <w:rFonts w:hint="eastAsia"/>
          <w:color w:val="000000"/>
          <w:highlight w:val="none"/>
        </w:rPr>
      </w:pPr>
    </w:p>
    <w:p w14:paraId="020E775D">
      <w:pPr>
        <w:pStyle w:val="26"/>
        <w:rPr>
          <w:rFonts w:hint="eastAsia"/>
          <w:color w:val="000000"/>
          <w:highlight w:val="none"/>
        </w:rPr>
      </w:pPr>
    </w:p>
    <w:p w14:paraId="1D5B48B5">
      <w:pPr>
        <w:pStyle w:val="26"/>
        <w:rPr>
          <w:rFonts w:hint="eastAsia"/>
          <w:color w:val="000000"/>
          <w:highlight w:val="none"/>
        </w:rPr>
      </w:pPr>
    </w:p>
    <w:p w14:paraId="2EB240AB">
      <w:pPr>
        <w:pStyle w:val="26"/>
        <w:rPr>
          <w:rFonts w:hint="eastAsia"/>
          <w:color w:val="000000"/>
          <w:highlight w:val="none"/>
        </w:rPr>
      </w:pPr>
    </w:p>
    <w:p w14:paraId="42B41C5F">
      <w:pPr>
        <w:pageBreakBefore w:val="0"/>
        <w:numPr>
          <w:ilvl w:val="0"/>
          <w:numId w:val="0"/>
        </w:numPr>
        <w:kinsoku/>
        <w:wordWrap/>
        <w:overflowPunct/>
        <w:topLinePunct w:val="0"/>
        <w:bidi w:val="0"/>
        <w:spacing w:line="360" w:lineRule="auto"/>
        <w:ind w:leftChars="200" w:right="0" w:rightChars="0"/>
        <w:jc w:val="center"/>
        <w:outlineLvl w:val="1"/>
        <w:rPr>
          <w:rFonts w:hint="eastAsia" w:ascii="华文中宋" w:hAnsi="华文中宋" w:eastAsia="华文中宋" w:cs="华文中宋"/>
          <w:b/>
          <w:bCs/>
          <w:color w:val="000000" w:themeColor="text1"/>
          <w:sz w:val="36"/>
          <w:szCs w:val="36"/>
          <w:highlight w:val="none"/>
          <w14:textFill>
            <w14:solidFill>
              <w14:schemeClr w14:val="tx1"/>
            </w14:solidFill>
          </w14:textFill>
        </w:rPr>
      </w:pPr>
      <w:r>
        <w:rPr>
          <w:rFonts w:hint="eastAsia" w:ascii="华文中宋" w:hAnsi="华文中宋" w:eastAsia="华文中宋" w:cs="华文中宋"/>
          <w:b/>
          <w:bCs/>
          <w:color w:val="000000" w:themeColor="text1"/>
          <w:sz w:val="36"/>
          <w:szCs w:val="36"/>
          <w:highlight w:val="none"/>
          <w14:textFill>
            <w14:solidFill>
              <w14:schemeClr w14:val="tx1"/>
            </w14:solidFill>
          </w14:textFill>
        </w:rPr>
        <w:t>响应须知</w:t>
      </w:r>
    </w:p>
    <w:p w14:paraId="34306E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一、响应文件基本要求</w:t>
      </w:r>
    </w:p>
    <w:p w14:paraId="2DF226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供应商的响应文件必须满足本次采购的实质目的，完全实现所应有的全部要求。供应商若存在任何理解上无法确定之处，均应当按照谈判文件所规定的响应前的澄清等程序提出，否则，可能导致的任何不利后果均应当由供应商自行承担。</w:t>
      </w:r>
    </w:p>
    <w:p w14:paraId="34EFE7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二、响应文件格式</w:t>
      </w:r>
    </w:p>
    <w:p w14:paraId="5941B07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须按本</w:t>
      </w:r>
      <w:r>
        <w:rPr>
          <w:rFonts w:hint="eastAsia" w:ascii="仿宋" w:hAnsi="仿宋" w:eastAsia="仿宋" w:cs="仿宋"/>
          <w:color w:val="000000" w:themeColor="text1"/>
          <w:sz w:val="24"/>
          <w:szCs w:val="24"/>
          <w:highlight w:val="none"/>
          <w:lang w:val="en-US" w:eastAsia="zh-CN"/>
          <w14:textFill>
            <w14:solidFill>
              <w14:schemeClr w14:val="tx1"/>
            </w14:solidFill>
          </w14:textFill>
        </w:rPr>
        <w:t>谈判文件</w:t>
      </w:r>
      <w:r>
        <w:rPr>
          <w:rFonts w:hint="eastAsia" w:ascii="仿宋" w:hAnsi="仿宋" w:eastAsia="仿宋" w:cs="仿宋"/>
          <w:color w:val="000000" w:themeColor="text1"/>
          <w:sz w:val="24"/>
          <w:szCs w:val="24"/>
          <w:highlight w:val="none"/>
          <w14:textFill>
            <w14:solidFill>
              <w14:schemeClr w14:val="tx1"/>
            </w14:solidFill>
          </w14:textFill>
        </w:rPr>
        <w:t>中提供的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响应文件编制要求</w:t>
      </w:r>
      <w:r>
        <w:rPr>
          <w:rFonts w:hint="eastAsia" w:ascii="仿宋" w:hAnsi="仿宋" w:eastAsia="仿宋" w:cs="仿宋"/>
          <w:color w:val="000000" w:themeColor="text1"/>
          <w:sz w:val="24"/>
          <w:szCs w:val="24"/>
          <w:highlight w:val="none"/>
          <w14:textFill>
            <w14:solidFill>
              <w14:schemeClr w14:val="tx1"/>
            </w14:solidFill>
          </w14:textFill>
        </w:rPr>
        <w:t>（见</w:t>
      </w:r>
      <w:r>
        <w:rPr>
          <w:rFonts w:hint="eastAsia" w:ascii="仿宋" w:hAnsi="仿宋" w:eastAsia="仿宋" w:cs="仿宋"/>
          <w:color w:val="000000" w:themeColor="text1"/>
          <w:sz w:val="24"/>
          <w:szCs w:val="24"/>
          <w:highlight w:val="none"/>
          <w:lang w:val="en-US" w:eastAsia="zh-CN"/>
          <w14:textFill>
            <w14:solidFill>
              <w14:schemeClr w14:val="tx1"/>
            </w14:solidFill>
          </w14:textFill>
        </w:rPr>
        <w:t>第五章</w:t>
      </w:r>
      <w:r>
        <w:rPr>
          <w:rFonts w:hint="eastAsia" w:ascii="仿宋" w:hAnsi="仿宋" w:eastAsia="仿宋" w:cs="仿宋"/>
          <w:color w:val="000000" w:themeColor="text1"/>
          <w:sz w:val="24"/>
          <w:szCs w:val="24"/>
          <w:highlight w:val="none"/>
          <w14:textFill>
            <w14:solidFill>
              <w14:schemeClr w14:val="tx1"/>
            </w14:solidFill>
          </w14:textFill>
        </w:rPr>
        <w:t>）以A4版面统一编制（每份内页须按顺序加注页码），以及按有关要求提供相关的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证明</w:t>
      </w:r>
      <w:r>
        <w:rPr>
          <w:rFonts w:hint="eastAsia" w:ascii="仿宋" w:hAnsi="仿宋" w:eastAsia="仿宋" w:cs="仿宋"/>
          <w:color w:val="000000" w:themeColor="text1"/>
          <w:sz w:val="24"/>
          <w:szCs w:val="24"/>
          <w:highlight w:val="none"/>
          <w14:textFill>
            <w14:solidFill>
              <w14:schemeClr w14:val="tx1"/>
            </w14:solidFill>
          </w14:textFill>
        </w:rPr>
        <w:t>资料等。</w:t>
      </w:r>
    </w:p>
    <w:p w14:paraId="4621CA1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三、响应</w:t>
      </w:r>
      <w:r>
        <w:rPr>
          <w:rFonts w:hint="eastAsia" w:ascii="仿宋" w:hAnsi="仿宋" w:eastAsia="仿宋" w:cs="仿宋"/>
          <w:b/>
          <w:bCs/>
          <w:color w:val="000000" w:themeColor="text1"/>
          <w:sz w:val="24"/>
          <w:szCs w:val="24"/>
          <w:highlight w:val="none"/>
          <w14:textFill>
            <w14:solidFill>
              <w14:schemeClr w14:val="tx1"/>
            </w14:solidFill>
          </w14:textFill>
        </w:rPr>
        <w:t>文件的递交</w:t>
      </w:r>
    </w:p>
    <w:p w14:paraId="422B36F2">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（一）响应</w:t>
      </w:r>
      <w:r>
        <w:rPr>
          <w:rFonts w:hint="eastAsia" w:ascii="仿宋" w:hAnsi="仿宋" w:eastAsia="仿宋" w:cs="仿宋"/>
          <w:b w:val="0"/>
          <w:bCs/>
          <w:color w:val="000000" w:themeColor="text1"/>
          <w:sz w:val="24"/>
          <w:szCs w:val="24"/>
          <w:highlight w:val="none"/>
          <w14:textFill>
            <w14:solidFill>
              <w14:schemeClr w14:val="tx1"/>
            </w14:solidFill>
          </w14:textFill>
        </w:rPr>
        <w:t>文件的密封和标记</w:t>
      </w:r>
    </w:p>
    <w:p w14:paraId="027345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1.响应人</w:t>
      </w:r>
      <w:r>
        <w:rPr>
          <w:rFonts w:hint="eastAsia" w:ascii="仿宋" w:hAnsi="仿宋" w:eastAsia="仿宋" w:cs="仿宋"/>
          <w:color w:val="000000" w:themeColor="text1"/>
          <w:sz w:val="24"/>
          <w:szCs w:val="24"/>
          <w:highlight w:val="none"/>
          <w14:textFill>
            <w14:solidFill>
              <w14:schemeClr w14:val="tx1"/>
            </w14:solidFill>
          </w14:textFill>
        </w:rPr>
        <w:t>应将纸质</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14:textFill>
            <w14:solidFill>
              <w14:schemeClr w14:val="tx1"/>
            </w14:solidFill>
          </w14:textFill>
        </w:rPr>
        <w:t>文件正本和副本分开密封装在单独的信封中，每一信封封口处应加盖公章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并在每一密封的信封封面上按以下要求清楚标明：</w:t>
      </w:r>
    </w:p>
    <w:tbl>
      <w:tblPr>
        <w:tblStyle w:val="19"/>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1B3B2E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575" w:hRule="atLeast"/>
        </w:trPr>
        <w:tc>
          <w:tcPr>
            <w:tcW w:w="8936" w:type="dxa"/>
          </w:tcPr>
          <w:p w14:paraId="6B749912">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响应</w:t>
            </w:r>
            <w:r>
              <w:rPr>
                <w:rFonts w:hint="eastAsia" w:ascii="仿宋" w:hAnsi="仿宋" w:eastAsia="仿宋" w:cs="仿宋"/>
                <w:b/>
                <w:bCs/>
                <w:color w:val="000000" w:themeColor="text1"/>
                <w:sz w:val="30"/>
                <w:szCs w:val="30"/>
                <w:highlight w:val="none"/>
                <w14:textFill>
                  <w14:solidFill>
                    <w14:schemeClr w14:val="tx1"/>
                  </w14:solidFill>
                </w14:textFill>
              </w:rPr>
              <w:t>文件（正/副本）</w:t>
            </w:r>
          </w:p>
          <w:p w14:paraId="5A47C6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收件人：中山大学孙逸仙纪念医院</w:t>
            </w:r>
          </w:p>
          <w:p w14:paraId="43FA6353">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0"/>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项目名称：填写</w:t>
            </w:r>
            <w:r>
              <w:rPr>
                <w:rFonts w:hint="eastAsia" w:ascii="仿宋" w:hAnsi="仿宋" w:eastAsia="仿宋" w:cs="仿宋"/>
                <w:bCs/>
                <w:color w:val="000000" w:themeColor="text1"/>
                <w:szCs w:val="21"/>
                <w:highlight w:val="none"/>
                <w:lang w:eastAsia="zh-CN"/>
                <w14:textFill>
                  <w14:solidFill>
                    <w14:schemeClr w14:val="tx1"/>
                  </w14:solidFill>
                </w14:textFill>
              </w:rPr>
              <w:t>谈判文件</w:t>
            </w:r>
            <w:r>
              <w:rPr>
                <w:rFonts w:hint="eastAsia" w:ascii="仿宋" w:hAnsi="仿宋" w:eastAsia="仿宋" w:cs="仿宋"/>
                <w:bCs/>
                <w:color w:val="000000" w:themeColor="text1"/>
                <w:szCs w:val="21"/>
                <w:highlight w:val="none"/>
                <w14:textFill>
                  <w14:solidFill>
                    <w14:schemeClr w14:val="tx1"/>
                  </w14:solidFill>
                </w14:textFill>
              </w:rPr>
              <w:t>第一章“</w:t>
            </w:r>
            <w:r>
              <w:rPr>
                <w:rFonts w:hint="eastAsia" w:ascii="仿宋" w:hAnsi="仿宋" w:eastAsia="仿宋" w:cs="仿宋"/>
                <w:bCs/>
                <w:color w:val="000000" w:themeColor="text1"/>
                <w:szCs w:val="21"/>
                <w:highlight w:val="none"/>
                <w:lang w:val="en-US" w:eastAsia="zh-CN"/>
                <w14:textFill>
                  <w14:solidFill>
                    <w14:schemeClr w14:val="tx1"/>
                  </w14:solidFill>
                </w14:textFill>
              </w:rPr>
              <w:t>谈判</w:t>
            </w:r>
            <w:r>
              <w:rPr>
                <w:rFonts w:hint="eastAsia" w:ascii="仿宋" w:hAnsi="仿宋" w:eastAsia="仿宋" w:cs="仿宋"/>
                <w:bCs/>
                <w:color w:val="000000" w:themeColor="text1"/>
                <w:szCs w:val="21"/>
                <w:highlight w:val="none"/>
                <w14:textFill>
                  <w14:solidFill>
                    <w14:schemeClr w14:val="tx1"/>
                  </w14:solidFill>
                </w14:textFill>
              </w:rPr>
              <w:t>邀请函”中写明的</w:t>
            </w:r>
            <w:r>
              <w:rPr>
                <w:rFonts w:hint="eastAsia" w:ascii="仿宋" w:hAnsi="仿宋" w:eastAsia="仿宋" w:cs="仿宋"/>
                <w:bCs/>
                <w:color w:val="000000" w:themeColor="text1"/>
                <w:szCs w:val="20"/>
                <w:highlight w:val="none"/>
                <w14:textFill>
                  <w14:solidFill>
                    <w14:schemeClr w14:val="tx1"/>
                  </w14:solidFill>
                </w14:textFill>
              </w:rPr>
              <w:t>项目名称</w:t>
            </w:r>
          </w:p>
          <w:p w14:paraId="0E9BC4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响应人</w:t>
            </w:r>
            <w:r>
              <w:rPr>
                <w:rFonts w:hint="eastAsia" w:ascii="仿宋" w:hAnsi="仿宋" w:eastAsia="仿宋" w:cs="仿宋"/>
                <w:bCs/>
                <w:color w:val="000000" w:themeColor="text1"/>
                <w:szCs w:val="21"/>
                <w:highlight w:val="none"/>
                <w14:textFill>
                  <w14:solidFill>
                    <w14:schemeClr w14:val="tx1"/>
                  </w14:solidFill>
                </w14:textFill>
              </w:rPr>
              <w:t>名称（</w:t>
            </w:r>
            <w:r>
              <w:rPr>
                <w:rFonts w:hint="eastAsia" w:ascii="仿宋" w:hAnsi="仿宋" w:eastAsia="仿宋" w:cs="仿宋"/>
                <w:bCs/>
                <w:color w:val="000000" w:themeColor="text1"/>
                <w:szCs w:val="21"/>
                <w:highlight w:val="none"/>
                <w:lang w:val="en-US" w:eastAsia="zh-CN"/>
                <w14:textFill>
                  <w14:solidFill>
                    <w14:schemeClr w14:val="tx1"/>
                  </w14:solidFill>
                </w14:textFill>
              </w:rPr>
              <w:t>加</w:t>
            </w:r>
            <w:r>
              <w:rPr>
                <w:rFonts w:hint="eastAsia" w:ascii="仿宋" w:hAnsi="仿宋" w:eastAsia="仿宋" w:cs="仿宋"/>
                <w:bCs/>
                <w:color w:val="000000" w:themeColor="text1"/>
                <w:szCs w:val="21"/>
                <w:highlight w:val="none"/>
                <w14:textFill>
                  <w14:solidFill>
                    <w14:schemeClr w14:val="tx1"/>
                  </w14:solidFill>
                </w14:textFill>
              </w:rPr>
              <w:t>盖</w:t>
            </w:r>
            <w:r>
              <w:rPr>
                <w:rFonts w:hint="eastAsia" w:ascii="仿宋" w:hAnsi="仿宋" w:eastAsia="仿宋" w:cs="仿宋"/>
                <w:bCs/>
                <w:color w:val="000000" w:themeColor="text1"/>
                <w:szCs w:val="21"/>
                <w:highlight w:val="none"/>
                <w:lang w:val="en-US" w:eastAsia="zh-CN"/>
                <w14:textFill>
                  <w14:solidFill>
                    <w14:schemeClr w14:val="tx1"/>
                  </w14:solidFill>
                </w14:textFill>
              </w:rPr>
              <w:t>公</w:t>
            </w:r>
            <w:r>
              <w:rPr>
                <w:rFonts w:hint="eastAsia" w:ascii="仿宋" w:hAnsi="仿宋" w:eastAsia="仿宋" w:cs="仿宋"/>
                <w:bCs/>
                <w:color w:val="000000" w:themeColor="text1"/>
                <w:szCs w:val="21"/>
                <w:highlight w:val="none"/>
                <w14:textFill>
                  <w14:solidFill>
                    <w14:schemeClr w14:val="tx1"/>
                  </w14:solidFill>
                </w14:textFill>
              </w:rPr>
              <w:t>章）：</w:t>
            </w:r>
          </w:p>
          <w:p w14:paraId="0D9A9D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 系 人：</w:t>
            </w:r>
          </w:p>
          <w:p w14:paraId="0A6BB9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联系电话：</w:t>
            </w:r>
          </w:p>
          <w:p w14:paraId="55AEFCAC">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4"/>
                <w:szCs w:val="36"/>
                <w:highlight w:val="none"/>
                <w14:textFill>
                  <w14:solidFill>
                    <w14:schemeClr w14:val="tx1"/>
                  </w14:solidFill>
                </w14:textFill>
              </w:rPr>
              <w:t>本项目</w:t>
            </w:r>
            <w:r>
              <w:rPr>
                <w:rFonts w:hint="eastAsia" w:ascii="仿宋" w:hAnsi="仿宋" w:eastAsia="仿宋" w:cs="仿宋"/>
                <w:b/>
                <w:bCs/>
                <w:color w:val="000000" w:themeColor="text1"/>
                <w:sz w:val="24"/>
                <w:szCs w:val="36"/>
                <w:highlight w:val="none"/>
                <w:lang w:val="en-US" w:eastAsia="zh-CN"/>
                <w14:textFill>
                  <w14:solidFill>
                    <w14:schemeClr w14:val="tx1"/>
                  </w14:solidFill>
                </w14:textFill>
              </w:rPr>
              <w:t>谈判会议</w:t>
            </w:r>
            <w:r>
              <w:rPr>
                <w:rFonts w:hint="eastAsia" w:ascii="仿宋" w:hAnsi="仿宋" w:eastAsia="仿宋" w:cs="仿宋"/>
                <w:b/>
                <w:bCs/>
                <w:color w:val="000000" w:themeColor="text1"/>
                <w:sz w:val="24"/>
                <w:szCs w:val="36"/>
                <w:highlight w:val="none"/>
                <w:lang w:eastAsia="zh-CN"/>
                <w14:textFill>
                  <w14:solidFill>
                    <w14:schemeClr w14:val="tx1"/>
                  </w14:solidFill>
                </w14:textFill>
              </w:rPr>
              <w:t>之前</w:t>
            </w:r>
            <w:r>
              <w:rPr>
                <w:rFonts w:hint="eastAsia" w:ascii="仿宋" w:hAnsi="仿宋" w:eastAsia="仿宋" w:cs="仿宋"/>
                <w:b/>
                <w:bCs/>
                <w:color w:val="000000" w:themeColor="text1"/>
                <w:sz w:val="24"/>
                <w:szCs w:val="36"/>
                <w:highlight w:val="none"/>
                <w14:textFill>
                  <w14:solidFill>
                    <w14:schemeClr w14:val="tx1"/>
                  </w14:solidFill>
                </w14:textFill>
              </w:rPr>
              <w:t>不得启封</w:t>
            </w:r>
          </w:p>
        </w:tc>
      </w:tr>
    </w:tbl>
    <w:p w14:paraId="4B71CBA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2.为保证响应信息在谈判前不被透露，响应人应将《首次报价表》单独封装，信封封口处加盖公章，并在信封封面上按以下要求清楚标明：</w:t>
      </w:r>
    </w:p>
    <w:tbl>
      <w:tblPr>
        <w:tblStyle w:val="19"/>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0D90F6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7382D73B">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首次报价表信封</w:t>
            </w:r>
          </w:p>
          <w:p w14:paraId="1E9691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收件人：中山大学孙逸仙纪念医院</w:t>
            </w:r>
          </w:p>
          <w:p w14:paraId="39AC68E9">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0"/>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项目名称：填写</w:t>
            </w:r>
            <w:r>
              <w:rPr>
                <w:rFonts w:hint="eastAsia" w:ascii="仿宋" w:hAnsi="仿宋" w:eastAsia="仿宋" w:cs="仿宋"/>
                <w:bCs/>
                <w:color w:val="000000" w:themeColor="text1"/>
                <w:szCs w:val="21"/>
                <w:highlight w:val="none"/>
                <w:lang w:eastAsia="zh-CN"/>
                <w14:textFill>
                  <w14:solidFill>
                    <w14:schemeClr w14:val="tx1"/>
                  </w14:solidFill>
                </w14:textFill>
              </w:rPr>
              <w:t>谈判文件</w:t>
            </w:r>
            <w:r>
              <w:rPr>
                <w:rFonts w:hint="eastAsia" w:ascii="仿宋" w:hAnsi="仿宋" w:eastAsia="仿宋" w:cs="仿宋"/>
                <w:bCs/>
                <w:color w:val="000000" w:themeColor="text1"/>
                <w:szCs w:val="21"/>
                <w:highlight w:val="none"/>
                <w14:textFill>
                  <w14:solidFill>
                    <w14:schemeClr w14:val="tx1"/>
                  </w14:solidFill>
                </w14:textFill>
              </w:rPr>
              <w:t>第一章“</w:t>
            </w:r>
            <w:r>
              <w:rPr>
                <w:rFonts w:hint="eastAsia" w:ascii="仿宋" w:hAnsi="仿宋" w:eastAsia="仿宋" w:cs="仿宋"/>
                <w:bCs/>
                <w:color w:val="000000" w:themeColor="text1"/>
                <w:szCs w:val="21"/>
                <w:highlight w:val="none"/>
                <w:lang w:val="en-US" w:eastAsia="zh-CN"/>
                <w14:textFill>
                  <w14:solidFill>
                    <w14:schemeClr w14:val="tx1"/>
                  </w14:solidFill>
                </w14:textFill>
              </w:rPr>
              <w:t>谈判</w:t>
            </w:r>
            <w:r>
              <w:rPr>
                <w:rFonts w:hint="eastAsia" w:ascii="仿宋" w:hAnsi="仿宋" w:eastAsia="仿宋" w:cs="仿宋"/>
                <w:bCs/>
                <w:color w:val="000000" w:themeColor="text1"/>
                <w:szCs w:val="21"/>
                <w:highlight w:val="none"/>
                <w14:textFill>
                  <w14:solidFill>
                    <w14:schemeClr w14:val="tx1"/>
                  </w14:solidFill>
                </w14:textFill>
              </w:rPr>
              <w:t>邀请函”中写明的</w:t>
            </w:r>
            <w:r>
              <w:rPr>
                <w:rFonts w:hint="eastAsia" w:ascii="仿宋" w:hAnsi="仿宋" w:eastAsia="仿宋" w:cs="仿宋"/>
                <w:bCs/>
                <w:color w:val="000000" w:themeColor="text1"/>
                <w:szCs w:val="20"/>
                <w:highlight w:val="none"/>
                <w14:textFill>
                  <w14:solidFill>
                    <w14:schemeClr w14:val="tx1"/>
                  </w14:solidFill>
                </w14:textFill>
              </w:rPr>
              <w:t>项目名称</w:t>
            </w:r>
          </w:p>
          <w:p w14:paraId="563A3E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响应人</w:t>
            </w:r>
            <w:r>
              <w:rPr>
                <w:rFonts w:hint="eastAsia" w:ascii="仿宋" w:hAnsi="仿宋" w:eastAsia="仿宋" w:cs="仿宋"/>
                <w:bCs/>
                <w:color w:val="000000" w:themeColor="text1"/>
                <w:szCs w:val="21"/>
                <w:highlight w:val="none"/>
                <w14:textFill>
                  <w14:solidFill>
                    <w14:schemeClr w14:val="tx1"/>
                  </w14:solidFill>
                </w14:textFill>
              </w:rPr>
              <w:t>名称（</w:t>
            </w:r>
            <w:r>
              <w:rPr>
                <w:rFonts w:hint="eastAsia" w:ascii="仿宋" w:hAnsi="仿宋" w:eastAsia="仿宋" w:cs="仿宋"/>
                <w:bCs/>
                <w:color w:val="000000" w:themeColor="text1"/>
                <w:szCs w:val="21"/>
                <w:highlight w:val="none"/>
                <w:lang w:val="en-US" w:eastAsia="zh-CN"/>
                <w14:textFill>
                  <w14:solidFill>
                    <w14:schemeClr w14:val="tx1"/>
                  </w14:solidFill>
                </w14:textFill>
              </w:rPr>
              <w:t>加</w:t>
            </w:r>
            <w:r>
              <w:rPr>
                <w:rFonts w:hint="eastAsia" w:ascii="仿宋" w:hAnsi="仿宋" w:eastAsia="仿宋" w:cs="仿宋"/>
                <w:bCs/>
                <w:color w:val="000000" w:themeColor="text1"/>
                <w:szCs w:val="21"/>
                <w:highlight w:val="none"/>
                <w14:textFill>
                  <w14:solidFill>
                    <w14:schemeClr w14:val="tx1"/>
                  </w14:solidFill>
                </w14:textFill>
              </w:rPr>
              <w:t>盖</w:t>
            </w:r>
            <w:r>
              <w:rPr>
                <w:rFonts w:hint="eastAsia" w:ascii="仿宋" w:hAnsi="仿宋" w:eastAsia="仿宋" w:cs="仿宋"/>
                <w:bCs/>
                <w:color w:val="000000" w:themeColor="text1"/>
                <w:szCs w:val="21"/>
                <w:highlight w:val="none"/>
                <w:lang w:val="en-US" w:eastAsia="zh-CN"/>
                <w14:textFill>
                  <w14:solidFill>
                    <w14:schemeClr w14:val="tx1"/>
                  </w14:solidFill>
                </w14:textFill>
              </w:rPr>
              <w:t>公</w:t>
            </w:r>
            <w:r>
              <w:rPr>
                <w:rFonts w:hint="eastAsia" w:ascii="仿宋" w:hAnsi="仿宋" w:eastAsia="仿宋" w:cs="仿宋"/>
                <w:bCs/>
                <w:color w:val="000000" w:themeColor="text1"/>
                <w:szCs w:val="21"/>
                <w:highlight w:val="none"/>
                <w14:textFill>
                  <w14:solidFill>
                    <w14:schemeClr w14:val="tx1"/>
                  </w14:solidFill>
                </w14:textFill>
              </w:rPr>
              <w:t>章）：</w:t>
            </w:r>
          </w:p>
          <w:p w14:paraId="61393C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 系 人：</w:t>
            </w:r>
          </w:p>
          <w:p w14:paraId="116F2B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联系电话：</w:t>
            </w:r>
          </w:p>
          <w:p w14:paraId="7EB9C331">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4"/>
                <w:szCs w:val="36"/>
                <w:highlight w:val="none"/>
                <w14:textFill>
                  <w14:solidFill>
                    <w14:schemeClr w14:val="tx1"/>
                  </w14:solidFill>
                </w14:textFill>
              </w:rPr>
              <w:t>本项目</w:t>
            </w:r>
            <w:r>
              <w:rPr>
                <w:rFonts w:hint="eastAsia" w:ascii="仿宋" w:hAnsi="仿宋" w:eastAsia="仿宋" w:cs="仿宋"/>
                <w:b/>
                <w:bCs/>
                <w:color w:val="000000" w:themeColor="text1"/>
                <w:sz w:val="24"/>
                <w:szCs w:val="36"/>
                <w:highlight w:val="none"/>
                <w:lang w:val="en-US" w:eastAsia="zh-CN"/>
                <w14:textFill>
                  <w14:solidFill>
                    <w14:schemeClr w14:val="tx1"/>
                  </w14:solidFill>
                </w14:textFill>
              </w:rPr>
              <w:t>谈判会议</w:t>
            </w:r>
            <w:r>
              <w:rPr>
                <w:rFonts w:hint="eastAsia" w:ascii="仿宋" w:hAnsi="仿宋" w:eastAsia="仿宋" w:cs="仿宋"/>
                <w:b/>
                <w:bCs/>
                <w:color w:val="000000" w:themeColor="text1"/>
                <w:sz w:val="24"/>
                <w:szCs w:val="36"/>
                <w:highlight w:val="none"/>
                <w:lang w:eastAsia="zh-CN"/>
                <w14:textFill>
                  <w14:solidFill>
                    <w14:schemeClr w14:val="tx1"/>
                  </w14:solidFill>
                </w14:textFill>
              </w:rPr>
              <w:t>之前</w:t>
            </w:r>
            <w:r>
              <w:rPr>
                <w:rFonts w:hint="eastAsia" w:ascii="仿宋" w:hAnsi="仿宋" w:eastAsia="仿宋" w:cs="仿宋"/>
                <w:b/>
                <w:bCs/>
                <w:color w:val="000000" w:themeColor="text1"/>
                <w:sz w:val="24"/>
                <w:szCs w:val="36"/>
                <w:highlight w:val="none"/>
                <w14:textFill>
                  <w14:solidFill>
                    <w14:schemeClr w14:val="tx1"/>
                  </w14:solidFill>
                </w14:textFill>
              </w:rPr>
              <w:t>不得启封</w:t>
            </w:r>
          </w:p>
        </w:tc>
      </w:tr>
    </w:tbl>
    <w:p w14:paraId="58B3816C">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654C1D1D">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4821475F">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1A88B4B4">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1B9929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47D3060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5C89593E">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val="en-US" w:eastAsia="zh-CN"/>
        </w:rPr>
        <w:t>谈判</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08AAB17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45C106F7">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1F884A3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谈判邀请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7239D96B">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谈判会议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26B77E03">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4F378A1A">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5B86AC14">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w:t>
      </w:r>
      <w:r>
        <w:rPr>
          <w:rFonts w:hint="eastAsia" w:ascii="仿宋" w:hAnsi="仿宋" w:eastAsia="仿宋" w:cs="仿宋"/>
          <w:b w:val="0"/>
          <w:bCs/>
          <w:color w:val="000000"/>
          <w:sz w:val="24"/>
          <w:szCs w:val="24"/>
          <w:highlight w:val="none"/>
          <w:lang w:val="en-US" w:eastAsia="zh-CN"/>
        </w:rPr>
        <w:t>谈判会议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73BBD04F">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43FD93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23B32A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四、谈判会议和评审原则</w:t>
      </w:r>
    </w:p>
    <w:p w14:paraId="51F55D3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（一）组织谈判会议</w:t>
      </w:r>
    </w:p>
    <w:p w14:paraId="3D6B7656">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采购人按照约定的时间、地点组织谈判会议。原则上应有采购人代表和响应人代表参加，参加谈判会议的代表应签到以证明出席。通过资格、符合性、“★”条款响应审查的响应人不足3家的，我院将组织本项目第二次公告挂网。如第二次公告挂网后，依然不足3家的，按医院相关管理办法执行。</w:t>
      </w:r>
    </w:p>
    <w:p w14:paraId="31C2E570">
      <w:pPr>
        <w:pStyle w:val="26"/>
        <w:keepNext w:val="0"/>
        <w:keepLines w:val="0"/>
        <w:pageBreakBefore w:val="0"/>
        <w:widowControl w:val="0"/>
        <w:tabs>
          <w:tab w:val="left" w:pos="7980"/>
        </w:tabs>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2.谈判会议正式开始前时，由响应人或其推选的代表检查响应文件的密封情况。</w:t>
      </w:r>
      <w:r>
        <w:rPr>
          <w:rFonts w:hint="eastAsia" w:ascii="仿宋" w:hAnsi="仿宋" w:eastAsia="仿宋" w:cs="仿宋"/>
          <w:b w:val="0"/>
          <w:bCs w:val="0"/>
          <w:color w:val="auto"/>
          <w:sz w:val="24"/>
          <w:szCs w:val="24"/>
          <w:highlight w:val="none"/>
          <w:lang w:val="en-US" w:eastAsia="zh-CN"/>
        </w:rPr>
        <w:t>在谈判过程中，评审委员会应当严格遵循保密原则，未经响应供应商同意不得向任何人透露当事人技术、价格和其他重要信息。</w:t>
      </w:r>
    </w:p>
    <w:p w14:paraId="547F8DB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评审委员会根据谈判文件规定的程序、评定成交的标准等事项与实质性响应谈判文件要求的供应商进行谈判。评审委员会所有成员应当集中与单一供应商分别进行谈判，并给予所有参加谈判的供应商平等的谈判机会。</w:t>
      </w:r>
    </w:p>
    <w:p w14:paraId="62F0D175">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在谈判过程中，评审委员会可以根据谈判文件和谈判情况实质性变动采购需求中的技术、服务要求以及合同条款，但不得变动谈判文件中的其他内容。实质性变动的内容，须经采购人代表确认。在此情况下，评审委员会将以书面形式将修改内容同时通知所有参加谈判的供应商。对谈判文件作出的实质性变动是谈判文件的有效组成部分。</w:t>
      </w:r>
    </w:p>
    <w:p w14:paraId="69A85136">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5.供应商可以根据上一轮谈判情况对谈判报价内容进行调整和提出新的报价。谈判结束后，所有继续参加谈判的供应商在规定时间内提交最后报价。最后报价是供应商响应文件的有效组成部分。</w:t>
      </w:r>
    </w:p>
    <w:p w14:paraId="3E281159">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6.最后报价时间过后，供应商不得对报价进行修改、撤回或撤销。</w:t>
      </w:r>
    </w:p>
    <w:p w14:paraId="66B59EFF">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7.评审委员会应当根据评审记录和评审结果编写评审报告。</w:t>
      </w:r>
    </w:p>
    <w:p w14:paraId="277BFBB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（二）评审原则</w:t>
      </w:r>
    </w:p>
    <w:p w14:paraId="74007A9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1.评审委员会由采购人组织的评审专家组成，评审专家从专家库中随机抽取。</w:t>
      </w:r>
    </w:p>
    <w:p w14:paraId="44B6516C">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b w:val="0"/>
          <w:bCs w:val="0"/>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2.本次评审采用最低价成交法，</w:t>
      </w:r>
      <w:r>
        <w:rPr>
          <w:rFonts w:hint="eastAsia" w:ascii="仿宋" w:hAnsi="仿宋" w:eastAsia="仿宋" w:cs="仿宋"/>
          <w:b/>
          <w:bCs/>
          <w:color w:val="auto"/>
          <w:sz w:val="24"/>
          <w:szCs w:val="24"/>
          <w:highlight w:val="none"/>
          <w:lang w:val="en-US" w:eastAsia="zh-CN"/>
        </w:rPr>
        <w:t>设有现场谈判报价环节，最终报价以现场谈判的最终报价为准。</w:t>
      </w:r>
    </w:p>
    <w:p w14:paraId="09EF0B4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3.采购人根据《资格审查表》内容逐条对响应文件的资格性进行评审，审查每份响应文件是否满足资格要求。</w:t>
      </w:r>
    </w:p>
    <w:p w14:paraId="67C4BDD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评审委员会根据《符合性审查表》内容逐条对响应文件进行符合性评审，审查每份响应文件是否符合谈判文件的商务、技术中的实质性要求。对符合性评审认定意见不一致的，评审委员会按少数服从多数原则表决决定。</w:t>
      </w:r>
    </w:p>
    <w:p w14:paraId="6894C21F">
      <w:pPr>
        <w:pStyle w:val="27"/>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5.资格审查或符合性审查不通过的均视为无效响应。</w:t>
      </w:r>
    </w:p>
    <w:p w14:paraId="7C186C8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6.评审内容：评审委员会对符合资质要求且实质上响应谈判文件要求的响应文件进行评价和比较。    </w:t>
      </w:r>
    </w:p>
    <w:p w14:paraId="76D72572">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7.资格审查</w:t>
      </w:r>
    </w:p>
    <w:p w14:paraId="4AEB7F39">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themeColor="text1"/>
          <w:sz w:val="24"/>
          <w:szCs w:val="28"/>
          <w:highlight w:val="none"/>
          <w14:textFill>
            <w14:solidFill>
              <w14:schemeClr w14:val="tx1"/>
            </w14:solidFill>
          </w14:textFill>
        </w:rPr>
      </w:pPr>
      <w:r>
        <w:rPr>
          <w:rFonts w:hint="eastAsia" w:ascii="仿宋" w:hAnsi="仿宋" w:eastAsia="仿宋" w:cs="仿宋"/>
          <w:b/>
          <w:bCs w:val="0"/>
          <w:color w:val="000000" w:themeColor="text1"/>
          <w:sz w:val="24"/>
          <w:szCs w:val="28"/>
          <w:highlight w:val="none"/>
          <w14:textFill>
            <w14:solidFill>
              <w14:schemeClr w14:val="tx1"/>
            </w14:solidFill>
          </w14:textFill>
        </w:rPr>
        <w:t>《资格审查表》</w:t>
      </w:r>
    </w:p>
    <w:tbl>
      <w:tblPr>
        <w:tblStyle w:val="1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4AE9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6B1AA6F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序号</w:t>
            </w:r>
          </w:p>
        </w:tc>
        <w:tc>
          <w:tcPr>
            <w:tcW w:w="8731" w:type="dxa"/>
          </w:tcPr>
          <w:p w14:paraId="631C1A2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内容</w:t>
            </w:r>
          </w:p>
        </w:tc>
      </w:tr>
      <w:tr w14:paraId="0BD4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14:paraId="49A61DB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1</w:t>
            </w:r>
          </w:p>
        </w:tc>
        <w:tc>
          <w:tcPr>
            <w:tcW w:w="8731" w:type="dxa"/>
          </w:tcPr>
          <w:p w14:paraId="549390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响应</w:t>
            </w:r>
            <w:r>
              <w:rPr>
                <w:rFonts w:hint="eastAsia" w:ascii="仿宋" w:hAnsi="仿宋" w:eastAsia="仿宋" w:cs="仿宋"/>
                <w:color w:val="000000" w:themeColor="text1"/>
                <w:sz w:val="20"/>
                <w:szCs w:val="20"/>
                <w:highlight w:val="none"/>
                <w14:textFill>
                  <w14:solidFill>
                    <w14:schemeClr w14:val="tx1"/>
                  </w14:solidFill>
                </w14:textFill>
              </w:rPr>
              <w:t>人应具备以下条件：（</w:t>
            </w:r>
            <w:r>
              <w:rPr>
                <w:rFonts w:hint="eastAsia" w:ascii="仿宋" w:hAnsi="仿宋" w:eastAsia="仿宋" w:cs="仿宋"/>
                <w:color w:val="000000" w:themeColor="text1"/>
                <w:sz w:val="20"/>
                <w:szCs w:val="20"/>
                <w:highlight w:val="none"/>
                <w:lang w:eastAsia="zh-CN"/>
                <w14:textFill>
                  <w14:solidFill>
                    <w14:schemeClr w14:val="tx1"/>
                  </w14:solidFill>
                </w14:textFill>
              </w:rPr>
              <w:t>响应人</w:t>
            </w:r>
            <w:r>
              <w:rPr>
                <w:rFonts w:hint="eastAsia" w:ascii="仿宋" w:hAnsi="仿宋" w:eastAsia="仿宋" w:cs="仿宋"/>
                <w:color w:val="000000" w:themeColor="text1"/>
                <w:sz w:val="20"/>
                <w:szCs w:val="20"/>
                <w:highlight w:val="none"/>
                <w14:textFill>
                  <w14:solidFill>
                    <w14:schemeClr w14:val="tx1"/>
                  </w14:solidFill>
                </w14:textFill>
              </w:rPr>
              <w:t>出具有效的承诺函并加盖公章）</w:t>
            </w:r>
          </w:p>
          <w:p w14:paraId="2B0417F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①具有良好的商业信誉和健全的财务会计制度；</w:t>
            </w:r>
          </w:p>
          <w:p w14:paraId="506230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②有依法缴纳税收和社会保障资金的良好记录；</w:t>
            </w:r>
          </w:p>
          <w:p w14:paraId="506223E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③具备履行合同所必需的设备和专业技术能力；</w:t>
            </w:r>
          </w:p>
          <w:p w14:paraId="65904B5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④参加本次采购活动前三年内，在经营活动中没有重大违法记录。</w:t>
            </w:r>
          </w:p>
        </w:tc>
      </w:tr>
      <w:tr w14:paraId="0CE8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7B9B615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p>
          <w:p w14:paraId="33FF843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2</w:t>
            </w:r>
          </w:p>
        </w:tc>
        <w:tc>
          <w:tcPr>
            <w:tcW w:w="8731" w:type="dxa"/>
          </w:tcPr>
          <w:p w14:paraId="6263258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lang w:eastAsia="zh-CN"/>
              </w:rPr>
            </w:pPr>
            <w:r>
              <w:rPr>
                <w:rFonts w:hint="eastAsia" w:ascii="仿宋" w:hAnsi="仿宋" w:eastAsia="仿宋" w:cs="仿宋"/>
                <w:sz w:val="20"/>
                <w:szCs w:val="20"/>
                <w:lang w:val="en-US" w:eastAsia="zh-CN"/>
              </w:rPr>
              <w:t>评审</w:t>
            </w:r>
            <w:r>
              <w:rPr>
                <w:rFonts w:hint="eastAsia" w:ascii="仿宋" w:hAnsi="仿宋" w:eastAsia="仿宋" w:cs="仿宋"/>
                <w:sz w:val="20"/>
                <w:szCs w:val="20"/>
                <w:lang w:val="zh-CN"/>
              </w:rPr>
              <w:t>现场查询：经</w:t>
            </w:r>
            <w:r>
              <w:rPr>
                <w:rFonts w:hint="eastAsia" w:ascii="仿宋" w:hAnsi="仿宋" w:eastAsia="仿宋" w:cs="仿宋"/>
                <w:sz w:val="20"/>
                <w:szCs w:val="20"/>
                <w:lang w:val="en-US" w:eastAsia="zh-CN"/>
              </w:rPr>
              <w:t>查询</w:t>
            </w:r>
            <w:r>
              <w:rPr>
                <w:rFonts w:hint="eastAsia" w:ascii="仿宋" w:hAnsi="仿宋" w:eastAsia="仿宋" w:cs="仿宋"/>
                <w:sz w:val="20"/>
                <w:szCs w:val="20"/>
                <w:lang w:val="zh-CN"/>
              </w:rPr>
              <w:t>“信用中国”网站（www.creditchina.gov.cn）网站</w:t>
            </w:r>
            <w:r>
              <w:rPr>
                <w:rFonts w:hint="eastAsia" w:ascii="仿宋" w:hAnsi="仿宋" w:eastAsia="仿宋" w:cs="仿宋"/>
                <w:sz w:val="20"/>
                <w:szCs w:val="20"/>
                <w:lang w:val="en-US" w:eastAsia="zh-CN"/>
              </w:rPr>
              <w:t>和</w:t>
            </w:r>
            <w:r>
              <w:rPr>
                <w:rFonts w:hint="eastAsia" w:ascii="仿宋" w:hAnsi="仿宋" w:eastAsia="仿宋" w:cs="仿宋"/>
                <w:sz w:val="20"/>
                <w:szCs w:val="20"/>
                <w:lang w:val="zh-CN"/>
              </w:rPr>
              <w:t>“中国政府采购网”网站（www.ccgp.gov.cn），</w:t>
            </w:r>
            <w:r>
              <w:rPr>
                <w:rFonts w:hint="eastAsia" w:ascii="仿宋" w:hAnsi="仿宋" w:eastAsia="仿宋" w:cs="仿宋"/>
                <w:sz w:val="20"/>
                <w:szCs w:val="20"/>
                <w:lang w:val="en-US" w:eastAsia="zh-CN"/>
              </w:rPr>
              <w:t>被</w:t>
            </w:r>
            <w:r>
              <w:rPr>
                <w:rFonts w:hint="eastAsia" w:ascii="仿宋" w:hAnsi="仿宋" w:eastAsia="仿宋" w:cs="仿宋"/>
                <w:sz w:val="20"/>
                <w:szCs w:val="20"/>
                <w:lang w:val="zh-CN"/>
              </w:rPr>
              <w:t>列入失信被执行人、重大税收违法失信主体、政府采购严重违法失信行为记录名单（处罚期限尚未届满的）的供应商，</w:t>
            </w:r>
            <w:r>
              <w:rPr>
                <w:rFonts w:hint="eastAsia" w:ascii="仿宋" w:hAnsi="仿宋" w:eastAsia="仿宋" w:cs="仿宋"/>
                <w:sz w:val="20"/>
                <w:szCs w:val="20"/>
                <w:lang w:val="en-US" w:eastAsia="zh-CN"/>
              </w:rPr>
              <w:t>均</w:t>
            </w:r>
            <w:r>
              <w:rPr>
                <w:rFonts w:hint="eastAsia" w:ascii="仿宋" w:hAnsi="仿宋" w:eastAsia="仿宋" w:cs="仿宋"/>
                <w:sz w:val="20"/>
                <w:szCs w:val="20"/>
                <w:lang w:val="zh-CN"/>
              </w:rPr>
              <w:t>不得参加本采购项目。（</w:t>
            </w:r>
            <w:r>
              <w:rPr>
                <w:rFonts w:hint="eastAsia" w:ascii="仿宋" w:hAnsi="仿宋" w:eastAsia="仿宋" w:cs="仿宋"/>
                <w:sz w:val="20"/>
                <w:szCs w:val="20"/>
                <w:lang w:val="en-US" w:eastAsia="zh-CN"/>
              </w:rPr>
              <w:t>响应人无需提供证明资料，以谈判会议现场查询结果为准</w:t>
            </w:r>
            <w:r>
              <w:rPr>
                <w:rFonts w:hint="eastAsia" w:ascii="仿宋" w:hAnsi="仿宋" w:eastAsia="仿宋" w:cs="仿宋"/>
                <w:sz w:val="20"/>
                <w:szCs w:val="20"/>
                <w:lang w:val="zh-CN"/>
              </w:rPr>
              <w:t>）</w:t>
            </w:r>
          </w:p>
        </w:tc>
      </w:tr>
      <w:tr w14:paraId="245B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72577A3F">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themeColor="text1"/>
                <w:sz w:val="20"/>
                <w:szCs w:val="20"/>
                <w:highlight w:val="none"/>
                <w:lang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3</w:t>
            </w:r>
          </w:p>
        </w:tc>
        <w:tc>
          <w:tcPr>
            <w:tcW w:w="8731" w:type="dxa"/>
          </w:tcPr>
          <w:p w14:paraId="78D067F7">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z w:val="20"/>
                <w:szCs w:val="20"/>
                <w:highlight w:val="none"/>
                <w14:textFill>
                  <w14:solidFill>
                    <w14:schemeClr w14:val="tx1"/>
                  </w14:solidFill>
                </w14:textFill>
              </w:rPr>
              <w:t>法定代表人或单位负责人为同一人或者存在直接控股、管理关系的不同响应单位，不得参加同一合同项下的采购活动。（</w:t>
            </w:r>
            <w:r>
              <w:rPr>
                <w:rFonts w:hint="eastAsia" w:ascii="仿宋" w:hAnsi="仿宋" w:eastAsia="仿宋" w:cs="仿宋"/>
                <w:color w:val="000000" w:themeColor="text1"/>
                <w:sz w:val="20"/>
                <w:szCs w:val="20"/>
                <w:highlight w:val="none"/>
                <w:lang w:eastAsia="zh-CN"/>
                <w14:textFill>
                  <w14:solidFill>
                    <w14:schemeClr w14:val="tx1"/>
                  </w14:solidFill>
                </w14:textFill>
              </w:rPr>
              <w:t>响应人</w:t>
            </w:r>
            <w:r>
              <w:rPr>
                <w:rFonts w:hint="eastAsia" w:ascii="仿宋" w:hAnsi="仿宋" w:eastAsia="仿宋" w:cs="仿宋"/>
                <w:color w:val="000000" w:themeColor="text1"/>
                <w:sz w:val="20"/>
                <w:szCs w:val="20"/>
                <w:highlight w:val="none"/>
                <w14:textFill>
                  <w14:solidFill>
                    <w14:schemeClr w14:val="tx1"/>
                  </w14:solidFill>
                </w14:textFill>
              </w:rPr>
              <w:t>出具有效的承诺函并加盖公章）</w:t>
            </w:r>
          </w:p>
        </w:tc>
      </w:tr>
      <w:tr w14:paraId="2F0A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2466684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4</w:t>
            </w:r>
          </w:p>
        </w:tc>
        <w:tc>
          <w:tcPr>
            <w:tcW w:w="8731" w:type="dxa"/>
          </w:tcPr>
          <w:p w14:paraId="15ADE45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val="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14:paraId="3BE2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114A1D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5</w:t>
            </w:r>
          </w:p>
        </w:tc>
        <w:tc>
          <w:tcPr>
            <w:tcW w:w="8731" w:type="dxa"/>
          </w:tcPr>
          <w:p w14:paraId="1E2366C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本项目不接受联合体响应，</w:t>
            </w:r>
            <w:r>
              <w:rPr>
                <w:rFonts w:hint="eastAsia" w:ascii="仿宋" w:hAnsi="仿宋" w:eastAsia="仿宋" w:cs="仿宋"/>
                <w:color w:val="000000" w:themeColor="text1"/>
                <w:sz w:val="20"/>
                <w:szCs w:val="20"/>
                <w:highlight w:val="none"/>
                <w:lang w:val="en-US" w:eastAsia="zh-CN"/>
                <w14:textFill>
                  <w14:solidFill>
                    <w14:schemeClr w14:val="tx1"/>
                  </w14:solidFill>
                </w14:textFill>
              </w:rPr>
              <w:t>成交供应商不得以任何方式转包或分包本项目</w:t>
            </w:r>
            <w:r>
              <w:rPr>
                <w:rFonts w:hint="eastAsia" w:ascii="仿宋" w:hAnsi="仿宋" w:eastAsia="仿宋" w:cs="仿宋"/>
                <w:color w:val="000000" w:themeColor="text1"/>
                <w:sz w:val="20"/>
                <w:szCs w:val="20"/>
                <w:highlight w:val="none"/>
                <w:lang w:val="zh-CN"/>
                <w14:textFill>
                  <w14:solidFill>
                    <w14:schemeClr w14:val="tx1"/>
                  </w14:solidFill>
                </w14:textFill>
              </w:rPr>
              <w:t>（</w:t>
            </w:r>
            <w:r>
              <w:rPr>
                <w:rFonts w:hint="eastAsia" w:ascii="仿宋" w:hAnsi="仿宋" w:eastAsia="仿宋" w:cs="仿宋"/>
                <w:color w:val="000000" w:themeColor="text1"/>
                <w:sz w:val="20"/>
                <w:szCs w:val="20"/>
                <w:highlight w:val="none"/>
                <w:lang w:val="en-US" w:eastAsia="zh-CN"/>
                <w14:textFill>
                  <w14:solidFill>
                    <w14:schemeClr w14:val="tx1"/>
                  </w14:solidFill>
                </w14:textFill>
              </w:rPr>
              <w:t>出具有效的加盖公章声明函）。</w:t>
            </w:r>
          </w:p>
        </w:tc>
      </w:tr>
      <w:tr w14:paraId="272F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B1C655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6</w:t>
            </w:r>
          </w:p>
        </w:tc>
        <w:tc>
          <w:tcPr>
            <w:tcW w:w="8731" w:type="dxa"/>
          </w:tcPr>
          <w:p w14:paraId="3CF566B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themeColor="text1"/>
                <w:sz w:val="20"/>
                <w:szCs w:val="20"/>
                <w:highlight w:val="none"/>
                <w:lang w:val="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为本采购项目提供过整体设计、规范编制或者项目管理、监理、检测等服务的供应商及其附属机构，不得再参加本采购项目的响应。（响应人出具有效的承诺函并加盖公章）</w:t>
            </w:r>
          </w:p>
        </w:tc>
      </w:tr>
      <w:tr w14:paraId="6F75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2684F4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7</w:t>
            </w:r>
          </w:p>
        </w:tc>
        <w:tc>
          <w:tcPr>
            <w:tcW w:w="8731" w:type="dxa"/>
          </w:tcPr>
          <w:p w14:paraId="58B5644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en-US" w:eastAsia="zh-CN"/>
                <w14:textFill>
                  <w14:solidFill>
                    <w14:schemeClr w14:val="tx1"/>
                  </w14:solidFill>
                </w14:textFill>
              </w:rPr>
              <w:t>出具加盖公章、有单位负责人（法定代表人）签名的《供应商廉洁守约承诺书》（格式和内容详见第五章，不得擅自删改）</w:t>
            </w:r>
          </w:p>
        </w:tc>
      </w:tr>
      <w:tr w14:paraId="643A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401542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8</w:t>
            </w:r>
          </w:p>
        </w:tc>
        <w:tc>
          <w:tcPr>
            <w:tcW w:w="8731" w:type="dxa"/>
          </w:tcPr>
          <w:p w14:paraId="0C3366E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sz w:val="20"/>
                <w:szCs w:val="20"/>
                <w:highlight w:val="none"/>
                <w:lang w:val="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供应商在参加本次采购活动前3年内没有发生严重违约行为以及发生重大质量安全事故。</w:t>
            </w:r>
            <w:r>
              <w:rPr>
                <w:rFonts w:hint="eastAsia" w:ascii="仿宋" w:hAnsi="仿宋" w:eastAsia="仿宋" w:cs="仿宋"/>
                <w:color w:val="000000" w:themeColor="text1"/>
                <w:sz w:val="20"/>
                <w:szCs w:val="20"/>
                <w:highlight w:val="none"/>
                <w14:textFill>
                  <w14:solidFill>
                    <w14:schemeClr w14:val="tx1"/>
                  </w14:solidFill>
                </w14:textFill>
              </w:rPr>
              <w:t>（</w:t>
            </w:r>
            <w:r>
              <w:rPr>
                <w:rFonts w:hint="eastAsia" w:ascii="仿宋" w:hAnsi="仿宋" w:eastAsia="仿宋" w:cs="仿宋"/>
                <w:color w:val="000000" w:themeColor="text1"/>
                <w:sz w:val="20"/>
                <w:szCs w:val="20"/>
                <w:highlight w:val="none"/>
                <w:lang w:eastAsia="zh-CN"/>
                <w14:textFill>
                  <w14:solidFill>
                    <w14:schemeClr w14:val="tx1"/>
                  </w14:solidFill>
                </w14:textFill>
              </w:rPr>
              <w:t>响应人</w:t>
            </w:r>
            <w:r>
              <w:rPr>
                <w:rFonts w:hint="eastAsia" w:ascii="仿宋" w:hAnsi="仿宋" w:eastAsia="仿宋" w:cs="仿宋"/>
                <w:color w:val="000000" w:themeColor="text1"/>
                <w:sz w:val="20"/>
                <w:szCs w:val="20"/>
                <w:highlight w:val="none"/>
                <w14:textFill>
                  <w14:solidFill>
                    <w14:schemeClr w14:val="tx1"/>
                  </w14:solidFill>
                </w14:textFill>
              </w:rPr>
              <w:t>出具有效的承诺函并加盖公章）</w:t>
            </w:r>
          </w:p>
        </w:tc>
      </w:tr>
      <w:tr w14:paraId="2CAE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A686AC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9</w:t>
            </w:r>
          </w:p>
        </w:tc>
        <w:tc>
          <w:tcPr>
            <w:tcW w:w="8731" w:type="dxa"/>
          </w:tcPr>
          <w:p w14:paraId="280CB22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sz w:val="20"/>
                <w:szCs w:val="20"/>
                <w:highlight w:val="none"/>
                <w:lang w:val="en-US" w:eastAsia="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已</w:t>
            </w:r>
            <w:r>
              <w:rPr>
                <w:rFonts w:hint="eastAsia" w:ascii="仿宋" w:hAnsi="仿宋" w:eastAsia="仿宋" w:cs="仿宋"/>
                <w:color w:val="000000" w:themeColor="text1"/>
                <w:sz w:val="20"/>
                <w:szCs w:val="20"/>
                <w:highlight w:val="none"/>
                <w:lang w:val="en-US" w:eastAsia="zh-CN"/>
                <w14:textFill>
                  <w14:solidFill>
                    <w14:schemeClr w14:val="tx1"/>
                  </w14:solidFill>
                </w14:textFill>
              </w:rPr>
              <w:t>成功报名本项目</w:t>
            </w:r>
            <w:r>
              <w:rPr>
                <w:rFonts w:hint="eastAsia" w:ascii="仿宋" w:hAnsi="仿宋" w:eastAsia="仿宋" w:cs="仿宋"/>
                <w:color w:val="000000" w:themeColor="text1"/>
                <w:sz w:val="20"/>
                <w:szCs w:val="20"/>
                <w:highlight w:val="none"/>
                <w:lang w:val="zh-CN"/>
                <w14:textFill>
                  <w14:solidFill>
                    <w14:schemeClr w14:val="tx1"/>
                  </w14:solidFill>
                </w14:textFill>
              </w:rPr>
              <w:t>。</w:t>
            </w:r>
          </w:p>
        </w:tc>
      </w:tr>
      <w:tr w14:paraId="7D7E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6BEA6FF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themeColor="text1"/>
                <w:sz w:val="20"/>
                <w:szCs w:val="20"/>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0"/>
                <w:szCs w:val="20"/>
                <w:highlight w:val="none"/>
                <w:shd w:val="clear" w:color="auto" w:fill="FFFFFF"/>
                <w:lang w:val="en-US" w:eastAsia="zh-CN"/>
                <w14:textFill>
                  <w14:solidFill>
                    <w14:schemeClr w14:val="tx1"/>
                  </w14:solidFill>
                </w14:textFill>
              </w:rPr>
              <w:t>10</w:t>
            </w:r>
          </w:p>
        </w:tc>
        <w:tc>
          <w:tcPr>
            <w:tcW w:w="8731" w:type="dxa"/>
          </w:tcPr>
          <w:p w14:paraId="484C1D7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themeColor="text1"/>
                <w:sz w:val="20"/>
                <w:szCs w:val="20"/>
                <w:highlight w:val="none"/>
                <w:lang w:val="zh-CN"/>
                <w14:textFill>
                  <w14:solidFill>
                    <w14:schemeClr w14:val="tx1"/>
                  </w14:solidFill>
                </w14:textFill>
              </w:rPr>
            </w:pPr>
            <w:r>
              <w:rPr>
                <w:rFonts w:hint="eastAsia" w:ascii="仿宋" w:hAnsi="仿宋" w:eastAsia="仿宋" w:cs="仿宋"/>
                <w:color w:val="000000" w:themeColor="text1"/>
                <w:sz w:val="20"/>
                <w:szCs w:val="20"/>
                <w:highlight w:val="none"/>
                <w:lang w:val="zh-CN"/>
                <w14:textFill>
                  <w14:solidFill>
                    <w14:schemeClr w14:val="tx1"/>
                  </w14:solidFill>
                </w14:textFill>
              </w:rPr>
              <w:t>供应商须具备有效的《成品油批发经营批准证书》或《成品油零售经营批准证书》、《危险化学品经营许可证》。</w:t>
            </w:r>
          </w:p>
        </w:tc>
      </w:tr>
    </w:tbl>
    <w:p w14:paraId="7D4AF6CB">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61E397B3">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00469B28">
      <w:pPr>
        <w:pStyle w:val="17"/>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1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3B67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CC5C325">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242FE86F">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67FE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9D808A0">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452A3DDB">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14:paraId="793AE22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响应报价：</w:t>
            </w:r>
          </w:p>
          <w:p w14:paraId="4C6CC85B">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①响应报价未超过本项目最高限价。</w:t>
            </w:r>
          </w:p>
          <w:p w14:paraId="393C9AF5">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14:paraId="00EA578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lang w:val="en-US" w:eastAsia="zh-CN"/>
              </w:rPr>
              <w:t>服务</w:t>
            </w:r>
            <w:r>
              <w:rPr>
                <w:rFonts w:hint="eastAsia" w:ascii="仿宋" w:hAnsi="仿宋" w:eastAsia="仿宋" w:cs="仿宋"/>
                <w:sz w:val="20"/>
                <w:szCs w:val="20"/>
              </w:rPr>
              <w:t>质量的书面说明等相关证明材料的。</w:t>
            </w:r>
          </w:p>
          <w:p w14:paraId="59EFB689">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④响应报价是唯一确定的，不得存在区间值（如</w:t>
            </w:r>
            <w:r>
              <w:rPr>
                <w:rFonts w:hint="eastAsia" w:ascii="仿宋" w:hAnsi="仿宋" w:eastAsia="仿宋" w:cs="仿宋"/>
                <w:sz w:val="20"/>
                <w:szCs w:val="20"/>
                <w:lang w:val="en-US" w:eastAsia="zh-CN"/>
              </w:rPr>
              <w:t>90</w:t>
            </w:r>
            <w:r>
              <w:rPr>
                <w:rFonts w:hint="eastAsia" w:ascii="仿宋" w:hAnsi="仿宋" w:eastAsia="仿宋" w:cs="仿宋"/>
                <w:sz w:val="20"/>
                <w:szCs w:val="20"/>
              </w:rPr>
              <w:t>%～</w:t>
            </w:r>
            <w:r>
              <w:rPr>
                <w:rFonts w:hint="eastAsia" w:ascii="仿宋" w:hAnsi="仿宋" w:eastAsia="仿宋" w:cs="仿宋"/>
                <w:sz w:val="20"/>
                <w:szCs w:val="20"/>
                <w:lang w:val="en-US" w:eastAsia="zh-CN"/>
              </w:rPr>
              <w:t>95</w:t>
            </w:r>
            <w:r>
              <w:rPr>
                <w:rFonts w:hint="eastAsia" w:ascii="仿宋" w:hAnsi="仿宋" w:eastAsia="仿宋" w:cs="仿宋"/>
                <w:sz w:val="20"/>
                <w:szCs w:val="20"/>
              </w:rPr>
              <w:t>%）。</w:t>
            </w:r>
          </w:p>
          <w:p w14:paraId="2FD09E9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rPr>
              <w:t>⑤响应报价均应包含国家规定的税费。</w:t>
            </w:r>
          </w:p>
        </w:tc>
      </w:tr>
      <w:tr w14:paraId="55E6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4B1719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vAlign w:val="top"/>
          </w:tcPr>
          <w:p w14:paraId="5FF146AA">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13DC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E1FB7E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vAlign w:val="top"/>
          </w:tcPr>
          <w:p w14:paraId="6A73AAD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6E9A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3A7D1AB3">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64E14C5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vAlign w:val="top"/>
          </w:tcPr>
          <w:p w14:paraId="102F222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谈判文件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不得改动本谈判文件中已明确要求不得擅自删改的部分，以及遵守谈判文件中已列明必须遵照执行否则按无效响应处理的各类要求。</w:t>
            </w:r>
          </w:p>
        </w:tc>
      </w:tr>
      <w:tr w14:paraId="0459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C599E6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vAlign w:val="top"/>
          </w:tcPr>
          <w:p w14:paraId="4DCC1A5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eastAsia="zh-CN"/>
              </w:rPr>
              <w:t>谈判文件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val="en-US" w:eastAsia="zh-CN"/>
              </w:rPr>
              <w:t>谈判</w:t>
            </w:r>
            <w:r>
              <w:rPr>
                <w:rFonts w:hint="eastAsia" w:ascii="仿宋" w:hAnsi="仿宋" w:eastAsia="仿宋" w:cs="仿宋"/>
                <w:color w:val="000000"/>
                <w:sz w:val="20"/>
                <w:szCs w:val="20"/>
                <w:highlight w:val="none"/>
                <w:lang w:eastAsia="zh-CN"/>
              </w:rPr>
              <w:t>文件</w:t>
            </w:r>
            <w:r>
              <w:rPr>
                <w:rFonts w:hint="eastAsia" w:ascii="仿宋" w:hAnsi="仿宋" w:eastAsia="仿宋" w:cs="仿宋"/>
                <w:color w:val="000000"/>
                <w:sz w:val="20"/>
                <w:szCs w:val="20"/>
                <w:highlight w:val="none"/>
              </w:rPr>
              <w:t>“★”号条款要求</w:t>
            </w:r>
          </w:p>
        </w:tc>
      </w:tr>
      <w:tr w14:paraId="4481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88A8040">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vAlign w:val="top"/>
          </w:tcPr>
          <w:p w14:paraId="569B693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62019338">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9.“★”条款响应审查</w:t>
      </w:r>
    </w:p>
    <w:tbl>
      <w:tblPr>
        <w:tblStyle w:val="19"/>
        <w:tblpPr w:leftFromText="180" w:rightFromText="180" w:vertAnchor="text" w:horzAnchor="margin" w:tblpXSpec="center" w:tblpY="327"/>
        <w:tblOverlap w:val="never"/>
        <w:tblW w:w="10314" w:type="dxa"/>
        <w:tblInd w:w="0" w:type="dxa"/>
        <w:tblLayout w:type="fixed"/>
        <w:tblCellMar>
          <w:top w:w="0" w:type="dxa"/>
          <w:left w:w="108" w:type="dxa"/>
          <w:bottom w:w="0" w:type="dxa"/>
          <w:right w:w="108" w:type="dxa"/>
        </w:tblCellMar>
      </w:tblPr>
      <w:tblGrid>
        <w:gridCol w:w="611"/>
        <w:gridCol w:w="7157"/>
        <w:gridCol w:w="1206"/>
        <w:gridCol w:w="1340"/>
      </w:tblGrid>
      <w:tr w14:paraId="78044E2A">
        <w:tblPrEx>
          <w:tblCellMar>
            <w:top w:w="0" w:type="dxa"/>
            <w:left w:w="108" w:type="dxa"/>
            <w:bottom w:w="0" w:type="dxa"/>
            <w:right w:w="108" w:type="dxa"/>
          </w:tblCellMar>
        </w:tblPrEx>
        <w:trPr>
          <w:trHeight w:val="285" w:hRule="atLeast"/>
        </w:trPr>
        <w:tc>
          <w:tcPr>
            <w:tcW w:w="1031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D8B4603">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4"/>
                <w:highlight w:val="none"/>
                <w:lang w:val="en-US" w:eastAsia="zh-CN"/>
              </w:rPr>
            </w:pPr>
            <w:r>
              <w:rPr>
                <w:rFonts w:hint="eastAsia" w:ascii="仿宋" w:hAnsi="仿宋" w:eastAsia="仿宋" w:cs="仿宋"/>
                <w:b/>
                <w:bCs/>
                <w:color w:val="000000"/>
                <w:kern w:val="0"/>
                <w:sz w:val="24"/>
                <w:highlight w:val="none"/>
              </w:rPr>
              <w:t>“★”条款响应</w:t>
            </w:r>
            <w:r>
              <w:rPr>
                <w:rFonts w:hint="eastAsia" w:ascii="仿宋" w:hAnsi="仿宋" w:eastAsia="仿宋" w:cs="仿宋"/>
                <w:b/>
                <w:bCs/>
                <w:color w:val="000000"/>
                <w:kern w:val="0"/>
                <w:sz w:val="24"/>
                <w:highlight w:val="none"/>
                <w:lang w:val="en-US" w:eastAsia="zh-CN"/>
              </w:rPr>
              <w:t>情况</w:t>
            </w:r>
          </w:p>
        </w:tc>
      </w:tr>
      <w:tr w14:paraId="1FC2048A">
        <w:tblPrEx>
          <w:tblCellMar>
            <w:top w:w="0" w:type="dxa"/>
            <w:left w:w="108" w:type="dxa"/>
            <w:bottom w:w="0" w:type="dxa"/>
            <w:right w:w="108" w:type="dxa"/>
          </w:tblCellMar>
        </w:tblPrEx>
        <w:trPr>
          <w:trHeight w:val="285" w:hRule="atLeast"/>
        </w:trPr>
        <w:tc>
          <w:tcPr>
            <w:tcW w:w="77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642865">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rPr>
            </w:pPr>
            <w:r>
              <w:rPr>
                <w:rFonts w:hint="eastAsia" w:ascii="仿宋" w:hAnsi="仿宋" w:eastAsia="仿宋" w:cs="仿宋"/>
                <w:b/>
                <w:bCs/>
                <w:color w:val="000000"/>
                <w:kern w:val="0"/>
                <w:sz w:val="24"/>
                <w:highlight w:val="none"/>
              </w:rPr>
              <w:t>“★”条款</w:t>
            </w:r>
            <w:r>
              <w:rPr>
                <w:rFonts w:hint="eastAsia" w:ascii="仿宋" w:hAnsi="仿宋" w:eastAsia="仿宋" w:cs="仿宋"/>
                <w:b/>
                <w:bCs/>
                <w:color w:val="000000"/>
                <w:kern w:val="0"/>
                <w:sz w:val="22"/>
                <w:szCs w:val="22"/>
                <w:highlight w:val="none"/>
              </w:rPr>
              <w:t>要求</w:t>
            </w:r>
          </w:p>
        </w:tc>
        <w:tc>
          <w:tcPr>
            <w:tcW w:w="1206" w:type="dxa"/>
            <w:tcBorders>
              <w:top w:val="nil"/>
              <w:left w:val="nil"/>
              <w:bottom w:val="single" w:color="auto" w:sz="4" w:space="0"/>
              <w:right w:val="single" w:color="auto" w:sz="4" w:space="0"/>
            </w:tcBorders>
            <w:shd w:val="clear" w:color="auto" w:fill="auto"/>
            <w:noWrap/>
            <w:vAlign w:val="center"/>
          </w:tcPr>
          <w:p w14:paraId="63D67FBE">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rPr>
              <w:t>是否响应</w:t>
            </w:r>
          </w:p>
        </w:tc>
        <w:tc>
          <w:tcPr>
            <w:tcW w:w="1340" w:type="dxa"/>
            <w:tcBorders>
              <w:top w:val="nil"/>
              <w:left w:val="nil"/>
              <w:bottom w:val="single" w:color="auto" w:sz="4" w:space="0"/>
              <w:right w:val="single" w:color="auto" w:sz="4" w:space="0"/>
            </w:tcBorders>
            <w:shd w:val="clear" w:color="auto" w:fill="auto"/>
            <w:noWrap/>
            <w:vAlign w:val="center"/>
          </w:tcPr>
          <w:p w14:paraId="5FBB427F">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证明文件</w:t>
            </w:r>
          </w:p>
        </w:tc>
      </w:tr>
      <w:tr w14:paraId="6809687D">
        <w:tblPrEx>
          <w:tblCellMar>
            <w:top w:w="0" w:type="dxa"/>
            <w:left w:w="108" w:type="dxa"/>
            <w:bottom w:w="0" w:type="dxa"/>
            <w:right w:w="108" w:type="dxa"/>
          </w:tblCellMar>
        </w:tblPrEx>
        <w:trPr>
          <w:trHeight w:val="965" w:hRule="atLeast"/>
        </w:trPr>
        <w:tc>
          <w:tcPr>
            <w:tcW w:w="611" w:type="dxa"/>
            <w:vMerge w:val="restart"/>
            <w:tcBorders>
              <w:top w:val="single" w:color="auto" w:sz="4" w:space="0"/>
              <w:left w:val="single" w:color="auto" w:sz="4" w:space="0"/>
              <w:right w:val="single" w:color="auto" w:sz="4" w:space="0"/>
            </w:tcBorders>
            <w:shd w:val="clear" w:color="auto" w:fill="auto"/>
            <w:noWrap/>
            <w:vAlign w:val="center"/>
          </w:tcPr>
          <w:p w14:paraId="7542C4AE">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公务车辆定点加油</w:t>
            </w:r>
          </w:p>
          <w:p w14:paraId="04C47212">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rPr>
              <w:t>服务</w:t>
            </w:r>
            <w:r>
              <w:rPr>
                <w:rFonts w:hint="eastAsia" w:ascii="仿宋" w:hAnsi="仿宋" w:eastAsia="仿宋" w:cs="仿宋"/>
                <w:b/>
                <w:bCs/>
                <w:kern w:val="0"/>
                <w:sz w:val="24"/>
                <w:highlight w:val="none"/>
                <w:lang w:val="en-US" w:eastAsia="zh-CN"/>
              </w:rPr>
              <w:t>项目</w:t>
            </w:r>
          </w:p>
          <w:p w14:paraId="70160B0D">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要求</w:t>
            </w:r>
          </w:p>
        </w:tc>
        <w:tc>
          <w:tcPr>
            <w:tcW w:w="7157" w:type="dxa"/>
            <w:tcBorders>
              <w:top w:val="single" w:color="auto" w:sz="4" w:space="0"/>
              <w:left w:val="nil"/>
              <w:bottom w:val="single" w:color="auto" w:sz="4" w:space="0"/>
              <w:right w:val="single" w:color="auto" w:sz="4" w:space="0"/>
            </w:tcBorders>
            <w:shd w:val="clear" w:color="auto" w:fill="auto"/>
            <w:vAlign w:val="center"/>
          </w:tcPr>
          <w:p w14:paraId="031266A3">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w:t>
            </w:r>
            <w:r>
              <w:rPr>
                <w:rFonts w:hint="eastAsia" w:ascii="仿宋" w:hAnsi="仿宋" w:eastAsia="仿宋" w:cs="仿宋"/>
                <w:b w:val="0"/>
                <w:bCs w:val="0"/>
                <w:color w:val="000000"/>
                <w:szCs w:val="21"/>
                <w:highlight w:val="none"/>
              </w:rPr>
              <w:t>供应商所提供的燃油油品质量必须达到国家相关标准及要求，保证油品来源渠道合法合规，严禁提供假冒伪劣、过期变质物资。如经第三方检测机构认定因油质问题致使医院车辆部件损坏的，除鉴定费用由供应商支付外，供应商还须无条件赔偿医院所受损失，同时医院有权单方终止采购合同。</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39552DC9">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09A20E73">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r>
      <w:tr w14:paraId="50A913A8">
        <w:tblPrEx>
          <w:tblCellMar>
            <w:top w:w="0" w:type="dxa"/>
            <w:left w:w="108" w:type="dxa"/>
            <w:bottom w:w="0" w:type="dxa"/>
            <w:right w:w="108" w:type="dxa"/>
          </w:tblCellMar>
        </w:tblPrEx>
        <w:trPr>
          <w:trHeight w:val="658" w:hRule="atLeast"/>
        </w:trPr>
        <w:tc>
          <w:tcPr>
            <w:tcW w:w="611" w:type="dxa"/>
            <w:vMerge w:val="continue"/>
            <w:tcBorders>
              <w:left w:val="single" w:color="auto" w:sz="4" w:space="0"/>
              <w:right w:val="single" w:color="auto" w:sz="4" w:space="0"/>
            </w:tcBorders>
            <w:shd w:val="clear" w:color="auto" w:fill="auto"/>
            <w:noWrap/>
            <w:vAlign w:val="center"/>
          </w:tcPr>
          <w:p w14:paraId="52DA59C6">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1A58B74D">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w:t>
            </w:r>
            <w:r>
              <w:rPr>
                <w:rFonts w:hint="eastAsia" w:ascii="仿宋" w:hAnsi="仿宋" w:eastAsia="仿宋" w:cs="仿宋"/>
                <w:b w:val="0"/>
                <w:bCs w:val="0"/>
                <w:szCs w:val="21"/>
                <w:highlight w:val="none"/>
              </w:rPr>
              <w:t>供应商所提供的加油站应位于本项目对应子包所在院区周边5公里半径范围内，并应具备为中型客车提供加油服务的场地条件。响应时必须明确提供加油站的详细地址、地理位置图、经营面积、油枪数量以及至中山大学孙逸仙纪念医院北院区/南院区/花都院区的实际驾车里程。</w:t>
            </w:r>
            <w:r>
              <w:rPr>
                <w:rFonts w:hint="eastAsia" w:ascii="仿宋" w:hAnsi="仿宋" w:eastAsia="仿宋" w:cs="仿宋"/>
                <w:b/>
                <w:bCs/>
                <w:szCs w:val="21"/>
                <w:highlight w:val="none"/>
              </w:rPr>
              <w:t>（提供百度地图实际驾车里程截图</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0FAC83DC">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28AEBACF">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15B0ACED">
        <w:tblPrEx>
          <w:tblCellMar>
            <w:top w:w="0" w:type="dxa"/>
            <w:left w:w="108" w:type="dxa"/>
            <w:bottom w:w="0" w:type="dxa"/>
            <w:right w:w="108" w:type="dxa"/>
          </w:tblCellMar>
        </w:tblPrEx>
        <w:trPr>
          <w:trHeight w:val="698" w:hRule="atLeast"/>
        </w:trPr>
        <w:tc>
          <w:tcPr>
            <w:tcW w:w="611" w:type="dxa"/>
            <w:vMerge w:val="continue"/>
            <w:tcBorders>
              <w:left w:val="single" w:color="auto" w:sz="4" w:space="0"/>
              <w:right w:val="single" w:color="auto" w:sz="4" w:space="0"/>
            </w:tcBorders>
            <w:shd w:val="clear" w:color="auto" w:fill="auto"/>
            <w:noWrap/>
            <w:vAlign w:val="center"/>
          </w:tcPr>
          <w:p w14:paraId="0E676255">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1FE17BAA">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供应商须保证给采购人公务车辆足量加油。供应商加油设备必须通过质量技术监督局计量部门监测，保证加油机油量符合国家标准。如采购人对加油足量情况有疑问，采购人有权向市场监督部门反馈。如情况属实，采购人有权提前终止合同。</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43F97778">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6B47FE8C">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193F768F">
        <w:tblPrEx>
          <w:tblCellMar>
            <w:top w:w="0" w:type="dxa"/>
            <w:left w:w="108" w:type="dxa"/>
            <w:bottom w:w="0" w:type="dxa"/>
            <w:right w:w="108" w:type="dxa"/>
          </w:tblCellMar>
        </w:tblPrEx>
        <w:trPr>
          <w:trHeight w:val="687" w:hRule="atLeast"/>
        </w:trPr>
        <w:tc>
          <w:tcPr>
            <w:tcW w:w="611" w:type="dxa"/>
            <w:vMerge w:val="continue"/>
            <w:tcBorders>
              <w:left w:val="single" w:color="auto" w:sz="4" w:space="0"/>
              <w:right w:val="single" w:color="auto" w:sz="4" w:space="0"/>
            </w:tcBorders>
            <w:shd w:val="clear" w:color="auto" w:fill="auto"/>
            <w:noWrap/>
            <w:vAlign w:val="center"/>
          </w:tcPr>
          <w:p w14:paraId="0358675C">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24E17DF9">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供应商按照医院提供的车辆资料及要求办理加油卡，加油卡实行一车一卡，签订合同之日起3个工作日内根据医院提供的车牌号码办理加油卡，所有加油卡设置密码、限制油品、限车牌，供应商应配合医院做好车辆加油监督管理。当医院出现加油卡丢失或损坏时，供应商负责更换新的加油卡，并将丢失或损坏的加油卡剩余金额转入更换后的新卡。</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20C0C19C">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5158D018">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499F19E9">
        <w:tblPrEx>
          <w:tblCellMar>
            <w:top w:w="0" w:type="dxa"/>
            <w:left w:w="108" w:type="dxa"/>
            <w:bottom w:w="0" w:type="dxa"/>
            <w:right w:w="108" w:type="dxa"/>
          </w:tblCellMar>
        </w:tblPrEx>
        <w:trPr>
          <w:trHeight w:val="131" w:hRule="atLeast"/>
        </w:trPr>
        <w:tc>
          <w:tcPr>
            <w:tcW w:w="611" w:type="dxa"/>
            <w:vMerge w:val="continue"/>
            <w:tcBorders>
              <w:left w:val="single" w:color="auto" w:sz="4" w:space="0"/>
              <w:right w:val="single" w:color="auto" w:sz="4" w:space="0"/>
            </w:tcBorders>
            <w:shd w:val="clear" w:color="auto" w:fill="auto"/>
            <w:noWrap/>
            <w:vAlign w:val="center"/>
          </w:tcPr>
          <w:p w14:paraId="1A821214">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1F8BF2B0">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建立加油人员、管理人员双层审核等相关管理制度。加油时，加油人员应确认加油卡信息与车号一致，方可加油；否则，不予加油。严禁卡号与车号不符加油、持卡给桶等其他容器加油、持卡提现金或购买其他物品等违规违纪问题。如发生违规违纪问题，采购人有权责令其整改，对拒不整改或拖延整改的，采购人将根据情况除有权决定单方解除合同、取消其采购定点单位资格外，供应商还应赔偿由此给采购人造成的损失。</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66E4CACC">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green"/>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06512A17">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0FC212F2">
        <w:tblPrEx>
          <w:tblCellMar>
            <w:top w:w="0" w:type="dxa"/>
            <w:left w:w="108" w:type="dxa"/>
            <w:bottom w:w="0" w:type="dxa"/>
            <w:right w:w="108" w:type="dxa"/>
          </w:tblCellMar>
        </w:tblPrEx>
        <w:trPr>
          <w:trHeight w:val="550" w:hRule="atLeast"/>
        </w:trPr>
        <w:tc>
          <w:tcPr>
            <w:tcW w:w="611" w:type="dxa"/>
            <w:vMerge w:val="continue"/>
            <w:tcBorders>
              <w:left w:val="single" w:color="auto" w:sz="4" w:space="0"/>
              <w:right w:val="single" w:color="auto" w:sz="4" w:space="0"/>
            </w:tcBorders>
            <w:shd w:val="clear" w:color="auto" w:fill="auto"/>
            <w:noWrap/>
            <w:vAlign w:val="center"/>
          </w:tcPr>
          <w:p w14:paraId="7F2E326D">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5557E36A">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医院有权对供应商所供应油品不定期不限次抽检。若经相关部门鉴定确立存在问题时（以国家或者地方政府指定检测部门抽检油站油品检验结果为基准），鉴定费用由供应商支付，并由供应商承担责任，赔偿损失。</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33E97316">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3D3040EC">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076FDEB4">
        <w:tblPrEx>
          <w:tblCellMar>
            <w:top w:w="0" w:type="dxa"/>
            <w:left w:w="108" w:type="dxa"/>
            <w:bottom w:w="0" w:type="dxa"/>
            <w:right w:w="108" w:type="dxa"/>
          </w:tblCellMar>
        </w:tblPrEx>
        <w:trPr>
          <w:trHeight w:val="634" w:hRule="atLeast"/>
        </w:trPr>
        <w:tc>
          <w:tcPr>
            <w:tcW w:w="611" w:type="dxa"/>
            <w:vMerge w:val="continue"/>
            <w:tcBorders>
              <w:left w:val="single" w:color="auto" w:sz="4" w:space="0"/>
              <w:right w:val="single" w:color="auto" w:sz="4" w:space="0"/>
            </w:tcBorders>
            <w:shd w:val="clear" w:color="auto" w:fill="auto"/>
            <w:noWrap/>
            <w:vAlign w:val="center"/>
          </w:tcPr>
          <w:p w14:paraId="4C530E87">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140EEDE9">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color w:val="000000"/>
                <w:szCs w:val="21"/>
                <w:highlight w:val="none"/>
                <w:lang w:val="en-US" w:eastAsia="zh-CN"/>
              </w:rPr>
              <w:t>★报价要求：</w:t>
            </w:r>
          </w:p>
          <w:p w14:paraId="6D85AA5C">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 xml:space="preserve">报价要求 </w:t>
            </w:r>
          </w:p>
          <w:p w14:paraId="531A41E8">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供应商须按照加油站挂牌零售价的折扣率报价，报价包含单位货物价款、运输费、保险费用、税费及售后服务等一切费用。（如遇国家价格调整，在价格调整基础上折扣不变）优惠折扣率为固定且唯一的报价，双方签订合同后，不得以任何原因进行更改，否则视为违约并承担相应责任。</w:t>
            </w:r>
          </w:p>
          <w:p w14:paraId="5302DA36">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单次加油服务实际结算单价=车辆加油油品当日挂牌价格*折扣率（优惠活动期间同时享受优惠叠加，结算单价保留两位小数）</w:t>
            </w:r>
          </w:p>
          <w:p w14:paraId="3C4DA39E">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2.供应商在调整油价之前，应将调整油价通知提供给医院，调整后价格按政府批文日期执行。</w:t>
            </w:r>
          </w:p>
          <w:p w14:paraId="273F5EFB">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0DFD4560">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20E5E2D6">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222B5024">
        <w:tblPrEx>
          <w:tblCellMar>
            <w:top w:w="0" w:type="dxa"/>
            <w:left w:w="108" w:type="dxa"/>
            <w:bottom w:w="0" w:type="dxa"/>
            <w:right w:w="108" w:type="dxa"/>
          </w:tblCellMar>
        </w:tblPrEx>
        <w:trPr>
          <w:trHeight w:val="460" w:hRule="atLeast"/>
        </w:trPr>
        <w:tc>
          <w:tcPr>
            <w:tcW w:w="611" w:type="dxa"/>
            <w:vMerge w:val="continue"/>
            <w:tcBorders>
              <w:left w:val="single" w:color="auto" w:sz="4" w:space="0"/>
              <w:right w:val="single" w:color="auto" w:sz="4" w:space="0"/>
            </w:tcBorders>
            <w:shd w:val="clear" w:color="auto" w:fill="auto"/>
            <w:noWrap/>
            <w:vAlign w:val="center"/>
          </w:tcPr>
          <w:p w14:paraId="68A5F710">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167555BD">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bCs/>
                <w:color w:val="000000"/>
                <w:szCs w:val="21"/>
                <w:highlight w:val="none"/>
                <w:lang w:val="en-US" w:eastAsia="zh-CN"/>
              </w:rPr>
            </w:pPr>
            <w:r>
              <w:rPr>
                <w:rFonts w:hint="eastAsia" w:ascii="仿宋" w:hAnsi="仿宋" w:eastAsia="仿宋" w:cs="仿宋"/>
                <w:b/>
                <w:bCs/>
                <w:color w:val="000000"/>
                <w:szCs w:val="21"/>
                <w:highlight w:val="none"/>
                <w:lang w:val="en-US" w:eastAsia="zh-CN"/>
              </w:rPr>
              <w:t>★结算方式：</w:t>
            </w:r>
          </w:p>
          <w:p w14:paraId="4D11D648">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val="0"/>
                <w:bCs w:val="0"/>
                <w:color w:val="000000"/>
                <w:szCs w:val="21"/>
                <w:highlight w:val="none"/>
                <w:lang w:val="en-US" w:eastAsia="zh-CN"/>
              </w:rPr>
            </w:pPr>
            <w:r>
              <w:rPr>
                <w:rFonts w:hint="eastAsia" w:ascii="仿宋" w:hAnsi="仿宋" w:eastAsia="仿宋" w:cs="仿宋"/>
                <w:b w:val="0"/>
                <w:bCs w:val="0"/>
                <w:color w:val="000000"/>
                <w:szCs w:val="21"/>
                <w:highlight w:val="none"/>
                <w:lang w:val="en-US" w:eastAsia="zh-CN"/>
              </w:rPr>
              <w:t>1.签订合同后，采购人须向供应商指定账户支付3万元的保证金。合同结束后，供应商应当自医院结清款项之日起15日内，将3万元保证金退还医院。</w:t>
            </w:r>
          </w:p>
          <w:p w14:paraId="02F568EA">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val="0"/>
                <w:bCs w:val="0"/>
                <w:color w:val="000000"/>
                <w:szCs w:val="21"/>
                <w:highlight w:val="none"/>
                <w:lang w:val="en-US" w:eastAsia="zh-CN"/>
              </w:rPr>
            </w:pPr>
            <w:r>
              <w:rPr>
                <w:rFonts w:hint="eastAsia" w:ascii="仿宋" w:hAnsi="仿宋" w:eastAsia="仿宋" w:cs="仿宋"/>
                <w:b w:val="0"/>
                <w:bCs w:val="0"/>
                <w:color w:val="000000"/>
                <w:szCs w:val="21"/>
                <w:highlight w:val="none"/>
                <w:lang w:val="en-US" w:eastAsia="zh-CN"/>
              </w:rPr>
              <w:t>2.转账充值。医院公务车辆到供应商实行记账加油方式，每月结算一次，定点加油服务结算金额是按医院公务车辆上月实际发生的加油量进行结算支付。供应商负责提供医院上月实际发生的油料情况明细表（即：每台车辆的加油明细及汇总金额），经院方审核确认后，供应商根据医院上月油款情况开具正规发票。院方在收到供应商的正规发票后30日内，以转账充值形式付清结算周期所发生的油款。</w:t>
            </w:r>
          </w:p>
          <w:p w14:paraId="3F375F1F">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val="0"/>
                <w:bCs w:val="0"/>
                <w:color w:val="000000"/>
                <w:szCs w:val="21"/>
                <w:highlight w:val="none"/>
                <w:lang w:val="en-US" w:eastAsia="zh-CN"/>
              </w:rPr>
            </w:pPr>
            <w:r>
              <w:rPr>
                <w:rFonts w:hint="eastAsia" w:ascii="仿宋" w:hAnsi="仿宋" w:eastAsia="仿宋" w:cs="仿宋"/>
                <w:b w:val="0"/>
                <w:bCs w:val="0"/>
                <w:color w:val="000000"/>
                <w:szCs w:val="21"/>
                <w:highlight w:val="none"/>
                <w:lang w:val="en-US" w:eastAsia="zh-CN"/>
              </w:rPr>
              <w:t>3.若采购人对供应商提供的明细表有异议，应在收到明细表五个工作日内通知供应商，双方共同审核交易明细。</w:t>
            </w:r>
          </w:p>
          <w:p w14:paraId="2C411FF8">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300F76D3">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39D7E354">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2F18DD9D">
        <w:tblPrEx>
          <w:tblCellMar>
            <w:top w:w="0" w:type="dxa"/>
            <w:left w:w="108" w:type="dxa"/>
            <w:bottom w:w="0" w:type="dxa"/>
            <w:right w:w="108" w:type="dxa"/>
          </w:tblCellMar>
        </w:tblPrEx>
        <w:trPr>
          <w:trHeight w:val="460" w:hRule="atLeast"/>
        </w:trPr>
        <w:tc>
          <w:tcPr>
            <w:tcW w:w="611" w:type="dxa"/>
            <w:tcBorders>
              <w:left w:val="single" w:color="auto" w:sz="4" w:space="0"/>
              <w:bottom w:val="single" w:color="auto" w:sz="4" w:space="0"/>
              <w:right w:val="single" w:color="auto" w:sz="4" w:space="0"/>
            </w:tcBorders>
            <w:shd w:val="clear" w:color="auto" w:fill="auto"/>
            <w:noWrap/>
            <w:vAlign w:val="center"/>
          </w:tcPr>
          <w:p w14:paraId="1DE7080F">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03B8649F">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★对于响应包组1的供应商，要求至少能供应95#汽油；响应包组2或包组3的供应商，要求至少能供应0#柴油国Ⅵ、95#汽油。</w:t>
            </w:r>
          </w:p>
          <w:p w14:paraId="69AA0965">
            <w:pPr>
              <w:pStyle w:val="2"/>
              <w:rPr>
                <w:rFonts w:hint="eastAsia"/>
              </w:rPr>
            </w:pPr>
            <w:r>
              <w:rPr>
                <w:rFonts w:hint="eastAsia" w:ascii="仿宋" w:hAnsi="仿宋" w:eastAsia="仿宋" w:cs="仿宋"/>
                <w:b/>
                <w:bCs/>
                <w:sz w:val="21"/>
                <w:szCs w:val="18"/>
                <w:highlight w:val="none"/>
              </w:rPr>
              <w:t>（提供</w:t>
            </w:r>
            <w:r>
              <w:rPr>
                <w:rFonts w:hint="eastAsia" w:ascii="仿宋" w:hAnsi="仿宋" w:eastAsia="仿宋" w:cs="仿宋"/>
                <w:b/>
                <w:bCs/>
                <w:sz w:val="21"/>
                <w:szCs w:val="18"/>
                <w:highlight w:val="none"/>
                <w:lang w:val="en-US" w:eastAsia="zh-CN"/>
              </w:rPr>
              <w:t>对应响应包组的承诺函</w:t>
            </w:r>
            <w:r>
              <w:rPr>
                <w:rFonts w:hint="eastAsia" w:ascii="仿宋" w:hAnsi="仿宋" w:eastAsia="仿宋" w:cs="仿宋"/>
                <w:b/>
                <w:bCs/>
                <w:color w:val="000000"/>
                <w:sz w:val="21"/>
                <w:szCs w:val="18"/>
                <w:highlight w:val="none"/>
                <w:lang w:val="en-US" w:eastAsia="zh-CN"/>
              </w:rPr>
              <w:t>加盖公章，否则视为无效响应</w:t>
            </w:r>
            <w:r>
              <w:rPr>
                <w:rFonts w:hint="eastAsia" w:ascii="仿宋" w:hAnsi="仿宋" w:eastAsia="仿宋" w:cs="仿宋"/>
                <w:b w:val="0"/>
                <w:bCs w:val="0"/>
                <w:sz w:val="21"/>
                <w:szCs w:val="18"/>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4CE5A181">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6FB920F4">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bl>
    <w:p w14:paraId="2737C932">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供应商必须按谈判文件中“★”条款要求内容据实填写，不得虚假应答，否则将取消其成交资格。</w:t>
      </w:r>
    </w:p>
    <w:p w14:paraId="255ECE01">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10.价格比较。在对最后报价的供应商进行排序前，评审委员会对响应文件的有效性、完整性和响应程度进行最终审查。评审委员会对实质性响应谈判文件要求的供应商进行价格比较。</w:t>
      </w:r>
    </w:p>
    <w:p w14:paraId="7E5AE39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11.评定成交标准</w:t>
      </w:r>
    </w:p>
    <w:p w14:paraId="0F46761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评审委员会应当从质量和服务均能满足院内谈判文件实质性响应要求的供应商中，按照最后报价由低到高的顺序推荐成交候选人。</w:t>
      </w:r>
    </w:p>
    <w:p w14:paraId="58E6989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12.评审委员会</w:t>
      </w:r>
      <w:r>
        <w:rPr>
          <w:rFonts w:hint="eastAsia" w:ascii="仿宋" w:hAnsi="仿宋" w:eastAsia="仿宋" w:cs="仿宋"/>
          <w:color w:val="000000" w:themeColor="text1"/>
          <w:sz w:val="24"/>
          <w:szCs w:val="24"/>
          <w:highlight w:val="none"/>
          <w14:textFill>
            <w14:solidFill>
              <w14:schemeClr w14:val="tx1"/>
            </w14:solidFill>
          </w14:textFill>
        </w:rPr>
        <w:t>对响应文件中的报价出现前后不一致的，按照下列规定修正：</w:t>
      </w:r>
    </w:p>
    <w:p w14:paraId="534264AA">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响应文件中</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报价一览表</w:t>
      </w:r>
      <w:r>
        <w:rPr>
          <w:rFonts w:hint="eastAsia" w:ascii="仿宋" w:hAnsi="仿宋" w:eastAsia="仿宋" w:cs="仿宋"/>
          <w:color w:val="000000" w:themeColor="text1"/>
          <w:sz w:val="24"/>
          <w:szCs w:val="24"/>
          <w:highlight w:val="none"/>
          <w14:textFill>
            <w14:solidFill>
              <w14:schemeClr w14:val="tx1"/>
            </w14:solidFill>
          </w14:textFill>
        </w:rPr>
        <w:t>内容与响应文件中相应内容不一致的，以</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报价一览表</w:t>
      </w:r>
      <w:r>
        <w:rPr>
          <w:rFonts w:hint="eastAsia" w:ascii="仿宋" w:hAnsi="仿宋" w:eastAsia="仿宋" w:cs="仿宋"/>
          <w:color w:val="000000" w:themeColor="text1"/>
          <w:sz w:val="24"/>
          <w:szCs w:val="24"/>
          <w:highlight w:val="none"/>
          <w14:textFill>
            <w14:solidFill>
              <w14:schemeClr w14:val="tx1"/>
            </w14:solidFill>
          </w14:textFill>
        </w:rPr>
        <w:t>为准；</w:t>
      </w:r>
    </w:p>
    <w:p w14:paraId="7952B8E0">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大写金额和小写金额不一致的，以大写金额为准；</w:t>
      </w:r>
    </w:p>
    <w:p w14:paraId="44AFCBA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单价金额小数点或者百分比有明显错位的，以</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报价一览表</w:t>
      </w:r>
      <w:r>
        <w:rPr>
          <w:rFonts w:hint="eastAsia" w:ascii="仿宋" w:hAnsi="仿宋" w:eastAsia="仿宋" w:cs="仿宋"/>
          <w:color w:val="000000" w:themeColor="text1"/>
          <w:sz w:val="24"/>
          <w:szCs w:val="24"/>
          <w:highlight w:val="none"/>
          <w14:textFill>
            <w14:solidFill>
              <w14:schemeClr w14:val="tx1"/>
            </w14:solidFill>
          </w14:textFill>
        </w:rPr>
        <w:t>的总价为准，并修改单价；</w:t>
      </w:r>
    </w:p>
    <w:p w14:paraId="31E55A26">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总价金额与按单价汇总金额不一致的，以单价金额计算结果为准。</w:t>
      </w:r>
    </w:p>
    <w:p w14:paraId="3AE1DDF2">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同时出现两种以上不一致的，按照该条款规定的顺序修正。修正后的报价经</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书面确认后产生约束力，</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不确认的，其响应无效。</w:t>
      </w:r>
    </w:p>
    <w:p w14:paraId="55EF79CA">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13.</w:t>
      </w:r>
      <w:r>
        <w:rPr>
          <w:rFonts w:hint="eastAsia" w:ascii="仿宋" w:hAnsi="仿宋" w:eastAsia="仿宋" w:cs="仿宋"/>
          <w:color w:val="000000" w:themeColor="text1"/>
          <w:sz w:val="24"/>
          <w:szCs w:val="24"/>
          <w:highlight w:val="none"/>
          <w14:textFill>
            <w14:solidFill>
              <w14:schemeClr w14:val="tx1"/>
            </w14:solidFill>
          </w14:textFill>
        </w:rPr>
        <w:t>评审报告应当由</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w:t>
      </w:r>
      <w:r>
        <w:rPr>
          <w:rFonts w:hint="eastAsia" w:ascii="仿宋" w:hAnsi="仿宋" w:eastAsia="仿宋" w:cs="仿宋"/>
          <w:color w:val="000000" w:themeColor="text1"/>
          <w:sz w:val="24"/>
          <w:szCs w:val="24"/>
          <w:highlight w:val="none"/>
          <w14:textFill>
            <w14:solidFill>
              <w14:schemeClr w14:val="tx1"/>
            </w14:solidFill>
          </w14:textFill>
        </w:rPr>
        <w:t>全体人员签字认可。</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评审委员会成员</w:t>
      </w:r>
      <w:r>
        <w:rPr>
          <w:rFonts w:hint="eastAsia" w:ascii="仿宋" w:hAnsi="仿宋" w:eastAsia="仿宋" w:cs="仿宋"/>
          <w:color w:val="000000" w:themeColor="text1"/>
          <w:sz w:val="24"/>
          <w:szCs w:val="24"/>
          <w:highlight w:val="none"/>
          <w14:textFill>
            <w14:solidFill>
              <w14:schemeClr w14:val="tx1"/>
            </w14:solidFill>
          </w14:textFill>
        </w:rPr>
        <w:t>对需要共同</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评定</w:t>
      </w:r>
      <w:r>
        <w:rPr>
          <w:rFonts w:hint="eastAsia" w:ascii="仿宋" w:hAnsi="仿宋" w:eastAsia="仿宋" w:cs="仿宋"/>
          <w:color w:val="000000" w:themeColor="text1"/>
          <w:sz w:val="24"/>
          <w:szCs w:val="24"/>
          <w:highlight w:val="none"/>
          <w14:textFill>
            <w14:solidFill>
              <w14:schemeClr w14:val="tx1"/>
            </w14:solidFill>
          </w14:textFill>
        </w:rPr>
        <w:t>的事项存在争议的，应当按照少数服从多数的原则作出结论。持不同意见的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评审委员会成员</w:t>
      </w:r>
      <w:r>
        <w:rPr>
          <w:rFonts w:hint="eastAsia" w:ascii="仿宋" w:hAnsi="仿宋" w:eastAsia="仿宋" w:cs="仿宋"/>
          <w:color w:val="000000" w:themeColor="text1"/>
          <w:sz w:val="24"/>
          <w:szCs w:val="24"/>
          <w:highlight w:val="none"/>
          <w14:textFill>
            <w14:solidFill>
              <w14:schemeClr w14:val="tx1"/>
            </w14:solidFill>
          </w14:textFill>
        </w:rPr>
        <w:t>应当在</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评审报告</w:t>
      </w:r>
      <w:r>
        <w:rPr>
          <w:rFonts w:hint="eastAsia" w:ascii="仿宋" w:hAnsi="仿宋" w:eastAsia="仿宋" w:cs="仿宋"/>
          <w:color w:val="000000" w:themeColor="text1"/>
          <w:sz w:val="24"/>
          <w:szCs w:val="24"/>
          <w:highlight w:val="none"/>
          <w14:textFill>
            <w14:solidFill>
              <w14:schemeClr w14:val="tx1"/>
            </w14:solidFill>
          </w14:textFill>
        </w:rPr>
        <w:t>上签署不同意见并说明理由，</w:t>
      </w:r>
      <w:r>
        <w:rPr>
          <w:rFonts w:hint="eastAsia" w:ascii="仿宋" w:hAnsi="仿宋" w:eastAsia="仿宋" w:cs="仿宋"/>
          <w:color w:val="000000" w:themeColor="text1"/>
          <w:sz w:val="24"/>
          <w:szCs w:val="24"/>
          <w:highlight w:val="none"/>
          <w:lang w:val="en-US" w:eastAsia="zh-CN"/>
          <w14:textFill>
            <w14:solidFill>
              <w14:schemeClr w14:val="tx1"/>
            </w14:solidFill>
          </w14:textFill>
        </w:rPr>
        <w:t>若</w:t>
      </w:r>
      <w:r>
        <w:rPr>
          <w:rFonts w:hint="eastAsia" w:ascii="仿宋" w:hAnsi="仿宋" w:eastAsia="仿宋" w:cs="仿宋"/>
          <w:color w:val="000000" w:themeColor="text1"/>
          <w:sz w:val="24"/>
          <w:szCs w:val="24"/>
          <w:highlight w:val="none"/>
          <w14:textFill>
            <w14:solidFill>
              <w14:schemeClr w14:val="tx1"/>
            </w14:solidFill>
          </w14:textFill>
        </w:rPr>
        <w:t>拒绝在</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w:t>
      </w:r>
      <w:r>
        <w:rPr>
          <w:rFonts w:hint="eastAsia" w:ascii="仿宋" w:hAnsi="仿宋" w:eastAsia="仿宋" w:cs="仿宋"/>
          <w:color w:val="000000" w:themeColor="text1"/>
          <w:sz w:val="24"/>
          <w:szCs w:val="24"/>
          <w:highlight w:val="none"/>
          <w14:textFill>
            <w14:solidFill>
              <w14:schemeClr w14:val="tx1"/>
            </w14:solidFill>
          </w14:textFill>
        </w:rPr>
        <w:t>报告上签字又不书面说明其不同意见和理由的，视为同意评审报告。</w:t>
      </w:r>
    </w:p>
    <w:p w14:paraId="395ADF4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b/>
          <w:bCs/>
          <w:color w:val="000000" w:themeColor="text1"/>
          <w:sz w:val="24"/>
          <w:szCs w:val="24"/>
          <w:highlight w:val="none"/>
          <w14:textFill>
            <w14:solidFill>
              <w14:schemeClr w14:val="tx1"/>
            </w14:solidFill>
          </w14:textFill>
        </w:rPr>
        <w:t>推荐</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候选人名单</w:t>
      </w:r>
    </w:p>
    <w:p w14:paraId="0F4A45D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评审委员会从推荐的成交候选人中确定排名第一的供应商成交。排名第一的供应商放弃成交或出现法定原因不能成交的，可以确定排名第二的供应商为成交供应商，并以此类推，也可重新采购。拒绝签订采购合同的成交供应商不得参加对该项目重新开展的采购活动。</w:t>
      </w:r>
    </w:p>
    <w:p w14:paraId="048ECAD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bCs/>
          <w:color w:val="000000" w:themeColor="text1"/>
          <w:sz w:val="24"/>
          <w:szCs w:val="24"/>
          <w:highlight w:val="none"/>
          <w14:textFill>
            <w14:solidFill>
              <w14:schemeClr w14:val="tx1"/>
            </w14:solidFill>
          </w14:textFill>
        </w:rPr>
        <w:t>发布</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结果</w:t>
      </w:r>
    </w:p>
    <w:p w14:paraId="6EB354E5">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541A861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七、质疑与投诉</w:t>
      </w:r>
    </w:p>
    <w:p w14:paraId="5FB1D70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质疑</w:t>
      </w:r>
    </w:p>
    <w:p w14:paraId="761C6723">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1、提出质疑的供应商应当是参与所质疑项目采购活动的供应商。</w:t>
      </w:r>
    </w:p>
    <w:p w14:paraId="3C56831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供应商认为</w:t>
      </w:r>
      <w:r>
        <w:rPr>
          <w:rFonts w:hint="eastAsia" w:ascii="仿宋" w:hAnsi="仿宋" w:eastAsia="仿宋" w:cs="仿宋"/>
          <w:color w:val="000000" w:themeColor="text1"/>
          <w:sz w:val="24"/>
          <w:szCs w:val="24"/>
          <w:highlight w:val="none"/>
          <w:lang w:eastAsia="zh-CN"/>
          <w14:textFill>
            <w14:solidFill>
              <w14:schemeClr w14:val="tx1"/>
            </w14:solidFill>
          </w14:textFill>
        </w:rPr>
        <w:t>谈判文件</w:t>
      </w:r>
      <w:r>
        <w:rPr>
          <w:rFonts w:hint="eastAsia" w:ascii="仿宋" w:hAnsi="仿宋" w:eastAsia="仿宋" w:cs="仿宋"/>
          <w:color w:val="000000" w:themeColor="text1"/>
          <w:sz w:val="24"/>
          <w:szCs w:val="24"/>
          <w:highlight w:val="none"/>
          <w14:textFill>
            <w14:solidFill>
              <w14:schemeClr w14:val="tx1"/>
            </w14:solidFill>
          </w14:textFill>
        </w:rPr>
        <w:t>、采购过程、中标或者成交结果使自己的权益受到损害的，可以在知道或者应知其权益受到损害之日起</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个工作日内，以书面形式由法定代表人或授权代表签字并加盖单位公章后</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向采购人提出质疑。</w:t>
      </w:r>
    </w:p>
    <w:p w14:paraId="00E21471">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、供应商应在</w:t>
      </w:r>
      <w:r>
        <w:rPr>
          <w:rFonts w:hint="eastAsia" w:ascii="仿宋" w:hAnsi="仿宋" w:eastAsia="仿宋" w:cs="仿宋"/>
          <w:color w:val="000000" w:themeColor="text1"/>
          <w:sz w:val="24"/>
          <w:szCs w:val="24"/>
          <w:highlight w:val="none"/>
          <w:lang w:val="en-US" w:eastAsia="zh-CN"/>
          <w14:textFill>
            <w14:solidFill>
              <w14:schemeClr w14:val="tx1"/>
            </w14:solidFill>
          </w14:textFill>
        </w:rPr>
        <w:t>限定</w:t>
      </w:r>
      <w:r>
        <w:rPr>
          <w:rFonts w:hint="eastAsia" w:ascii="仿宋" w:hAnsi="仿宋" w:eastAsia="仿宋" w:cs="仿宋"/>
          <w:color w:val="000000" w:themeColor="text1"/>
          <w:sz w:val="24"/>
          <w:szCs w:val="24"/>
          <w:highlight w:val="none"/>
          <w14:textFill>
            <w14:solidFill>
              <w14:schemeClr w14:val="tx1"/>
            </w14:solidFill>
          </w14:textFill>
        </w:rPr>
        <w:t>质疑期内一次性提出针对同一采购程序环节的质疑。若对项目的某一分包进行质疑，质疑函中应列明具体分包号。</w:t>
      </w:r>
    </w:p>
    <w:p w14:paraId="527E069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、采购人不得拒收质疑供应商在</w:t>
      </w:r>
      <w:r>
        <w:rPr>
          <w:rFonts w:hint="eastAsia" w:ascii="仿宋" w:hAnsi="仿宋" w:eastAsia="仿宋" w:cs="仿宋"/>
          <w:color w:val="000000" w:themeColor="text1"/>
          <w:sz w:val="24"/>
          <w:szCs w:val="24"/>
          <w:highlight w:val="none"/>
          <w:lang w:eastAsia="zh-CN"/>
          <w14:textFill>
            <w14:solidFill>
              <w14:schemeClr w14:val="tx1"/>
            </w14:solidFill>
          </w14:textFill>
        </w:rPr>
        <w:t>限定质疑</w:t>
      </w:r>
      <w:r>
        <w:rPr>
          <w:rFonts w:hint="eastAsia" w:ascii="仿宋" w:hAnsi="仿宋" w:eastAsia="仿宋" w:cs="仿宋"/>
          <w:color w:val="000000" w:themeColor="text1"/>
          <w:sz w:val="24"/>
          <w:szCs w:val="24"/>
          <w:highlight w:val="none"/>
          <w14:textFill>
            <w14:solidFill>
              <w14:schemeClr w14:val="tx1"/>
            </w14:solidFill>
          </w14:textFill>
        </w:rPr>
        <w:t>期内发出的质疑函，应当在收到质疑函后7个工作日内作出答复，并以书面形式通知质疑供应商和其他有关供应商。</w:t>
      </w:r>
    </w:p>
    <w:p w14:paraId="2F65608C">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供应商对评审过程、中标或者成交结果提出质疑的，采购人可以组织原</w:t>
      </w:r>
      <w:r>
        <w:rPr>
          <w:rFonts w:hint="eastAsia" w:ascii="仿宋" w:hAnsi="仿宋" w:eastAsia="仿宋" w:cs="仿宋"/>
          <w:color w:val="000000" w:themeColor="text1"/>
          <w:sz w:val="24"/>
          <w:szCs w:val="24"/>
          <w:highlight w:val="none"/>
          <w:lang w:eastAsia="zh-CN"/>
          <w14:textFill>
            <w14:solidFill>
              <w14:schemeClr w14:val="tx1"/>
            </w14:solidFill>
          </w14:textFill>
        </w:rPr>
        <w:t>评审委员会</w:t>
      </w:r>
      <w:r>
        <w:rPr>
          <w:rFonts w:hint="eastAsia" w:ascii="仿宋" w:hAnsi="仿宋" w:eastAsia="仿宋" w:cs="仿宋"/>
          <w:color w:val="000000" w:themeColor="text1"/>
          <w:sz w:val="24"/>
          <w:szCs w:val="24"/>
          <w:highlight w:val="none"/>
          <w14:textFill>
            <w14:solidFill>
              <w14:schemeClr w14:val="tx1"/>
            </w14:solidFill>
          </w14:textFill>
        </w:rPr>
        <w:t xml:space="preserve">协助答复质疑。  </w:t>
      </w:r>
    </w:p>
    <w:p w14:paraId="2CF55B31">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1820BFC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69C7160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供应商的姓名或者名称、地址、邮编、联系人及联系电话；</w:t>
      </w:r>
    </w:p>
    <w:p w14:paraId="4906E4AE">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质疑项目的名称、编号；</w:t>
      </w:r>
    </w:p>
    <w:p w14:paraId="14090AFA">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具体、明确的质疑事项和与质疑事项相关的请求；</w:t>
      </w:r>
    </w:p>
    <w:p w14:paraId="33C0B80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事实依据；</w:t>
      </w:r>
    </w:p>
    <w:p w14:paraId="493C733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必要的法律依据；</w:t>
      </w:r>
    </w:p>
    <w:p w14:paraId="64B13CD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提出质疑的日期。</w:t>
      </w:r>
    </w:p>
    <w:p w14:paraId="0205A0FD">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413515D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23B40D32">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6FBAAE54">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33687E6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5CF64A91">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078FCFA5">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4E7D3712">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八、合同的订立 </w:t>
      </w:r>
    </w:p>
    <w:p w14:paraId="040EBFA9">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cs="宋体"/>
          <w:color w:val="000000"/>
          <w:sz w:val="24"/>
          <w:szCs w:val="36"/>
          <w:highlight w:val="none"/>
        </w:rPr>
      </w:pPr>
      <w:r>
        <w:rPr>
          <w:rFonts w:hint="eastAsia" w:ascii="仿宋" w:hAnsi="仿宋" w:eastAsia="仿宋" w:cs="仿宋"/>
          <w:b w:val="0"/>
          <w:bCs w:val="0"/>
          <w:sz w:val="24"/>
          <w:szCs w:val="24"/>
          <w:highlight w:val="none"/>
          <w:lang w:val="en-US" w:eastAsia="zh-CN"/>
        </w:rPr>
        <w:t>采购人与成交人自成交通知书发出之日起三十日内，按谈判文件要求和成交人响应文件承诺签订采购合同，但不得超出谈判文件和成交人响应文件的范围，也不得再行订立背离合同实质性内容的其他协议。</w:t>
      </w:r>
    </w:p>
    <w:p w14:paraId="2E858003">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14:paraId="426AC7FA">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1ED79261">
      <w:pPr>
        <w:pStyle w:val="24"/>
        <w:rPr>
          <w:rFonts w:hint="eastAsia" w:ascii="微软雅黑" w:hAnsi="微软雅黑" w:eastAsia="微软雅黑" w:cs="微软雅黑"/>
          <w:color w:val="000000"/>
          <w:highlight w:val="none"/>
        </w:rPr>
      </w:pPr>
    </w:p>
    <w:p w14:paraId="5DC454B2">
      <w:pPr>
        <w:pStyle w:val="24"/>
        <w:rPr>
          <w:rFonts w:hint="eastAsia" w:ascii="微软雅黑" w:hAnsi="微软雅黑" w:eastAsia="微软雅黑" w:cs="微软雅黑"/>
          <w:color w:val="000000"/>
          <w:highlight w:val="none"/>
        </w:rPr>
      </w:pPr>
    </w:p>
    <w:p w14:paraId="1DEA5019">
      <w:pPr>
        <w:pStyle w:val="24"/>
        <w:rPr>
          <w:rFonts w:hint="eastAsia" w:ascii="微软雅黑" w:hAnsi="微软雅黑" w:eastAsia="微软雅黑" w:cs="微软雅黑"/>
          <w:color w:val="000000"/>
          <w:highlight w:val="none"/>
        </w:rPr>
      </w:pPr>
    </w:p>
    <w:p w14:paraId="5D0BC20A">
      <w:pPr>
        <w:pStyle w:val="24"/>
        <w:rPr>
          <w:rFonts w:hint="eastAsia" w:ascii="微软雅黑" w:hAnsi="微软雅黑" w:eastAsia="微软雅黑" w:cs="微软雅黑"/>
          <w:color w:val="000000"/>
          <w:highlight w:val="none"/>
        </w:rPr>
      </w:pPr>
    </w:p>
    <w:p w14:paraId="5C2D8E19">
      <w:pPr>
        <w:pStyle w:val="24"/>
        <w:rPr>
          <w:rFonts w:hint="eastAsia" w:ascii="微软雅黑" w:hAnsi="微软雅黑" w:eastAsia="微软雅黑" w:cs="微软雅黑"/>
          <w:color w:val="000000"/>
          <w:highlight w:val="none"/>
        </w:rPr>
      </w:pPr>
    </w:p>
    <w:p w14:paraId="241861FF">
      <w:pPr>
        <w:pStyle w:val="24"/>
        <w:rPr>
          <w:rFonts w:hint="eastAsia" w:ascii="微软雅黑" w:hAnsi="微软雅黑" w:eastAsia="微软雅黑" w:cs="微软雅黑"/>
          <w:color w:val="000000"/>
          <w:highlight w:val="none"/>
        </w:rPr>
      </w:pPr>
    </w:p>
    <w:p w14:paraId="45C5E19F">
      <w:pPr>
        <w:pStyle w:val="24"/>
        <w:rPr>
          <w:rFonts w:hint="eastAsia" w:ascii="微软雅黑" w:hAnsi="微软雅黑" w:eastAsia="微软雅黑" w:cs="微软雅黑"/>
          <w:color w:val="000000"/>
          <w:highlight w:val="none"/>
        </w:rPr>
      </w:pPr>
    </w:p>
    <w:p w14:paraId="5B9DE1D3">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065ACAA9">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C980870">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4FC561F">
      <w:pPr>
        <w:rPr>
          <w:rFonts w:hint="eastAsia" w:ascii="微软雅黑" w:hAnsi="微软雅黑" w:eastAsia="微软雅黑" w:cs="微软雅黑"/>
          <w:color w:val="000000"/>
          <w:highlight w:val="none"/>
        </w:rPr>
      </w:pPr>
    </w:p>
    <w:p w14:paraId="4339D957">
      <w:pPr>
        <w:pStyle w:val="2"/>
        <w:rPr>
          <w:rFonts w:hint="eastAsia" w:ascii="微软雅黑" w:hAnsi="微软雅黑" w:eastAsia="微软雅黑" w:cs="微软雅黑"/>
          <w:color w:val="000000"/>
          <w:highlight w:val="none"/>
        </w:rPr>
      </w:pPr>
    </w:p>
    <w:p w14:paraId="0D7B8B07">
      <w:pPr>
        <w:rPr>
          <w:rFonts w:hint="eastAsia" w:ascii="微软雅黑" w:hAnsi="微软雅黑" w:eastAsia="微软雅黑" w:cs="微软雅黑"/>
          <w:color w:val="000000"/>
          <w:highlight w:val="none"/>
        </w:rPr>
      </w:pPr>
    </w:p>
    <w:p w14:paraId="274C9A6F">
      <w:pPr>
        <w:pStyle w:val="2"/>
        <w:rPr>
          <w:rFonts w:hint="eastAsia" w:ascii="微软雅黑" w:hAnsi="微软雅黑" w:eastAsia="微软雅黑" w:cs="微软雅黑"/>
          <w:color w:val="000000"/>
          <w:highlight w:val="none"/>
        </w:rPr>
      </w:pPr>
    </w:p>
    <w:p w14:paraId="04247ACA">
      <w:pPr>
        <w:rPr>
          <w:rFonts w:hint="eastAsia" w:ascii="微软雅黑" w:hAnsi="微软雅黑" w:eastAsia="微软雅黑" w:cs="微软雅黑"/>
          <w:color w:val="000000"/>
          <w:highlight w:val="none"/>
        </w:rPr>
      </w:pPr>
    </w:p>
    <w:p w14:paraId="65FFC77B">
      <w:pPr>
        <w:pStyle w:val="2"/>
        <w:rPr>
          <w:rFonts w:hint="eastAsia" w:ascii="微软雅黑" w:hAnsi="微软雅黑" w:eastAsia="微软雅黑" w:cs="微软雅黑"/>
          <w:color w:val="000000"/>
          <w:highlight w:val="none"/>
        </w:rPr>
      </w:pPr>
    </w:p>
    <w:p w14:paraId="719C24A8">
      <w:pPr>
        <w:rPr>
          <w:rFonts w:hint="eastAsia" w:ascii="微软雅黑" w:hAnsi="微软雅黑" w:eastAsia="微软雅黑" w:cs="微软雅黑"/>
          <w:color w:val="000000"/>
          <w:highlight w:val="none"/>
        </w:rPr>
      </w:pPr>
    </w:p>
    <w:p w14:paraId="6DE87645">
      <w:pPr>
        <w:pStyle w:val="2"/>
        <w:rPr>
          <w:rFonts w:hint="eastAsia" w:ascii="微软雅黑" w:hAnsi="微软雅黑" w:eastAsia="微软雅黑" w:cs="微软雅黑"/>
          <w:color w:val="000000"/>
          <w:highlight w:val="none"/>
        </w:rPr>
      </w:pPr>
    </w:p>
    <w:p w14:paraId="237C355E">
      <w:pPr>
        <w:rPr>
          <w:rFonts w:hint="eastAsia" w:ascii="微软雅黑" w:hAnsi="微软雅黑" w:eastAsia="微软雅黑" w:cs="微软雅黑"/>
          <w:color w:val="000000"/>
          <w:highlight w:val="none"/>
        </w:rPr>
      </w:pPr>
    </w:p>
    <w:p w14:paraId="6431C9B0">
      <w:pPr>
        <w:pStyle w:val="2"/>
        <w:rPr>
          <w:rFonts w:hint="eastAsia" w:ascii="微软雅黑" w:hAnsi="微软雅黑" w:eastAsia="微软雅黑" w:cs="微软雅黑"/>
          <w:color w:val="000000"/>
          <w:highlight w:val="none"/>
        </w:rPr>
      </w:pPr>
    </w:p>
    <w:p w14:paraId="71455491">
      <w:pPr>
        <w:rPr>
          <w:rFonts w:hint="eastAsia" w:ascii="微软雅黑" w:hAnsi="微软雅黑" w:eastAsia="微软雅黑" w:cs="微软雅黑"/>
          <w:color w:val="000000"/>
          <w:highlight w:val="none"/>
        </w:rPr>
      </w:pPr>
    </w:p>
    <w:p w14:paraId="28A33C8F">
      <w:pPr>
        <w:pStyle w:val="2"/>
        <w:rPr>
          <w:rFonts w:hint="eastAsia" w:ascii="微软雅黑" w:hAnsi="微软雅黑" w:eastAsia="微软雅黑" w:cs="微软雅黑"/>
          <w:color w:val="000000"/>
          <w:highlight w:val="none"/>
        </w:rPr>
      </w:pPr>
    </w:p>
    <w:p w14:paraId="2E9F9397">
      <w:pPr>
        <w:pStyle w:val="2"/>
        <w:rPr>
          <w:rFonts w:hint="eastAsia"/>
        </w:rPr>
      </w:pPr>
    </w:p>
    <w:p w14:paraId="55705A1A">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778A1C07">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6F7D23A0">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811D37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425798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7C15967">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6A9A8F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963453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D243F0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855C92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31B646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4F727BD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83B4A14">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6B1B7F1">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5288EDD8">
      <w:pPr>
        <w:shd w:val="clear" w:color="auto" w:fill="FFFFFF"/>
        <w:spacing w:beforeAutospacing="1"/>
        <w:rPr>
          <w:rFonts w:hint="eastAsia" w:ascii="仿宋" w:hAnsi="仿宋" w:eastAsia="仿宋" w:cs="仿宋"/>
          <w:color w:val="000000"/>
          <w:sz w:val="21"/>
          <w:szCs w:val="24"/>
          <w:highlight w:val="none"/>
          <w:shd w:val="clear" w:color="auto" w:fill="FFFFFF"/>
        </w:rPr>
      </w:pPr>
    </w:p>
    <w:p w14:paraId="2E4DED9B">
      <w:pPr>
        <w:shd w:val="clear" w:color="auto" w:fill="FFFFFF"/>
        <w:spacing w:beforeAutospacing="1"/>
        <w:rPr>
          <w:rFonts w:hint="eastAsia" w:ascii="仿宋" w:hAnsi="仿宋" w:eastAsia="仿宋" w:cs="仿宋"/>
          <w:color w:val="000000"/>
          <w:sz w:val="21"/>
          <w:szCs w:val="24"/>
          <w:highlight w:val="none"/>
          <w:shd w:val="clear" w:color="auto" w:fill="FFFFFF"/>
        </w:rPr>
      </w:pPr>
    </w:p>
    <w:p w14:paraId="74C3D6C6">
      <w:pPr>
        <w:pStyle w:val="24"/>
        <w:rPr>
          <w:rFonts w:hint="eastAsia" w:ascii="仿宋" w:hAnsi="仿宋" w:eastAsia="仿宋" w:cs="仿宋"/>
        </w:rPr>
      </w:pPr>
    </w:p>
    <w:p w14:paraId="58E736BA">
      <w:pPr>
        <w:shd w:val="clear" w:color="auto" w:fill="FFFFFF"/>
        <w:spacing w:beforeAutospacing="1"/>
        <w:rPr>
          <w:rFonts w:hint="eastAsia" w:ascii="仿宋" w:hAnsi="仿宋" w:eastAsia="仿宋" w:cs="仿宋"/>
          <w:color w:val="000000"/>
          <w:sz w:val="21"/>
          <w:szCs w:val="24"/>
          <w:highlight w:val="none"/>
          <w:shd w:val="clear" w:color="auto" w:fill="FFFFFF"/>
        </w:rPr>
      </w:pPr>
    </w:p>
    <w:p w14:paraId="6BC28995">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155B48A5">
      <w:pPr>
        <w:spacing w:beforeAutospacing="1" w:line="360" w:lineRule="auto"/>
        <w:rPr>
          <w:rFonts w:hint="eastAsia" w:ascii="仿宋" w:hAnsi="仿宋" w:eastAsia="仿宋" w:cs="仿宋"/>
          <w:b/>
          <w:color w:val="000000"/>
          <w:sz w:val="48"/>
          <w:szCs w:val="48"/>
          <w:highlight w:val="none"/>
        </w:rPr>
      </w:pPr>
    </w:p>
    <w:p w14:paraId="18E5DC62">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467A11CA">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53F04285">
      <w:pPr>
        <w:spacing w:beforeAutospacing="1" w:line="360" w:lineRule="auto"/>
        <w:rPr>
          <w:rFonts w:hint="eastAsia" w:ascii="仿宋" w:hAnsi="仿宋" w:eastAsia="仿宋" w:cs="仿宋"/>
          <w:b/>
          <w:color w:val="000000"/>
          <w:sz w:val="28"/>
          <w:szCs w:val="28"/>
          <w:highlight w:val="none"/>
        </w:rPr>
      </w:pPr>
    </w:p>
    <w:tbl>
      <w:tblPr>
        <w:tblStyle w:val="19"/>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56BA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262D5DF">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6BFF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F12E153">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42BA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34CC62FE">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1A8F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760FFE55">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C1592D8">
      <w:pPr>
        <w:spacing w:beforeAutospacing="1" w:line="360" w:lineRule="auto"/>
        <w:rPr>
          <w:rFonts w:hint="eastAsia" w:ascii="仿宋_GB2312" w:eastAsia="仿宋_GB2312" w:cs="仿宋_GB2312"/>
          <w:b/>
          <w:color w:val="000000"/>
          <w:sz w:val="28"/>
          <w:szCs w:val="28"/>
          <w:highlight w:val="none"/>
        </w:rPr>
      </w:pPr>
    </w:p>
    <w:p w14:paraId="0C44E661">
      <w:pPr>
        <w:pStyle w:val="24"/>
        <w:rPr>
          <w:rFonts w:hint="eastAsia"/>
        </w:rPr>
      </w:pPr>
    </w:p>
    <w:p w14:paraId="6D2ADB80">
      <w:pPr>
        <w:pStyle w:val="24"/>
        <w:rPr>
          <w:rFonts w:hint="eastAsia"/>
        </w:rPr>
      </w:pPr>
    </w:p>
    <w:p w14:paraId="7676A2F5">
      <w:pPr>
        <w:pStyle w:val="24"/>
        <w:rPr>
          <w:rFonts w:hint="eastAsia"/>
        </w:rPr>
      </w:pPr>
    </w:p>
    <w:p w14:paraId="7E94338E">
      <w:pPr>
        <w:pStyle w:val="24"/>
        <w:rPr>
          <w:rFonts w:hint="eastAsia"/>
        </w:rPr>
      </w:pPr>
    </w:p>
    <w:p w14:paraId="4674C5D1">
      <w:pPr>
        <w:pStyle w:val="26"/>
        <w:ind w:firstLine="0" w:firstLineChars="0"/>
        <w:rPr>
          <w:rFonts w:hint="eastAsia" w:ascii="仿宋_GB2312" w:eastAsia="仿宋_GB2312" w:cs="仿宋_GB2312"/>
          <w:b/>
          <w:color w:val="000000"/>
          <w:sz w:val="28"/>
          <w:szCs w:val="28"/>
          <w:highlight w:val="none"/>
        </w:rPr>
      </w:pPr>
    </w:p>
    <w:p w14:paraId="461EDA23">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64655728">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54152E1A">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20666AEA">
      <w:pPr>
        <w:spacing w:beforeAutospacing="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sz w:val="24"/>
          <w:szCs w:val="24"/>
          <w:highlight w:val="none"/>
        </w:rPr>
        <w:t>甲方（</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）：中山大学孙逸仙纪念医院</w:t>
      </w:r>
    </w:p>
    <w:p w14:paraId="0737ABE8">
      <w:pPr>
        <w:spacing w:beforeAutospacing="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乙方（成交方）：</w:t>
      </w:r>
    </w:p>
    <w:p w14:paraId="7388EC8E">
      <w:pPr>
        <w:keepNext w:val="0"/>
        <w:keepLines w:val="0"/>
        <w:pageBreakBefore w:val="0"/>
        <w:widowControl w:val="0"/>
        <w:kinsoku/>
        <w:wordWrap/>
        <w:overflowPunct/>
        <w:topLinePunct w:val="0"/>
        <w:autoSpaceDE/>
        <w:autoSpaceDN/>
        <w:bidi w:val="0"/>
        <w:adjustRightInd/>
        <w:snapToGrid/>
        <w:ind w:left="0" w:firstLine="420" w:firstLineChars="200"/>
        <w:textAlignment w:val="auto"/>
        <w:rPr>
          <w:rFonts w:hint="eastAsia" w:ascii="仿宋" w:hAnsi="仿宋" w:eastAsia="仿宋" w:cs="仿宋"/>
          <w:color w:val="auto"/>
          <w:szCs w:val="21"/>
          <w:highlight w:val="none"/>
        </w:rPr>
      </w:pPr>
    </w:p>
    <w:p w14:paraId="7F59B0FB">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根据《中华人民共和国民法典》及中山大学孙逸仙纪念医院公务车辆定点加油服务项目的采购结果和谈判文件的要求，经双方协商，本着平等互利和诚实信用的原则，</w:t>
      </w:r>
      <w:r>
        <w:rPr>
          <w:rFonts w:hint="eastAsia" w:ascii="仿宋" w:hAnsi="仿宋" w:eastAsia="仿宋" w:cs="仿宋"/>
          <w:color w:val="auto"/>
          <w:kern w:val="28"/>
          <w:sz w:val="24"/>
          <w:szCs w:val="24"/>
          <w:highlight w:val="none"/>
        </w:rPr>
        <w:t>一致同意签订本合同如下。</w:t>
      </w:r>
    </w:p>
    <w:p w14:paraId="24A9ADE0">
      <w:pPr>
        <w:keepNext w:val="0"/>
        <w:keepLines w:val="0"/>
        <w:pageBreakBefore w:val="0"/>
        <w:widowControl w:val="0"/>
        <w:tabs>
          <w:tab w:val="left" w:pos="630"/>
          <w:tab w:val="left" w:pos="960"/>
        </w:tabs>
        <w:kinsoku/>
        <w:wordWrap/>
        <w:overflowPunct/>
        <w:topLinePunct w:val="0"/>
        <w:autoSpaceDE/>
        <w:autoSpaceDN/>
        <w:bidi w:val="0"/>
        <w:adjustRightInd/>
        <w:snapToGrid/>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一、采购服务标的、数量 </w:t>
      </w:r>
    </w:p>
    <w:p w14:paraId="571542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服务内容：中山大学孙逸仙纪念医院</w:t>
      </w:r>
      <w:r>
        <w:rPr>
          <w:rFonts w:hint="eastAsia" w:ascii="仿宋" w:hAnsi="仿宋" w:eastAsia="仿宋" w:cs="仿宋"/>
          <w:b/>
          <w:bCs/>
          <w:color w:val="auto"/>
          <w:sz w:val="24"/>
          <w:szCs w:val="24"/>
          <w:highlight w:val="yellow"/>
          <w:u w:val="single"/>
          <w:lang w:val="en-US" w:eastAsia="zh-CN"/>
        </w:rPr>
        <w:t xml:space="preserve"> 北院区/南院区/花都院区 </w:t>
      </w:r>
      <w:r>
        <w:rPr>
          <w:rFonts w:hint="eastAsia" w:ascii="仿宋" w:hAnsi="仿宋" w:eastAsia="仿宋" w:cs="仿宋"/>
          <w:color w:val="auto"/>
          <w:sz w:val="24"/>
          <w:szCs w:val="24"/>
          <w:highlight w:val="none"/>
        </w:rPr>
        <w:t>公务车辆定点加油服务</w:t>
      </w:r>
    </w:p>
    <w:p w14:paraId="02E2F6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仿宋" w:hAnsi="仿宋" w:eastAsia="仿宋" w:cs="仿宋"/>
          <w:color w:val="FF0000"/>
          <w:sz w:val="24"/>
          <w:szCs w:val="24"/>
          <w:highlight w:val="yellow"/>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服务期限：自合同生效之日起2年或对应子包支付达到对应采购预算（</w:t>
      </w:r>
      <w:r>
        <w:rPr>
          <w:rFonts w:hint="eastAsia" w:ascii="仿宋" w:hAnsi="仿宋" w:eastAsia="仿宋" w:cs="仿宋"/>
          <w:color w:val="auto"/>
          <w:sz w:val="24"/>
          <w:szCs w:val="24"/>
          <w:highlight w:val="yellow"/>
          <w:lang w:val="en-US" w:eastAsia="zh-CN"/>
        </w:rPr>
        <w:t xml:space="preserve">   元</w:t>
      </w:r>
      <w:r>
        <w:rPr>
          <w:rFonts w:hint="eastAsia" w:ascii="仿宋" w:hAnsi="仿宋" w:eastAsia="仿宋" w:cs="仿宋"/>
          <w:color w:val="auto"/>
          <w:sz w:val="24"/>
          <w:szCs w:val="24"/>
          <w:highlight w:val="none"/>
        </w:rPr>
        <w:t>）为止</w:t>
      </w:r>
      <w:r>
        <w:rPr>
          <w:rFonts w:hint="eastAsia" w:ascii="仿宋" w:hAnsi="仿宋" w:eastAsia="仿宋" w:cs="仿宋"/>
          <w:color w:val="FF0000"/>
          <w:sz w:val="24"/>
          <w:szCs w:val="24"/>
          <w:highlight w:val="none"/>
          <w:lang w:val="en-US" w:eastAsia="zh-CN"/>
        </w:rPr>
        <w:t>。</w:t>
      </w:r>
    </w:p>
    <w:p w14:paraId="6D3C9531">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3.服务范围：</w:t>
      </w:r>
      <w:r>
        <w:rPr>
          <w:rFonts w:hint="eastAsia" w:ascii="仿宋" w:hAnsi="仿宋" w:eastAsia="仿宋" w:cs="仿宋"/>
          <w:color w:val="auto"/>
          <w:sz w:val="24"/>
          <w:szCs w:val="24"/>
          <w:highlight w:val="none"/>
        </w:rPr>
        <w:t>中山大学孙逸仙纪念医院</w:t>
      </w:r>
      <w:r>
        <w:rPr>
          <w:rFonts w:hint="eastAsia" w:ascii="仿宋" w:hAnsi="仿宋" w:eastAsia="仿宋" w:cs="仿宋"/>
          <w:color w:val="auto"/>
          <w:sz w:val="24"/>
          <w:szCs w:val="24"/>
          <w:highlight w:val="none"/>
          <w:lang w:val="en-US" w:eastAsia="zh-CN"/>
        </w:rPr>
        <w:t>所有车辆及合同期内新增的车辆</w:t>
      </w:r>
    </w:p>
    <w:p w14:paraId="6B859E9C">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4.提供油品标号包括：</w:t>
      </w:r>
      <w:r>
        <w:rPr>
          <w:rFonts w:hint="eastAsia" w:ascii="仿宋" w:hAnsi="仿宋" w:eastAsia="仿宋" w:cs="仿宋"/>
          <w:color w:val="auto"/>
          <w:sz w:val="24"/>
          <w:szCs w:val="24"/>
          <w:highlight w:val="none"/>
          <w:u w:val="single"/>
          <w:lang w:val="en-US" w:eastAsia="zh-CN"/>
        </w:rPr>
        <w:t xml:space="preserve">        </w:t>
      </w:r>
    </w:p>
    <w:p w14:paraId="7521AD57">
      <w:pPr>
        <w:keepNext w:val="0"/>
        <w:keepLines w:val="0"/>
        <w:pageBreakBefore w:val="0"/>
        <w:widowControl w:val="0"/>
        <w:kinsoku/>
        <w:wordWrap/>
        <w:overflowPunct/>
        <w:topLinePunct w:val="0"/>
        <w:autoSpaceDE/>
        <w:autoSpaceDN/>
        <w:bidi w:val="0"/>
        <w:adjustRightInd/>
        <w:snapToGrid/>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二、合同金额</w:t>
      </w:r>
    </w:p>
    <w:p w14:paraId="691FD840">
      <w:pPr>
        <w:pStyle w:val="12"/>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2"/>
          <w:highlight w:val="none"/>
        </w:rPr>
      </w:pPr>
      <w:r>
        <w:rPr>
          <w:rFonts w:hint="eastAsia" w:ascii="仿宋" w:hAnsi="仿宋" w:eastAsia="仿宋" w:cs="仿宋"/>
          <w:color w:val="auto"/>
          <w:sz w:val="24"/>
          <w:szCs w:val="22"/>
          <w:highlight w:val="none"/>
        </w:rPr>
        <w:t>合同金额为（大写）：_________________元（￥___________元）人民币。具体以实际产生的费用结算，详见附件报价清单。</w:t>
      </w:r>
    </w:p>
    <w:p w14:paraId="25DF8225">
      <w:pPr>
        <w:keepNext w:val="0"/>
        <w:keepLines w:val="0"/>
        <w:pageBreakBefore w:val="0"/>
        <w:widowControl w:val="0"/>
        <w:kinsoku/>
        <w:wordWrap/>
        <w:overflowPunct/>
        <w:topLinePunct w:val="0"/>
        <w:autoSpaceDE/>
        <w:autoSpaceDN/>
        <w:bidi w:val="0"/>
        <w:adjustRightInd/>
        <w:snapToGrid/>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三、服务要求</w:t>
      </w:r>
    </w:p>
    <w:p w14:paraId="6DD71272">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所提供的燃油油品质量必须达到国家相关标准及要求，保证油品来源渠道合法合规，严禁提供假冒伪劣、过期变质物资。如经第三方检测机构认定因油质问题致使</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车辆部件损坏的，除鉴定费用由</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支付外，</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还须无条件赔偿医院所受损失，同时</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有权单方终止采购合同。</w:t>
      </w:r>
    </w:p>
    <w:p w14:paraId="6A42F157">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有权对</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所供应油品不定期不限次抽检。若经相关部门鉴定确立存在问题时（以国家或者地方政府指定检测部门抽检油站油品检验结果为基准），鉴定费用由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支付，并由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承担责任，赔偿损失。</w:t>
      </w:r>
    </w:p>
    <w:p w14:paraId="612CC4EF">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加油站所提供的加油站应位于医院</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yellow"/>
          <w:u w:val="single"/>
          <w:lang w:val="zh-TW" w:eastAsia="zh-CN"/>
        </w:rPr>
        <w:t>北</w:t>
      </w:r>
      <w:r>
        <w:rPr>
          <w:rFonts w:hint="eastAsia" w:ascii="仿宋" w:hAnsi="仿宋" w:eastAsia="仿宋" w:cs="仿宋"/>
          <w:b/>
          <w:bCs/>
          <w:color w:val="auto"/>
          <w:sz w:val="24"/>
          <w:szCs w:val="24"/>
          <w:highlight w:val="yellow"/>
          <w:u w:val="single"/>
          <w:lang w:val="zh-TW"/>
        </w:rPr>
        <w:t>院区</w:t>
      </w:r>
      <w:r>
        <w:rPr>
          <w:rFonts w:hint="eastAsia" w:ascii="仿宋" w:hAnsi="仿宋" w:eastAsia="仿宋" w:cs="仿宋"/>
          <w:b/>
          <w:bCs/>
          <w:color w:val="auto"/>
          <w:sz w:val="24"/>
          <w:szCs w:val="24"/>
          <w:highlight w:val="yellow"/>
          <w:u w:val="single"/>
          <w:lang w:val="en-US" w:eastAsia="zh-CN"/>
        </w:rPr>
        <w:t>/南院区/花都院区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周边5公里半径范围内，并应具备为中型客车提供加油服务的场地条件</w:t>
      </w:r>
      <w:r>
        <w:rPr>
          <w:rFonts w:hint="eastAsia" w:ascii="仿宋" w:hAnsi="仿宋" w:eastAsia="仿宋" w:cs="仿宋"/>
          <w:color w:val="auto"/>
          <w:sz w:val="24"/>
          <w:szCs w:val="24"/>
          <w:highlight w:val="none"/>
        </w:rPr>
        <w:t>。</w:t>
      </w:r>
    </w:p>
    <w:p w14:paraId="7DE3585B">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须保证给</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公务车辆足量加油。</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lang w:eastAsia="zh-CN"/>
        </w:rPr>
        <w:t>加油设备必须通过质量技术监督局计量部门监测，保证加油机油量符合国家标准。如</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对加油足量情况有疑问，</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有权向市场监督部门反馈。如情况属实，</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lang w:eastAsia="zh-CN"/>
        </w:rPr>
        <w:t>有权提前终止合同。</w:t>
      </w:r>
    </w:p>
    <w:p w14:paraId="20DF2CB7">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在工作过程中接触到</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的任何资料（车辆号牌、书面或电子文档），负有为</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保密的责任，未经</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书面同意，</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不得以任何形式向第三方提供或透露。属电子文档的应从电脑存储设备上永久清除。</w:t>
      </w:r>
    </w:p>
    <w:p w14:paraId="7262FE22">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提供的车辆资料及要求办理加油卡，加油卡实行一车一卡，签订合同之日起3个工作日内根据</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提供的车牌号码办理加油卡，所有加油卡设置密码、限制油品、限车牌，</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应配合</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做好车辆加油监督管理。当</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出现加油卡丢失或损坏时，</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负责更换新的加油卡，并将丢失或损坏的加油卡剩余金额转入更换后的新卡。</w:t>
      </w:r>
    </w:p>
    <w:p w14:paraId="23130DCE">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7.加油卡可以实现资料变更、查询加油信息及资金划转记录等功能。有新增车辆需要增加加油卡数量的，需持</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车辆行驶证复印件、</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书面通知方可办理。</w:t>
      </w:r>
    </w:p>
    <w:p w14:paraId="3CB1BEF9">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8.加油时，</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加油人员应确认加油卡信息与车号一致，方可加油；否则，不予加油。严禁卡号与车号不符加油、持卡给桶等其他容器加油、持卡提现金或购买其他物品等违规违纪问题。如发生违规违纪问题，</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有权责令其整改，对拒不整改或拖延整改的，</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将根据情况除有权决定单方解除合同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取消其采购定点单位资格外，</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还应赔偿由此给</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造成的损失。</w:t>
      </w:r>
    </w:p>
    <w:p w14:paraId="01F35FE5">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提供的油品数量必须保证每天都能满足</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的需求，特别是油品紧缺时也要力争保证</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每天的正常需要（在同等条件下优先提供加油服务)。</w:t>
      </w:r>
    </w:p>
    <w:p w14:paraId="17FDCD7A">
      <w:pPr>
        <w:keepNext w:val="0"/>
        <w:keepLines w:val="0"/>
        <w:pageBreakBefore w:val="0"/>
        <w:widowControl w:val="0"/>
        <w:kinsoku/>
        <w:wordWrap/>
        <w:overflowPunct/>
        <w:topLinePunct w:val="0"/>
        <w:autoSpaceDE/>
        <w:autoSpaceDN/>
        <w:bidi w:val="0"/>
        <w:adjustRightInd/>
        <w:snapToGrid/>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四、付款方式</w:t>
      </w:r>
    </w:p>
    <w:p w14:paraId="55454C98">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乙方须提供加油站挂牌零售价的</w:t>
      </w:r>
      <w:r>
        <w:rPr>
          <w:rFonts w:hint="eastAsia" w:ascii="仿宋" w:hAnsi="仿宋" w:eastAsia="仿宋" w:cs="仿宋"/>
          <w:color w:val="auto"/>
          <w:sz w:val="24"/>
          <w:szCs w:val="24"/>
          <w:highlight w:val="none"/>
          <w:lang w:val="en-US" w:eastAsia="zh-CN"/>
        </w:rPr>
        <w:t>优惠</w:t>
      </w:r>
      <w:r>
        <w:rPr>
          <w:rFonts w:hint="eastAsia" w:ascii="仿宋" w:hAnsi="仿宋" w:eastAsia="仿宋" w:cs="仿宋"/>
          <w:color w:val="auto"/>
          <w:sz w:val="24"/>
          <w:szCs w:val="24"/>
          <w:highlight w:val="none"/>
        </w:rPr>
        <w:t>折扣率报价。即单次加油服务实际结算单价=车辆加油油品当日挂牌价格*折扣率（优惠活动期间同时享受优惠叠加，结算单价保留两位小数）。</w:t>
      </w:r>
      <w:r>
        <w:rPr>
          <w:rFonts w:hint="eastAsia" w:ascii="仿宋" w:hAnsi="仿宋" w:eastAsia="仿宋" w:cs="仿宋"/>
          <w:color w:val="auto"/>
          <w:sz w:val="24"/>
          <w:szCs w:val="24"/>
          <w:highlight w:val="none"/>
          <w:lang w:val="en-US" w:eastAsia="zh-CN"/>
        </w:rPr>
        <w:t>优惠</w:t>
      </w:r>
      <w:r>
        <w:rPr>
          <w:rFonts w:hint="eastAsia" w:ascii="仿宋" w:hAnsi="仿宋" w:eastAsia="仿宋" w:cs="仿宋"/>
          <w:color w:val="auto"/>
          <w:sz w:val="24"/>
          <w:szCs w:val="24"/>
          <w:highlight w:val="none"/>
        </w:rPr>
        <w:t>折扣率为固定且唯一的报价，双方签订合同后，不得以任何原因进行更改，否则视为违约并承担相应责任。如遇国家价格调整，在价格调整基础上折扣不变。</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在调整油价之前，应将调整油价通知提供给</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，调整后价格按政府批文日期执行。</w:t>
      </w:r>
    </w:p>
    <w:p w14:paraId="67B3C951">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2.签订合同后，</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须向</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指定账户支付3万元的保证金。</w:t>
      </w:r>
      <w:r>
        <w:rPr>
          <w:rFonts w:hint="eastAsia" w:ascii="仿宋" w:hAnsi="仿宋" w:eastAsia="仿宋" w:cs="仿宋"/>
          <w:color w:val="auto"/>
          <w:sz w:val="24"/>
          <w:szCs w:val="24"/>
          <w:highlight w:val="none"/>
          <w:lang w:val="en-US" w:eastAsia="zh-CN"/>
        </w:rPr>
        <w:t>合同结束后，乙方</w:t>
      </w:r>
      <w:r>
        <w:rPr>
          <w:rFonts w:hint="eastAsia" w:ascii="仿宋" w:hAnsi="仿宋" w:eastAsia="仿宋" w:cs="仿宋"/>
          <w:color w:val="auto"/>
          <w:sz w:val="24"/>
          <w:szCs w:val="24"/>
          <w:highlight w:val="none"/>
        </w:rPr>
        <w:t>应当自</w:t>
      </w:r>
      <w:r>
        <w:rPr>
          <w:rFonts w:hint="eastAsia" w:ascii="仿宋" w:hAnsi="仿宋" w:eastAsia="仿宋" w:cs="仿宋"/>
          <w:color w:val="auto"/>
          <w:sz w:val="24"/>
          <w:szCs w:val="24"/>
          <w:highlight w:val="none"/>
          <w:lang w:val="en-US" w:eastAsia="zh-CN"/>
        </w:rPr>
        <w:t>甲方结清款项之日</w:t>
      </w:r>
      <w:r>
        <w:rPr>
          <w:rFonts w:hint="eastAsia" w:ascii="仿宋" w:hAnsi="仿宋" w:eastAsia="仿宋" w:cs="仿宋"/>
          <w:color w:val="auto"/>
          <w:sz w:val="24"/>
          <w:szCs w:val="24"/>
          <w:highlight w:val="none"/>
        </w:rPr>
        <w:t>起15日内，将3万元保证金退还</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w:t>
      </w:r>
    </w:p>
    <w:p w14:paraId="25021313">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公务车辆到</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实行记账加油方式，每月结算一次，定点加油服务结算金额是按</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公务车辆上月实际发生的加油量进行结算支付。</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负责提供</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上月实际发生的油料情况明细表（即：每台车辆的加油明细及汇总金额），经</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审核确认后，</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上月油款情况开具正规发票。</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在收到</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的正规发票后30日内，以转账充值形式付清结算周期所发生的油款。</w:t>
      </w:r>
    </w:p>
    <w:p w14:paraId="35770193">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.若</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提供的明细表有异议，应在收到明细表五个工作日内通知</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，双方共同审核交易明细。</w:t>
      </w:r>
    </w:p>
    <w:p w14:paraId="7B91F6D5">
      <w:pPr>
        <w:keepNext w:val="0"/>
        <w:keepLines w:val="0"/>
        <w:pageBreakBefore w:val="0"/>
        <w:widowControl w:val="0"/>
        <w:kinsoku/>
        <w:wordWrap/>
        <w:overflowPunct/>
        <w:topLinePunct w:val="0"/>
        <w:autoSpaceDE/>
        <w:autoSpaceDN/>
        <w:bidi w:val="0"/>
        <w:adjustRightInd/>
        <w:snapToGrid/>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五、违约责任与赔偿损失</w:t>
      </w:r>
    </w:p>
    <w:p w14:paraId="190072BE">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乙方有下列行为，甲方有权单方面解除合同并要求乙方承担赔偿责任</w:t>
      </w:r>
      <w:r>
        <w:rPr>
          <w:rFonts w:hint="eastAsia" w:ascii="仿宋" w:hAnsi="仿宋" w:eastAsia="仿宋" w:cs="仿宋"/>
          <w:color w:val="auto"/>
          <w:sz w:val="24"/>
          <w:szCs w:val="24"/>
          <w:highlight w:val="none"/>
          <w:lang w:eastAsia="zh-CN"/>
        </w:rPr>
        <w:t>：</w:t>
      </w:r>
    </w:p>
    <w:p w14:paraId="762DA60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乙方未按本合同的服务承诺提供服务</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本合同第</w:t>
      </w:r>
      <w:r>
        <w:rPr>
          <w:rFonts w:hint="eastAsia" w:ascii="仿宋" w:hAnsi="仿宋" w:eastAsia="仿宋" w:cs="仿宋"/>
          <w:b w:val="0"/>
          <w:bCs/>
          <w:color w:val="auto"/>
          <w:sz w:val="24"/>
          <w:szCs w:val="24"/>
          <w:highlight w:val="none"/>
          <w:lang w:val="en-US" w:eastAsia="zh-CN"/>
        </w:rPr>
        <w:t>三</w:t>
      </w:r>
      <w:r>
        <w:rPr>
          <w:rFonts w:hint="eastAsia" w:ascii="仿宋" w:hAnsi="仿宋" w:eastAsia="仿宋" w:cs="仿宋"/>
          <w:b w:val="0"/>
          <w:bCs/>
          <w:color w:val="auto"/>
          <w:sz w:val="24"/>
          <w:szCs w:val="24"/>
          <w:highlight w:val="none"/>
        </w:rPr>
        <w:t>条第</w:t>
      </w:r>
      <w:r>
        <w:rPr>
          <w:rFonts w:hint="eastAsia" w:ascii="仿宋" w:hAnsi="仿宋" w:eastAsia="仿宋" w:cs="仿宋"/>
          <w:b w:val="0"/>
          <w:bCs/>
          <w:color w:val="auto"/>
          <w:sz w:val="24"/>
          <w:szCs w:val="24"/>
          <w:highlight w:val="none"/>
          <w:lang w:val="en-US" w:eastAsia="zh-CN"/>
        </w:rPr>
        <w:t>9</w:t>
      </w:r>
      <w:r>
        <w:rPr>
          <w:rFonts w:hint="eastAsia" w:ascii="仿宋" w:hAnsi="仿宋" w:eastAsia="仿宋" w:cs="仿宋"/>
          <w:b w:val="0"/>
          <w:bCs/>
          <w:color w:val="auto"/>
          <w:sz w:val="24"/>
          <w:szCs w:val="24"/>
          <w:highlight w:val="none"/>
        </w:rPr>
        <w:t>条款（乙方有权限量或暂停供油，但必须提前通知甲方）情况除外</w:t>
      </w:r>
      <w:r>
        <w:rPr>
          <w:rFonts w:hint="eastAsia" w:ascii="仿宋" w:hAnsi="仿宋" w:eastAsia="仿宋" w:cs="仿宋"/>
          <w:b w:val="0"/>
          <w:bCs/>
          <w:color w:val="auto"/>
          <w:sz w:val="24"/>
          <w:szCs w:val="24"/>
          <w:highlight w:val="none"/>
          <w:lang w:eastAsia="zh-CN"/>
        </w:rPr>
        <w:t>；</w:t>
      </w:r>
    </w:p>
    <w:p w14:paraId="707D55A6">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en-US" w:eastAsia="zh-CN"/>
        </w:rPr>
        <w:t>将</w:t>
      </w:r>
      <w:r>
        <w:rPr>
          <w:rFonts w:hint="eastAsia" w:ascii="仿宋" w:hAnsi="仿宋" w:eastAsia="仿宋" w:cs="仿宋"/>
          <w:color w:val="auto"/>
          <w:sz w:val="24"/>
          <w:szCs w:val="24"/>
          <w:highlight w:val="none"/>
        </w:rPr>
        <w:t>部分或全部转让其应履行的合同项下的义务；</w:t>
      </w:r>
    </w:p>
    <w:p w14:paraId="2EAC8C69">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3.如发生卡号与车号不符加油、持卡给桶等其他容器加油、持卡提现金或购买其他物品等违规违纪问题，且当甲方责令乙方整改后，仍然拒不整改或拖延整改的；</w:t>
      </w:r>
    </w:p>
    <w:p w14:paraId="1D129632">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4.乙方</w:t>
      </w:r>
      <w:r>
        <w:rPr>
          <w:rFonts w:hint="eastAsia" w:ascii="仿宋" w:hAnsi="仿宋" w:eastAsia="仿宋" w:cs="仿宋"/>
          <w:b w:val="0"/>
          <w:bCs/>
          <w:color w:val="auto"/>
          <w:sz w:val="24"/>
          <w:szCs w:val="24"/>
          <w:highlight w:val="none"/>
        </w:rPr>
        <w:t>因油质问题，致使</w:t>
      </w:r>
      <w:r>
        <w:rPr>
          <w:rFonts w:hint="eastAsia" w:ascii="仿宋" w:hAnsi="仿宋" w:eastAsia="仿宋" w:cs="仿宋"/>
          <w:b w:val="0"/>
          <w:bCs/>
          <w:color w:val="auto"/>
          <w:sz w:val="24"/>
          <w:szCs w:val="24"/>
          <w:highlight w:val="none"/>
          <w:lang w:val="en-US" w:eastAsia="zh-CN"/>
        </w:rPr>
        <w:t>甲方</w:t>
      </w:r>
      <w:r>
        <w:rPr>
          <w:rFonts w:hint="eastAsia" w:ascii="仿宋" w:hAnsi="仿宋" w:eastAsia="仿宋" w:cs="仿宋"/>
          <w:b w:val="0"/>
          <w:bCs/>
          <w:color w:val="auto"/>
          <w:sz w:val="24"/>
          <w:szCs w:val="24"/>
          <w:highlight w:val="none"/>
        </w:rPr>
        <w:t>车辆部件损坏的</w:t>
      </w:r>
      <w:r>
        <w:rPr>
          <w:rFonts w:hint="eastAsia" w:ascii="仿宋" w:hAnsi="仿宋" w:eastAsia="仿宋" w:cs="仿宋"/>
          <w:b w:val="0"/>
          <w:bCs/>
          <w:color w:val="auto"/>
          <w:sz w:val="24"/>
          <w:szCs w:val="24"/>
          <w:highlight w:val="none"/>
          <w:lang w:eastAsia="zh-CN"/>
        </w:rPr>
        <w:t>；</w:t>
      </w:r>
    </w:p>
    <w:p w14:paraId="7EAE9A63">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5.乙方未为甲方公务车辆提供足量加油服务，且经</w:t>
      </w:r>
      <w:r>
        <w:rPr>
          <w:rFonts w:hint="eastAsia" w:ascii="仿宋" w:hAnsi="仿宋" w:eastAsia="仿宋" w:cs="仿宋"/>
          <w:b w:val="0"/>
          <w:bCs w:val="0"/>
          <w:color w:val="auto"/>
          <w:sz w:val="24"/>
          <w:szCs w:val="24"/>
          <w:highlight w:val="none"/>
        </w:rPr>
        <w:t>市场监督部门</w:t>
      </w:r>
      <w:r>
        <w:rPr>
          <w:rFonts w:hint="eastAsia" w:ascii="仿宋" w:hAnsi="仿宋" w:eastAsia="仿宋" w:cs="仿宋"/>
          <w:b w:val="0"/>
          <w:bCs w:val="0"/>
          <w:color w:val="auto"/>
          <w:sz w:val="24"/>
          <w:szCs w:val="24"/>
          <w:highlight w:val="none"/>
          <w:lang w:val="en-US" w:eastAsia="zh-CN"/>
        </w:rPr>
        <w:t>鉴定情况属实的</w:t>
      </w:r>
      <w:r>
        <w:rPr>
          <w:rFonts w:hint="eastAsia" w:ascii="仿宋" w:hAnsi="仿宋" w:eastAsia="仿宋" w:cs="仿宋"/>
          <w:b w:val="0"/>
          <w:bCs w:val="0"/>
          <w:color w:val="auto"/>
          <w:sz w:val="24"/>
          <w:szCs w:val="24"/>
          <w:highlight w:val="none"/>
          <w:lang w:eastAsia="zh-CN"/>
        </w:rPr>
        <w:t>；</w:t>
      </w:r>
    </w:p>
    <w:p w14:paraId="3EC76E81">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b w:val="0"/>
          <w:bCs w:val="0"/>
          <w:color w:val="auto"/>
          <w:sz w:val="24"/>
          <w:szCs w:val="24"/>
          <w:highlight w:val="none"/>
          <w:lang w:val="en-US" w:eastAsia="zh-CN"/>
        </w:rPr>
        <w:t>乙方</w:t>
      </w:r>
      <w:r>
        <w:rPr>
          <w:rFonts w:hint="eastAsia" w:ascii="仿宋" w:hAnsi="仿宋" w:eastAsia="仿宋" w:cs="仿宋"/>
          <w:color w:val="auto"/>
          <w:sz w:val="24"/>
          <w:szCs w:val="24"/>
          <w:highlight w:val="none"/>
        </w:rPr>
        <w:t>以其他方式损害</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利益或者对</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声誉造成不良影响的</w:t>
      </w:r>
      <w:r>
        <w:rPr>
          <w:rFonts w:hint="eastAsia" w:ascii="仿宋" w:hAnsi="仿宋" w:eastAsia="仿宋" w:cs="仿宋"/>
          <w:color w:val="auto"/>
          <w:sz w:val="24"/>
          <w:szCs w:val="24"/>
          <w:highlight w:val="none"/>
          <w:lang w:eastAsia="zh-CN"/>
        </w:rPr>
        <w:t>；</w:t>
      </w:r>
    </w:p>
    <w:p w14:paraId="3942F2B5">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7.其他</w:t>
      </w:r>
      <w:r>
        <w:rPr>
          <w:rFonts w:hint="eastAsia" w:ascii="仿宋" w:hAnsi="仿宋" w:eastAsia="仿宋" w:cs="仿宋"/>
          <w:bCs/>
          <w:color w:val="auto"/>
          <w:sz w:val="24"/>
          <w:szCs w:val="24"/>
          <w:highlight w:val="none"/>
        </w:rPr>
        <w:t>违约责任按《中华人民共和国民典法》处理。</w:t>
      </w:r>
    </w:p>
    <w:p w14:paraId="07E989A7">
      <w:pPr>
        <w:keepNext w:val="0"/>
        <w:keepLines w:val="0"/>
        <w:pageBreakBefore w:val="0"/>
        <w:widowControl w:val="0"/>
        <w:kinsoku/>
        <w:wordWrap/>
        <w:overflowPunct/>
        <w:topLinePunct w:val="0"/>
        <w:autoSpaceDE/>
        <w:autoSpaceDN/>
        <w:bidi w:val="0"/>
        <w:adjustRightInd/>
        <w:snapToGrid/>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六、争议的解决</w:t>
      </w:r>
    </w:p>
    <w:p w14:paraId="7BA3856D">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签约双方在履约中发生争执和分歧，双方应通过友好协商解决，若经协商不能达成协议时，则向甲方所在地人民法院提起诉讼。受理期间，双方应继续执行合同其余部分。</w:t>
      </w:r>
    </w:p>
    <w:p w14:paraId="5B35C17A">
      <w:pPr>
        <w:keepNext w:val="0"/>
        <w:keepLines w:val="0"/>
        <w:pageBreakBefore w:val="0"/>
        <w:widowControl w:val="0"/>
        <w:kinsoku/>
        <w:wordWrap/>
        <w:overflowPunct/>
        <w:topLinePunct w:val="0"/>
        <w:autoSpaceDE/>
        <w:autoSpaceDN/>
        <w:bidi w:val="0"/>
        <w:adjustRightInd/>
        <w:snapToGrid/>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七、不可抗力 </w:t>
      </w:r>
    </w:p>
    <w:p w14:paraId="45E55E3E">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C7B1710">
      <w:pPr>
        <w:keepNext w:val="0"/>
        <w:keepLines w:val="0"/>
        <w:pageBreakBefore w:val="0"/>
        <w:widowControl w:val="0"/>
        <w:kinsoku/>
        <w:wordWrap/>
        <w:overflowPunct/>
        <w:topLinePunct w:val="0"/>
        <w:autoSpaceDE/>
        <w:autoSpaceDN/>
        <w:bidi w:val="0"/>
        <w:adjustRightInd/>
        <w:snapToGrid/>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w:t>
      </w:r>
      <w:r>
        <w:rPr>
          <w:rFonts w:hint="eastAsia" w:ascii="仿宋" w:hAnsi="仿宋" w:eastAsia="仿宋" w:cs="仿宋"/>
          <w:b/>
          <w:color w:val="auto"/>
          <w:sz w:val="24"/>
          <w:szCs w:val="24"/>
          <w:highlight w:val="none"/>
          <w:lang w:eastAsia="zh-CN"/>
        </w:rPr>
        <w:t>其他</w:t>
      </w:r>
    </w:p>
    <w:p w14:paraId="3A132811">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.本合同一式   份，具有同等法律效力，甲方执3份，乙方执   份。合同经双方法人代表或授权代表签字单位盖章后生效。本合同未尽事宜，由双方协商处理。</w:t>
      </w:r>
    </w:p>
    <w:p w14:paraId="057A51FF">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本合同所有附件、谈判文件、响应文件、成交通知书均为合同的有效组成部分，与本合同具有同等法律效力。</w:t>
      </w:r>
    </w:p>
    <w:p w14:paraId="0E44A699">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color w:val="auto"/>
          <w:sz w:val="24"/>
          <w:szCs w:val="24"/>
          <w:highlight w:val="none"/>
        </w:rPr>
        <w:t>在执行本合同的过程中，所有经双方签署确认的文件（包括会议纪要、补充协议、往来信函）即成为本合同的有效组成部分。</w:t>
      </w:r>
    </w:p>
    <w:p w14:paraId="7794F3B6">
      <w:pPr>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如一方地址、电话、传真号码有变更，应在变更当日内书面通知对方，否则应承担相应责任。 </w:t>
      </w:r>
    </w:p>
    <w:p w14:paraId="7E4C8BF3">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476D2EE7">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甲方：中山大学孙逸仙纪念医院             乙方: </w:t>
      </w:r>
    </w:p>
    <w:p w14:paraId="39598E25">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地址：广州市越秀区沿江西路107号         地址：   </w:t>
      </w:r>
    </w:p>
    <w:p w14:paraId="2473AE57">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                             法定代表人：</w:t>
      </w:r>
    </w:p>
    <w:p w14:paraId="284ABBBE">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委托代理人：                             委托代理人：</w:t>
      </w:r>
    </w:p>
    <w:p w14:paraId="36310257">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电话：                                   电话： </w:t>
      </w:r>
    </w:p>
    <w:p w14:paraId="17A3373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邮政编码：510120                         邮政编码： </w:t>
      </w:r>
    </w:p>
    <w:p w14:paraId="00B44B52">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盖章：                                   盖章：</w:t>
      </w:r>
    </w:p>
    <w:p w14:paraId="612B8781">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日期：</w:t>
      </w:r>
    </w:p>
    <w:p w14:paraId="7AD9FC18">
      <w:pPr>
        <w:rPr>
          <w:rFonts w:hint="eastAsia" w:ascii="微软雅黑" w:hAnsi="微软雅黑" w:eastAsia="微软雅黑" w:cs="微软雅黑"/>
          <w:color w:val="000000" w:themeColor="text1"/>
          <w:highlight w:val="none"/>
          <w14:textFill>
            <w14:solidFill>
              <w14:schemeClr w14:val="tx1"/>
            </w14:solidFill>
          </w14:textFill>
        </w:rPr>
      </w:pPr>
    </w:p>
    <w:p w14:paraId="2460D1C8">
      <w:pPr>
        <w:pStyle w:val="2"/>
        <w:rPr>
          <w:rFonts w:hint="eastAsia"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lang w:val="en-US" w:eastAsia="zh-CN"/>
          <w14:textFill>
            <w14:solidFill>
              <w14:schemeClr w14:val="tx1"/>
            </w14:solidFill>
          </w14:textFill>
        </w:rPr>
        <w:t>附件：</w:t>
      </w:r>
    </w:p>
    <w:p w14:paraId="028B58F6">
      <w:pPr>
        <w:pStyle w:val="29"/>
        <w:jc w:val="center"/>
        <w:rPr>
          <w:rFonts w:hint="default"/>
          <w:b/>
          <w:bCs/>
          <w:sz w:val="24"/>
          <w:szCs w:val="24"/>
          <w:lang w:val="en-US" w:eastAsia="zh-CN"/>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报价清单</w:t>
      </w:r>
    </w:p>
    <w:tbl>
      <w:tblPr>
        <w:tblStyle w:val="19"/>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2760"/>
        <w:gridCol w:w="4139"/>
      </w:tblGrid>
      <w:tr w14:paraId="1F38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66" w:type="dxa"/>
            <w:tcBorders>
              <w:top w:val="single" w:color="auto" w:sz="4" w:space="0"/>
              <w:left w:val="single" w:color="auto" w:sz="4" w:space="0"/>
              <w:bottom w:val="single" w:color="auto" w:sz="4" w:space="0"/>
              <w:right w:val="single" w:color="auto" w:sz="4" w:space="0"/>
            </w:tcBorders>
            <w:noWrap w:val="0"/>
            <w:vAlign w:val="center"/>
          </w:tcPr>
          <w:p w14:paraId="6BE18952">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院区</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6DAF06DC">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b/>
                <w:sz w:val="24"/>
                <w:szCs w:val="24"/>
              </w:rPr>
              <w:t>油品标号</w:t>
            </w:r>
          </w:p>
        </w:tc>
        <w:tc>
          <w:tcPr>
            <w:tcW w:w="4139" w:type="dxa"/>
            <w:tcBorders>
              <w:top w:val="single" w:color="auto" w:sz="4" w:space="0"/>
              <w:left w:val="single" w:color="auto" w:sz="4" w:space="0"/>
              <w:bottom w:val="single" w:color="auto" w:sz="4" w:space="0"/>
              <w:right w:val="single" w:color="auto" w:sz="4" w:space="0"/>
            </w:tcBorders>
            <w:noWrap w:val="0"/>
            <w:vAlign w:val="center"/>
          </w:tcPr>
          <w:p w14:paraId="0F96E50B">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成交</w:t>
            </w:r>
            <w:r>
              <w:rPr>
                <w:rFonts w:hint="eastAsia" w:ascii="仿宋" w:hAnsi="仿宋" w:eastAsia="仿宋" w:cs="仿宋"/>
                <w:b/>
                <w:sz w:val="24"/>
                <w:szCs w:val="24"/>
              </w:rPr>
              <w:t>报价</w:t>
            </w:r>
          </w:p>
          <w:p w14:paraId="0686B28D">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（在加油站挂牌零售价的基础上报出优惠</w:t>
            </w:r>
            <w:r>
              <w:rPr>
                <w:rFonts w:hint="eastAsia" w:ascii="仿宋" w:hAnsi="仿宋" w:eastAsia="仿宋" w:cs="仿宋"/>
                <w:sz w:val="24"/>
                <w:szCs w:val="24"/>
                <w:lang w:val="en-US" w:eastAsia="zh-CN"/>
              </w:rPr>
              <w:t>折扣率，该折扣率可同时叠加享受该油站优惠活动期间的优惠</w:t>
            </w:r>
            <w:r>
              <w:rPr>
                <w:rFonts w:hint="eastAsia" w:ascii="仿宋" w:hAnsi="仿宋" w:eastAsia="仿宋" w:cs="仿宋"/>
                <w:sz w:val="24"/>
                <w:szCs w:val="24"/>
              </w:rPr>
              <w:t>）</w:t>
            </w:r>
          </w:p>
        </w:tc>
      </w:tr>
      <w:tr w14:paraId="283B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6" w:type="dxa"/>
            <w:vMerge w:val="restart"/>
            <w:tcBorders>
              <w:top w:val="single" w:color="auto" w:sz="4" w:space="0"/>
              <w:left w:val="single" w:color="auto" w:sz="4" w:space="0"/>
              <w:right w:val="single" w:color="auto" w:sz="4" w:space="0"/>
            </w:tcBorders>
            <w:noWrap w:val="0"/>
            <w:vAlign w:val="center"/>
          </w:tcPr>
          <w:p w14:paraId="099271C2">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default" w:ascii="仿宋" w:hAnsi="仿宋" w:eastAsia="仿宋" w:cs="仿宋"/>
                <w:kern w:val="28"/>
                <w:sz w:val="24"/>
                <w:szCs w:val="24"/>
                <w:lang w:val="en-US" w:eastAsia="zh-CN"/>
              </w:rPr>
            </w:pPr>
            <w:r>
              <w:rPr>
                <w:rFonts w:hint="eastAsia" w:ascii="仿宋" w:hAnsi="仿宋" w:eastAsia="仿宋" w:cs="仿宋"/>
                <w:kern w:val="28"/>
                <w:sz w:val="24"/>
                <w:szCs w:val="24"/>
                <w:lang w:val="en-US" w:eastAsia="zh-CN"/>
              </w:rPr>
              <w:t>北院区（包组1）</w:t>
            </w:r>
          </w:p>
        </w:tc>
        <w:tc>
          <w:tcPr>
            <w:tcW w:w="2760" w:type="dxa"/>
            <w:vMerge w:val="restart"/>
            <w:tcBorders>
              <w:top w:val="single" w:color="auto" w:sz="4" w:space="0"/>
              <w:left w:val="single" w:color="auto" w:sz="4" w:space="0"/>
              <w:right w:val="single" w:color="auto" w:sz="4" w:space="0"/>
            </w:tcBorders>
            <w:noWrap w:val="0"/>
            <w:vAlign w:val="center"/>
          </w:tcPr>
          <w:p w14:paraId="3757368A">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rPr>
            </w:pPr>
          </w:p>
        </w:tc>
        <w:tc>
          <w:tcPr>
            <w:tcW w:w="4139" w:type="dxa"/>
            <w:tcBorders>
              <w:top w:val="single" w:color="auto" w:sz="4" w:space="0"/>
              <w:left w:val="single" w:color="auto" w:sz="4" w:space="0"/>
              <w:bottom w:val="single" w:color="auto" w:sz="4" w:space="0"/>
              <w:right w:val="single" w:color="auto" w:sz="4" w:space="0"/>
            </w:tcBorders>
            <w:noWrap w:val="0"/>
            <w:vAlign w:val="center"/>
          </w:tcPr>
          <w:p w14:paraId="60FC0BDE">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r w14:paraId="3816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366" w:type="dxa"/>
            <w:vMerge w:val="continue"/>
            <w:tcBorders>
              <w:left w:val="single" w:color="auto" w:sz="4" w:space="0"/>
              <w:right w:val="single" w:color="auto" w:sz="4" w:space="0"/>
            </w:tcBorders>
            <w:noWrap w:val="0"/>
            <w:vAlign w:val="center"/>
          </w:tcPr>
          <w:p w14:paraId="042C50F5">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lang w:val="en-US" w:eastAsia="zh-CN"/>
              </w:rPr>
            </w:pPr>
          </w:p>
        </w:tc>
        <w:tc>
          <w:tcPr>
            <w:tcW w:w="2760" w:type="dxa"/>
            <w:vMerge w:val="continue"/>
            <w:tcBorders>
              <w:left w:val="single" w:color="auto" w:sz="4" w:space="0"/>
              <w:bottom w:val="single" w:color="auto" w:sz="4" w:space="0"/>
              <w:right w:val="single" w:color="auto" w:sz="4" w:space="0"/>
            </w:tcBorders>
            <w:noWrap w:val="0"/>
            <w:vAlign w:val="center"/>
          </w:tcPr>
          <w:p w14:paraId="31C21E04">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rPr>
            </w:pPr>
          </w:p>
        </w:tc>
        <w:tc>
          <w:tcPr>
            <w:tcW w:w="4139" w:type="dxa"/>
            <w:tcBorders>
              <w:top w:val="single" w:color="auto" w:sz="4" w:space="0"/>
              <w:left w:val="single" w:color="auto" w:sz="4" w:space="0"/>
              <w:right w:val="single" w:color="auto" w:sz="4" w:space="0"/>
            </w:tcBorders>
            <w:noWrap w:val="0"/>
            <w:vAlign w:val="center"/>
          </w:tcPr>
          <w:p w14:paraId="13977F7D">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bl>
    <w:p w14:paraId="3DD3B479">
      <w:pPr>
        <w:pStyle w:val="29"/>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或</w:t>
      </w:r>
    </w:p>
    <w:tbl>
      <w:tblPr>
        <w:tblStyle w:val="19"/>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2760"/>
        <w:gridCol w:w="4022"/>
      </w:tblGrid>
      <w:tr w14:paraId="3654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66" w:type="dxa"/>
            <w:tcBorders>
              <w:top w:val="single" w:color="auto" w:sz="4" w:space="0"/>
              <w:left w:val="single" w:color="auto" w:sz="4" w:space="0"/>
              <w:bottom w:val="single" w:color="auto" w:sz="4" w:space="0"/>
              <w:right w:val="single" w:color="auto" w:sz="4" w:space="0"/>
            </w:tcBorders>
            <w:noWrap w:val="0"/>
            <w:vAlign w:val="center"/>
          </w:tcPr>
          <w:p w14:paraId="01E06AEC">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院区</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193BB186">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b/>
                <w:sz w:val="24"/>
                <w:szCs w:val="24"/>
              </w:rPr>
              <w:t>油品标号</w:t>
            </w:r>
          </w:p>
        </w:tc>
        <w:tc>
          <w:tcPr>
            <w:tcW w:w="4022" w:type="dxa"/>
            <w:tcBorders>
              <w:top w:val="single" w:color="auto" w:sz="4" w:space="0"/>
              <w:left w:val="single" w:color="auto" w:sz="4" w:space="0"/>
              <w:bottom w:val="single" w:color="auto" w:sz="4" w:space="0"/>
              <w:right w:val="single" w:color="auto" w:sz="4" w:space="0"/>
            </w:tcBorders>
            <w:noWrap w:val="0"/>
            <w:vAlign w:val="center"/>
          </w:tcPr>
          <w:p w14:paraId="72591D67">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成交</w:t>
            </w:r>
            <w:r>
              <w:rPr>
                <w:rFonts w:hint="eastAsia" w:ascii="仿宋" w:hAnsi="仿宋" w:eastAsia="仿宋" w:cs="仿宋"/>
                <w:b/>
                <w:sz w:val="24"/>
                <w:szCs w:val="24"/>
              </w:rPr>
              <w:t>报价</w:t>
            </w:r>
          </w:p>
          <w:p w14:paraId="418D5E2A">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（在加油站挂牌零售价的基础上报出优惠</w:t>
            </w:r>
            <w:r>
              <w:rPr>
                <w:rFonts w:hint="eastAsia" w:ascii="仿宋" w:hAnsi="仿宋" w:eastAsia="仿宋" w:cs="仿宋"/>
                <w:sz w:val="24"/>
                <w:szCs w:val="24"/>
                <w:lang w:val="en-US" w:eastAsia="zh-CN"/>
              </w:rPr>
              <w:t>折扣率，该折扣率可同时叠加享受该油站优惠活动期间的优惠</w:t>
            </w:r>
            <w:r>
              <w:rPr>
                <w:rFonts w:hint="eastAsia" w:ascii="仿宋" w:hAnsi="仿宋" w:eastAsia="仿宋" w:cs="仿宋"/>
                <w:sz w:val="24"/>
                <w:szCs w:val="24"/>
              </w:rPr>
              <w:t>）</w:t>
            </w:r>
          </w:p>
        </w:tc>
      </w:tr>
      <w:tr w14:paraId="7C12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66" w:type="dxa"/>
            <w:tcBorders>
              <w:top w:val="single" w:color="auto" w:sz="4" w:space="0"/>
              <w:left w:val="single" w:color="auto" w:sz="4" w:space="0"/>
              <w:right w:val="single" w:color="auto" w:sz="4" w:space="0"/>
            </w:tcBorders>
            <w:noWrap w:val="0"/>
            <w:vAlign w:val="center"/>
          </w:tcPr>
          <w:p w14:paraId="4D52E90C">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default" w:ascii="仿宋" w:hAnsi="仿宋" w:eastAsia="仿宋" w:cs="仿宋"/>
                <w:kern w:val="28"/>
                <w:sz w:val="24"/>
                <w:szCs w:val="24"/>
                <w:lang w:val="en-US" w:eastAsia="zh-CN"/>
              </w:rPr>
            </w:pPr>
            <w:r>
              <w:rPr>
                <w:rFonts w:hint="eastAsia" w:ascii="仿宋" w:hAnsi="仿宋" w:eastAsia="仿宋" w:cs="仿宋"/>
                <w:kern w:val="28"/>
                <w:sz w:val="24"/>
                <w:szCs w:val="24"/>
                <w:lang w:val="en-US" w:eastAsia="zh-CN"/>
              </w:rPr>
              <w:t>南院区（包组2）</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0425B0A6">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rPr>
            </w:pPr>
          </w:p>
        </w:tc>
        <w:tc>
          <w:tcPr>
            <w:tcW w:w="4022" w:type="dxa"/>
            <w:tcBorders>
              <w:top w:val="single" w:color="auto" w:sz="4" w:space="0"/>
              <w:left w:val="single" w:color="auto" w:sz="4" w:space="0"/>
              <w:right w:val="single" w:color="auto" w:sz="4" w:space="0"/>
            </w:tcBorders>
            <w:noWrap w:val="0"/>
            <w:vAlign w:val="center"/>
          </w:tcPr>
          <w:p w14:paraId="1EFCBC4A">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bl>
    <w:p w14:paraId="168F9B0F">
      <w:pPr>
        <w:pStyle w:val="29"/>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或</w:t>
      </w:r>
    </w:p>
    <w:tbl>
      <w:tblPr>
        <w:tblStyle w:val="19"/>
        <w:tblW w:w="84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2760"/>
        <w:gridCol w:w="3283"/>
      </w:tblGrid>
      <w:tr w14:paraId="02B8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366" w:type="dxa"/>
            <w:tcBorders>
              <w:top w:val="single" w:color="auto" w:sz="4" w:space="0"/>
              <w:left w:val="single" w:color="auto" w:sz="4" w:space="0"/>
              <w:bottom w:val="single" w:color="auto" w:sz="4" w:space="0"/>
              <w:right w:val="single" w:color="auto" w:sz="4" w:space="0"/>
            </w:tcBorders>
            <w:noWrap w:val="0"/>
            <w:vAlign w:val="center"/>
          </w:tcPr>
          <w:p w14:paraId="32308AE6">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院区</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54A9A026">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b/>
                <w:sz w:val="24"/>
                <w:szCs w:val="24"/>
              </w:rPr>
              <w:t>油品标号</w:t>
            </w:r>
          </w:p>
        </w:tc>
        <w:tc>
          <w:tcPr>
            <w:tcW w:w="3283" w:type="dxa"/>
            <w:tcBorders>
              <w:top w:val="single" w:color="auto" w:sz="4" w:space="0"/>
              <w:left w:val="single" w:color="auto" w:sz="4" w:space="0"/>
              <w:bottom w:val="single" w:color="auto" w:sz="4" w:space="0"/>
              <w:right w:val="single" w:color="auto" w:sz="4" w:space="0"/>
            </w:tcBorders>
            <w:noWrap w:val="0"/>
            <w:vAlign w:val="center"/>
          </w:tcPr>
          <w:p w14:paraId="597C9534">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成交</w:t>
            </w:r>
            <w:r>
              <w:rPr>
                <w:rFonts w:hint="eastAsia" w:ascii="仿宋" w:hAnsi="仿宋" w:eastAsia="仿宋" w:cs="仿宋"/>
                <w:b/>
                <w:sz w:val="24"/>
                <w:szCs w:val="24"/>
              </w:rPr>
              <w:t>报价</w:t>
            </w:r>
          </w:p>
          <w:p w14:paraId="3B0257C9">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（在加油站挂牌零售价的基础上报出优惠</w:t>
            </w:r>
            <w:r>
              <w:rPr>
                <w:rFonts w:hint="eastAsia" w:ascii="仿宋" w:hAnsi="仿宋" w:eastAsia="仿宋" w:cs="仿宋"/>
                <w:sz w:val="24"/>
                <w:szCs w:val="24"/>
                <w:lang w:val="en-US" w:eastAsia="zh-CN"/>
              </w:rPr>
              <w:t>折扣率，该折扣率可同时叠加享受该油站优惠活动期间的优惠</w:t>
            </w:r>
            <w:r>
              <w:rPr>
                <w:rFonts w:hint="eastAsia" w:ascii="仿宋" w:hAnsi="仿宋" w:eastAsia="仿宋" w:cs="仿宋"/>
                <w:sz w:val="24"/>
                <w:szCs w:val="24"/>
              </w:rPr>
              <w:t>）</w:t>
            </w:r>
          </w:p>
        </w:tc>
      </w:tr>
      <w:tr w14:paraId="609D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66" w:type="dxa"/>
            <w:tcBorders>
              <w:top w:val="single" w:color="auto" w:sz="4" w:space="0"/>
              <w:left w:val="single" w:color="auto" w:sz="4" w:space="0"/>
              <w:right w:val="single" w:color="auto" w:sz="4" w:space="0"/>
            </w:tcBorders>
            <w:noWrap w:val="0"/>
            <w:vAlign w:val="center"/>
          </w:tcPr>
          <w:p w14:paraId="1E0B892B">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default" w:ascii="仿宋" w:hAnsi="仿宋" w:eastAsia="仿宋" w:cs="仿宋"/>
                <w:kern w:val="28"/>
                <w:sz w:val="24"/>
                <w:szCs w:val="24"/>
                <w:lang w:val="en-US" w:eastAsia="zh-CN"/>
              </w:rPr>
            </w:pPr>
            <w:r>
              <w:rPr>
                <w:rFonts w:hint="eastAsia" w:ascii="仿宋" w:hAnsi="仿宋" w:eastAsia="仿宋" w:cs="仿宋"/>
                <w:kern w:val="28"/>
                <w:sz w:val="24"/>
                <w:szCs w:val="24"/>
                <w:lang w:val="en-US" w:eastAsia="zh-CN"/>
              </w:rPr>
              <w:t>花都院区（包组3）</w:t>
            </w:r>
          </w:p>
        </w:tc>
        <w:tc>
          <w:tcPr>
            <w:tcW w:w="2760" w:type="dxa"/>
            <w:tcBorders>
              <w:top w:val="single" w:color="auto" w:sz="4" w:space="0"/>
              <w:left w:val="single" w:color="auto" w:sz="4" w:space="0"/>
              <w:bottom w:val="single" w:color="auto" w:sz="4" w:space="0"/>
              <w:right w:val="single" w:color="auto" w:sz="4" w:space="0"/>
            </w:tcBorders>
            <w:noWrap w:val="0"/>
            <w:vAlign w:val="center"/>
          </w:tcPr>
          <w:p w14:paraId="28C96FA7">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rPr>
            </w:pPr>
          </w:p>
        </w:tc>
        <w:tc>
          <w:tcPr>
            <w:tcW w:w="3283" w:type="dxa"/>
            <w:tcBorders>
              <w:top w:val="single" w:color="auto" w:sz="4" w:space="0"/>
              <w:left w:val="single" w:color="auto" w:sz="4" w:space="0"/>
              <w:right w:val="single" w:color="auto" w:sz="4" w:space="0"/>
            </w:tcBorders>
            <w:noWrap w:val="0"/>
            <w:vAlign w:val="center"/>
          </w:tcPr>
          <w:p w14:paraId="50757C9E">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bl>
    <w:p w14:paraId="2934A488">
      <w:pPr>
        <w:spacing w:beforeAutospacing="1"/>
        <w:rPr>
          <w:rFonts w:hint="eastAsia" w:ascii="仿宋" w:hAnsi="仿宋" w:eastAsia="仿宋" w:cs="仿宋"/>
          <w:color w:val="000000" w:themeColor="text1"/>
          <w:sz w:val="24"/>
          <w:szCs w:val="24"/>
          <w:highlight w:val="none"/>
          <w14:textFill>
            <w14:solidFill>
              <w14:schemeClr w14:val="tx1"/>
            </w14:solidFill>
          </w14:textFill>
        </w:rPr>
      </w:pPr>
    </w:p>
    <w:p w14:paraId="6AAAE089"/>
    <w:p w14:paraId="6F91CD47">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7F6DB5C">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445734A2">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7B7E6257">
      <w:pPr>
        <w:pStyle w:val="26"/>
        <w:rPr>
          <w:rFonts w:hint="eastAsia"/>
          <w:color w:val="000000"/>
          <w:highlight w:val="none"/>
        </w:rPr>
      </w:pPr>
    </w:p>
    <w:p w14:paraId="30D32893">
      <w:pPr>
        <w:pStyle w:val="26"/>
        <w:rPr>
          <w:rFonts w:hint="eastAsia"/>
          <w:color w:val="000000"/>
          <w:highlight w:val="none"/>
        </w:rPr>
      </w:pPr>
    </w:p>
    <w:p w14:paraId="3B1E524E">
      <w:pPr>
        <w:pStyle w:val="26"/>
        <w:rPr>
          <w:rFonts w:hint="eastAsia"/>
          <w:color w:val="000000"/>
          <w:highlight w:val="none"/>
        </w:rPr>
      </w:pPr>
    </w:p>
    <w:p w14:paraId="2237CBA5">
      <w:pPr>
        <w:pStyle w:val="26"/>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7DFCF2B7">
      <w:pPr>
        <w:pStyle w:val="26"/>
        <w:rPr>
          <w:rFonts w:hint="eastAsia"/>
          <w:color w:val="FF0000"/>
          <w:highlight w:val="none"/>
        </w:rPr>
      </w:pPr>
    </w:p>
    <w:p w14:paraId="15A9277E">
      <w:pPr>
        <w:pStyle w:val="26"/>
        <w:rPr>
          <w:rFonts w:hint="eastAsia"/>
          <w:color w:val="000000"/>
          <w:highlight w:val="none"/>
        </w:rPr>
      </w:pPr>
    </w:p>
    <w:p w14:paraId="7C1FEF0A">
      <w:pPr>
        <w:pStyle w:val="26"/>
        <w:rPr>
          <w:rFonts w:hint="eastAsia"/>
          <w:color w:val="000000"/>
          <w:highlight w:val="none"/>
        </w:rPr>
      </w:pPr>
    </w:p>
    <w:p w14:paraId="173EC6FF">
      <w:pPr>
        <w:pStyle w:val="26"/>
        <w:rPr>
          <w:rFonts w:hint="eastAsia"/>
          <w:color w:val="000000"/>
          <w:highlight w:val="none"/>
        </w:rPr>
      </w:pPr>
    </w:p>
    <w:p w14:paraId="0CEAA3CB">
      <w:pPr>
        <w:pStyle w:val="26"/>
        <w:rPr>
          <w:rFonts w:hint="eastAsia"/>
          <w:color w:val="000000"/>
          <w:highlight w:val="none"/>
        </w:rPr>
      </w:pPr>
    </w:p>
    <w:p w14:paraId="11A88868">
      <w:pPr>
        <w:pStyle w:val="26"/>
        <w:rPr>
          <w:rFonts w:hint="eastAsia"/>
          <w:color w:val="000000"/>
          <w:highlight w:val="none"/>
        </w:rPr>
      </w:pPr>
    </w:p>
    <w:p w14:paraId="4F12A110">
      <w:pPr>
        <w:pStyle w:val="26"/>
        <w:rPr>
          <w:rFonts w:hint="eastAsia"/>
          <w:color w:val="000000"/>
          <w:highlight w:val="none"/>
        </w:rPr>
      </w:pPr>
    </w:p>
    <w:p w14:paraId="5E4DAFD9">
      <w:pPr>
        <w:pStyle w:val="26"/>
        <w:rPr>
          <w:rFonts w:hint="eastAsia"/>
          <w:color w:val="000000"/>
          <w:highlight w:val="none"/>
        </w:rPr>
      </w:pPr>
    </w:p>
    <w:p w14:paraId="5CC33679">
      <w:pPr>
        <w:pStyle w:val="26"/>
        <w:rPr>
          <w:rFonts w:hint="eastAsia"/>
          <w:color w:val="000000"/>
          <w:highlight w:val="none"/>
        </w:rPr>
      </w:pPr>
    </w:p>
    <w:p w14:paraId="6DB9CA80">
      <w:pPr>
        <w:pStyle w:val="26"/>
        <w:rPr>
          <w:rFonts w:hint="eastAsia"/>
          <w:color w:val="000000"/>
          <w:highlight w:val="none"/>
        </w:rPr>
      </w:pPr>
    </w:p>
    <w:p w14:paraId="76AF40C2">
      <w:pPr>
        <w:pStyle w:val="26"/>
        <w:rPr>
          <w:rFonts w:hint="eastAsia"/>
          <w:color w:val="000000"/>
          <w:highlight w:val="none"/>
        </w:rPr>
      </w:pPr>
    </w:p>
    <w:p w14:paraId="1E4A95CF">
      <w:pPr>
        <w:pStyle w:val="26"/>
        <w:rPr>
          <w:rFonts w:hint="eastAsia"/>
          <w:color w:val="000000"/>
          <w:highlight w:val="none"/>
        </w:rPr>
      </w:pPr>
    </w:p>
    <w:p w14:paraId="48622631">
      <w:pPr>
        <w:pStyle w:val="26"/>
        <w:rPr>
          <w:rFonts w:hint="eastAsia"/>
          <w:color w:val="000000"/>
          <w:highlight w:val="none"/>
        </w:rPr>
      </w:pPr>
    </w:p>
    <w:p w14:paraId="52FE2C37">
      <w:pPr>
        <w:pStyle w:val="26"/>
        <w:rPr>
          <w:rFonts w:hint="eastAsia"/>
          <w:color w:val="000000"/>
          <w:highlight w:val="none"/>
        </w:rPr>
      </w:pPr>
    </w:p>
    <w:p w14:paraId="16352E44">
      <w:pPr>
        <w:pStyle w:val="26"/>
        <w:rPr>
          <w:rFonts w:hint="eastAsia"/>
          <w:color w:val="000000"/>
          <w:highlight w:val="none"/>
        </w:rPr>
      </w:pPr>
    </w:p>
    <w:p w14:paraId="657D267F">
      <w:pPr>
        <w:pStyle w:val="26"/>
        <w:rPr>
          <w:rFonts w:hint="eastAsia"/>
          <w:color w:val="000000"/>
          <w:highlight w:val="none"/>
        </w:rPr>
      </w:pPr>
    </w:p>
    <w:p w14:paraId="16777D91">
      <w:pPr>
        <w:pStyle w:val="26"/>
        <w:rPr>
          <w:rFonts w:hint="eastAsia"/>
          <w:color w:val="000000"/>
          <w:highlight w:val="none"/>
        </w:rPr>
      </w:pPr>
    </w:p>
    <w:p w14:paraId="49BE27A4">
      <w:pPr>
        <w:pStyle w:val="26"/>
        <w:rPr>
          <w:rFonts w:hint="eastAsia"/>
          <w:color w:val="000000"/>
          <w:highlight w:val="none"/>
        </w:rPr>
      </w:pPr>
    </w:p>
    <w:p w14:paraId="11372D08">
      <w:pPr>
        <w:pStyle w:val="26"/>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p>
    <w:p w14:paraId="3F1E6427">
      <w:pPr>
        <w:pStyle w:val="26"/>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p>
    <w:p w14:paraId="1D8A01C5">
      <w:pPr>
        <w:pStyle w:val="26"/>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63E81B24">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（本提示内容非谈判</w:t>
      </w:r>
      <w:r>
        <w:rPr>
          <w:rFonts w:hint="eastAsia" w:ascii="黑体" w:hAnsi="黑体" w:eastAsia="黑体" w:cs="黑体"/>
          <w:color w:val="000000"/>
          <w:sz w:val="28"/>
          <w:szCs w:val="28"/>
          <w:highlight w:val="none"/>
          <w:lang w:eastAsia="zh-CN"/>
        </w:rPr>
        <w:t>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谈判文件</w:t>
      </w:r>
      <w:r>
        <w:rPr>
          <w:rFonts w:hint="eastAsia" w:ascii="黑体" w:hAnsi="黑体" w:eastAsia="黑体" w:cs="黑体"/>
          <w:color w:val="000000"/>
          <w:sz w:val="28"/>
          <w:szCs w:val="28"/>
          <w:highlight w:val="none"/>
          <w:lang w:val="en-US" w:eastAsia="zh-CN"/>
        </w:rPr>
        <w:t>为准。）</w:t>
      </w:r>
    </w:p>
    <w:p w14:paraId="455FC835">
      <w:pPr>
        <w:pStyle w:val="26"/>
        <w:numPr>
          <w:ilvl w:val="0"/>
          <w:numId w:val="8"/>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谈判文件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谈判文件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41109F0C">
      <w:pPr>
        <w:pStyle w:val="26"/>
        <w:numPr>
          <w:ilvl w:val="0"/>
          <w:numId w:val="8"/>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谈判文件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谈判文件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75BD26F7">
      <w:pPr>
        <w:pStyle w:val="26"/>
        <w:numPr>
          <w:ilvl w:val="0"/>
          <w:numId w:val="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凡关于谈判文件的所有响应资料（包含但不限于：承诺函、声明函等各类函件，资质证书等证明资料复印件，项目具体实施方案等)，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03AF5D39">
      <w:pPr>
        <w:pStyle w:val="26"/>
        <w:numPr>
          <w:ilvl w:val="0"/>
          <w:numId w:val="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6028108D">
      <w:pPr>
        <w:pStyle w:val="26"/>
        <w:numPr>
          <w:ilvl w:val="0"/>
          <w:numId w:val="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7D523C72">
      <w:pPr>
        <w:pStyle w:val="26"/>
        <w:numPr>
          <w:ilvl w:val="0"/>
          <w:numId w:val="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谈判文件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谈判邀请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30768494">
      <w:pPr>
        <w:pStyle w:val="26"/>
        <w:numPr>
          <w:ilvl w:val="0"/>
          <w:numId w:val="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0B34045C">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47D2EBA">
      <w:pPr>
        <w:pStyle w:val="26"/>
        <w:rPr>
          <w:rFonts w:hint="eastAsia" w:ascii="宋体" w:hAnsi="宋体" w:cs="宋体"/>
          <w:color w:val="000000"/>
          <w:sz w:val="32"/>
          <w:szCs w:val="32"/>
          <w:highlight w:val="none"/>
        </w:rPr>
      </w:pPr>
    </w:p>
    <w:p w14:paraId="6074F6C2">
      <w:pPr>
        <w:pStyle w:val="26"/>
        <w:rPr>
          <w:rFonts w:hint="eastAsia" w:ascii="宋体" w:hAnsi="宋体" w:cs="宋体"/>
          <w:color w:val="000000"/>
          <w:sz w:val="32"/>
          <w:szCs w:val="32"/>
          <w:highlight w:val="none"/>
        </w:rPr>
      </w:pPr>
    </w:p>
    <w:p w14:paraId="6055F1C2">
      <w:pPr>
        <w:pStyle w:val="26"/>
        <w:rPr>
          <w:rFonts w:hint="eastAsia" w:ascii="宋体" w:hAnsi="宋体" w:cs="宋体"/>
          <w:color w:val="000000"/>
          <w:sz w:val="32"/>
          <w:szCs w:val="32"/>
          <w:highlight w:val="none"/>
        </w:rPr>
      </w:pPr>
    </w:p>
    <w:p w14:paraId="0DC8AD04">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14:paraId="1F725ADA">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441D1A48">
      <w:pPr>
        <w:spacing w:line="360" w:lineRule="auto"/>
        <w:jc w:val="both"/>
        <w:rPr>
          <w:rFonts w:hint="eastAsia" w:ascii="华文中宋" w:hAnsi="华文中宋" w:eastAsia="华文中宋" w:cs="华文中宋"/>
          <w:b/>
          <w:color w:val="000000"/>
          <w:sz w:val="52"/>
          <w:szCs w:val="32"/>
          <w:highlight w:val="none"/>
        </w:rPr>
      </w:pPr>
    </w:p>
    <w:p w14:paraId="40513901">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14:paraId="7F4710F8">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14:paraId="41893B0B">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42D0E5A7">
      <w:pPr>
        <w:pStyle w:val="12"/>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7758CD28">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7466E1B5">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3D163A10">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A1BB6AB">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5664CC4">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83E7815">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17586B4F">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19" w:name="_Toc97049462"/>
      <w:bookmarkStart w:id="20"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504255CB">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1222532C">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1E6F5BBE">
      <w:pPr>
        <w:pStyle w:val="12"/>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bookmarkEnd w:id="19"/>
    <w:p w14:paraId="5C862C2F">
      <w:pPr>
        <w:pStyle w:val="4"/>
        <w:pageBreakBefore/>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36"/>
          <w:szCs w:val="36"/>
          <w:highlight w:val="none"/>
          <w:lang w:val="en-US" w:eastAsia="zh-CN"/>
          <w14:textFill>
            <w14:solidFill>
              <w14:schemeClr w14:val="tx1"/>
            </w14:solidFill>
          </w14:textFill>
        </w:rPr>
        <w:t>响应</w:t>
      </w:r>
      <w:r>
        <w:rPr>
          <w:rFonts w:hint="eastAsia" w:ascii="仿宋" w:hAnsi="仿宋" w:eastAsia="仿宋" w:cs="仿宋"/>
          <w:color w:val="000000" w:themeColor="text1"/>
          <w:sz w:val="36"/>
          <w:szCs w:val="36"/>
          <w:highlight w:val="none"/>
          <w14:textFill>
            <w14:solidFill>
              <w14:schemeClr w14:val="tx1"/>
            </w14:solidFill>
          </w14:textFill>
        </w:rPr>
        <w:t>文件目录</w:t>
      </w:r>
      <w:r>
        <w:rPr>
          <w:rFonts w:hint="eastAsia" w:ascii="仿宋" w:hAnsi="仿宋" w:eastAsia="仿宋" w:cs="仿宋"/>
          <w:color w:val="000000" w:themeColor="text1"/>
          <w:sz w:val="24"/>
          <w:highlight w:val="none"/>
          <w14:textFill>
            <w14:solidFill>
              <w14:schemeClr w14:val="tx1"/>
            </w14:solidFill>
          </w14:textFill>
        </w:rPr>
        <w:fldChar w:fldCharType="begin"/>
      </w:r>
      <w:r>
        <w:rPr>
          <w:rFonts w:hint="eastAsia" w:ascii="仿宋" w:hAnsi="仿宋" w:eastAsia="仿宋" w:cs="仿宋"/>
          <w:color w:val="000000" w:themeColor="text1"/>
          <w:sz w:val="24"/>
          <w:highlight w:val="none"/>
          <w14:textFill>
            <w14:solidFill>
              <w14:schemeClr w14:val="tx1"/>
            </w14:solidFill>
          </w14:textFill>
        </w:rPr>
        <w:instrText xml:space="preserve"> TOC \o "1-3" \h \z \u </w:instrText>
      </w:r>
      <w:r>
        <w:rPr>
          <w:rFonts w:hint="eastAsia" w:ascii="仿宋" w:hAnsi="仿宋" w:eastAsia="仿宋" w:cs="仿宋"/>
          <w:color w:val="000000" w:themeColor="text1"/>
          <w:sz w:val="24"/>
          <w:highlight w:val="none"/>
          <w14:textFill>
            <w14:solidFill>
              <w14:schemeClr w14:val="tx1"/>
            </w14:solidFill>
          </w14:textFill>
        </w:rPr>
        <w:fldChar w:fldCharType="separate"/>
      </w:r>
    </w:p>
    <w:p w14:paraId="3C199F2C">
      <w:pPr>
        <w:keepNext w:val="0"/>
        <w:keepLines w:val="0"/>
        <w:widowControl/>
        <w:suppressLineNumbers w:val="0"/>
        <w:jc w:val="left"/>
        <w:rPr>
          <w:rFonts w:hint="eastAsia" w:ascii="仿宋" w:hAnsi="仿宋" w:eastAsia="仿宋" w:cs="仿宋"/>
          <w:color w:val="000000" w:themeColor="text1"/>
          <w:highlight w:val="none"/>
          <w14:textFill>
            <w14:solidFill>
              <w14:schemeClr w14:val="tx1"/>
            </w14:solidFill>
          </w14:textFill>
        </w:rPr>
      </w:pPr>
    </w:p>
    <w:p w14:paraId="66DA121A">
      <w:pPr>
        <w:shd w:val="clear" w:color="auto" w:fill="FFFFFF"/>
        <w:spacing w:line="360" w:lineRule="auto"/>
        <w:jc w:val="center"/>
        <w:rPr>
          <w:rFonts w:hint="eastAsia" w:ascii="仿宋" w:hAnsi="仿宋" w:eastAsia="仿宋" w:cs="仿宋"/>
          <w:color w:val="auto"/>
          <w:sz w:val="24"/>
          <w:szCs w:val="36"/>
          <w:highlight w:val="none"/>
          <w:lang w:val="en-US"/>
        </w:rPr>
      </w:pPr>
      <w:r>
        <w:rPr>
          <w:rFonts w:hint="eastAsia" w:ascii="仿宋" w:hAnsi="仿宋" w:eastAsia="仿宋" w:cs="仿宋"/>
          <w:color w:val="auto"/>
          <w:sz w:val="24"/>
          <w:szCs w:val="36"/>
          <w:highlight w:val="none"/>
        </w:rPr>
        <w:t>一、</w:t>
      </w:r>
      <w:r>
        <w:rPr>
          <w:rFonts w:hint="eastAsia" w:ascii="仿宋" w:hAnsi="仿宋" w:eastAsia="仿宋" w:cs="仿宋"/>
          <w:color w:val="auto"/>
          <w:sz w:val="24"/>
          <w:szCs w:val="36"/>
          <w:highlight w:val="none"/>
          <w:lang w:val="en-US" w:eastAsia="zh-CN"/>
        </w:rPr>
        <w:t>报价…………………………………………………………………………第（  ）页</w:t>
      </w:r>
    </w:p>
    <w:p w14:paraId="50F1FD2E">
      <w:pPr>
        <w:pStyle w:val="26"/>
        <w:spacing w:line="360" w:lineRule="auto"/>
        <w:ind w:left="0" w:leftChars="0" w:firstLine="0" w:firstLineChars="0"/>
        <w:jc w:val="center"/>
        <w:rPr>
          <w:rFonts w:hint="eastAsia" w:ascii="仿宋" w:hAnsi="仿宋" w:eastAsia="仿宋" w:cs="仿宋"/>
          <w:color w:val="auto"/>
          <w:sz w:val="24"/>
          <w:szCs w:val="36"/>
          <w:highlight w:val="none"/>
          <w:lang w:val="en-US" w:eastAsia="zh-CN"/>
        </w:rPr>
      </w:pPr>
      <w:r>
        <w:rPr>
          <w:rFonts w:hint="eastAsia" w:ascii="仿宋" w:hAnsi="仿宋" w:eastAsia="仿宋" w:cs="仿宋"/>
          <w:color w:val="auto"/>
          <w:sz w:val="24"/>
          <w:szCs w:val="36"/>
          <w:highlight w:val="none"/>
          <w:lang w:val="en-US" w:eastAsia="zh-CN"/>
        </w:rPr>
        <w:t>（一）首次报价表………………………………………………………………第（  ）页</w:t>
      </w:r>
    </w:p>
    <w:p w14:paraId="45A0E37D">
      <w:pPr>
        <w:pStyle w:val="26"/>
        <w:spacing w:line="360" w:lineRule="auto"/>
        <w:ind w:left="0" w:leftChars="0" w:firstLine="0" w:firstLineChars="0"/>
        <w:jc w:val="center"/>
        <w:rPr>
          <w:rFonts w:hint="eastAsia" w:ascii="仿宋" w:hAnsi="仿宋" w:eastAsia="仿宋" w:cs="仿宋"/>
          <w:color w:val="auto"/>
          <w:highlight w:val="none"/>
          <w:lang w:eastAsia="zh-CN"/>
        </w:rPr>
      </w:pPr>
      <w:r>
        <w:rPr>
          <w:rFonts w:hint="eastAsia" w:ascii="仿宋" w:hAnsi="仿宋" w:eastAsia="仿宋" w:cs="仿宋"/>
          <w:color w:val="auto"/>
          <w:sz w:val="24"/>
          <w:szCs w:val="36"/>
          <w:highlight w:val="none"/>
          <w:lang w:val="en-US" w:eastAsia="zh-CN"/>
        </w:rPr>
        <w:t>（二）最终报价表………………………………………………………………第（  ）页</w:t>
      </w:r>
    </w:p>
    <w:p w14:paraId="579878FD">
      <w:pPr>
        <w:shd w:val="clear" w:color="auto" w:fill="FFFFFF"/>
        <w:spacing w:line="360" w:lineRule="auto"/>
        <w:jc w:val="center"/>
        <w:rPr>
          <w:rFonts w:hint="eastAsia" w:ascii="仿宋" w:hAnsi="仿宋" w:eastAsia="仿宋" w:cs="仿宋"/>
          <w:color w:val="000000" w:themeColor="text1"/>
          <w:sz w:val="24"/>
          <w:szCs w:val="36"/>
          <w:highlight w:val="none"/>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"http://192.168.70.199/seeyon/office/cache/20190929/-1981683210483646217/-1981683210483646217.html?rnd=94104.10036287415"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36"/>
          <w:highlight w:val="none"/>
          <w14:textFill>
            <w14:solidFill>
              <w14:schemeClr w14:val="tx1"/>
            </w14:solidFill>
          </w14:textFill>
        </w:rPr>
        <w:t>二、</w:t>
      </w:r>
      <w:r>
        <w:rPr>
          <w:rFonts w:hint="eastAsia" w:ascii="仿宋" w:hAnsi="仿宋" w:eastAsia="仿宋" w:cs="仿宋"/>
          <w:color w:val="000000" w:themeColor="text1"/>
          <w:szCs w:val="36"/>
          <w:highlight w:val="none"/>
          <w14:textFill>
            <w14:solidFill>
              <w14:schemeClr w14:val="tx1"/>
            </w14:solidFill>
          </w14:textFill>
        </w:rPr>
        <w:fldChar w:fldCharType="end"/>
      </w:r>
      <w:r>
        <w:rPr>
          <w:rFonts w:hint="eastAsia" w:ascii="仿宋" w:hAnsi="仿宋" w:eastAsia="仿宋" w:cs="仿宋"/>
          <w:color w:val="000000" w:themeColor="text1"/>
          <w:sz w:val="24"/>
          <w:szCs w:val="36"/>
          <w:highlight w:val="none"/>
          <w14:textFill>
            <w14:solidFill>
              <w14:schemeClr w14:val="tx1"/>
            </w14:solidFill>
          </w14:textFill>
        </w:rPr>
        <w:t>资格</w:t>
      </w:r>
      <w:r>
        <w:rPr>
          <w:rFonts w:hint="eastAsia" w:ascii="仿宋" w:hAnsi="仿宋" w:eastAsia="仿宋" w:cs="仿宋"/>
          <w:color w:val="000000" w:themeColor="text1"/>
          <w:sz w:val="24"/>
          <w:szCs w:val="36"/>
          <w:highlight w:val="none"/>
          <w:lang w:val="en-US" w:eastAsia="zh-CN"/>
          <w14:textFill>
            <w14:solidFill>
              <w14:schemeClr w14:val="tx1"/>
            </w14:solidFill>
          </w14:textFill>
        </w:rPr>
        <w:t>审查……………………………………………………………</w:t>
      </w:r>
      <w:r>
        <w:rPr>
          <w:rFonts w:hint="eastAsia" w:ascii="仿宋" w:hAnsi="仿宋" w:eastAsia="仿宋" w:cs="仿宋"/>
          <w:color w:val="auto"/>
          <w:sz w:val="24"/>
          <w:szCs w:val="36"/>
          <w:highlight w:val="none"/>
          <w:lang w:val="en-US" w:eastAsia="zh-CN"/>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……第（  ）页</w:t>
      </w:r>
    </w:p>
    <w:p w14:paraId="3E0B848E">
      <w:pPr>
        <w:pStyle w:val="26"/>
        <w:spacing w:line="360" w:lineRule="auto"/>
        <w:ind w:left="0" w:leftChars="0" w:firstLine="0" w:firstLineChars="0"/>
        <w:jc w:val="center"/>
        <w:rPr>
          <w:rFonts w:hint="eastAsia" w:ascii="仿宋" w:hAnsi="仿宋" w:eastAsia="仿宋" w:cs="仿宋"/>
          <w:color w:val="000000" w:themeColor="text1"/>
          <w:sz w:val="24"/>
          <w:szCs w:val="36"/>
          <w:highlight w:val="none"/>
          <w:lang w:val="en-US" w:eastAsia="zh-CN"/>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（一）资格自查表………………………………………………………………第（  ）页</w:t>
      </w:r>
    </w:p>
    <w:p w14:paraId="5E6FEB64">
      <w:pPr>
        <w:pStyle w:val="26"/>
        <w:spacing w:line="360" w:lineRule="auto"/>
        <w:ind w:left="0" w:leftChars="0" w:firstLine="0" w:firstLineChars="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（二）资格审查证明资料………………………………………………………第（  ）页</w:t>
      </w:r>
    </w:p>
    <w:p w14:paraId="09C48F97">
      <w:pPr>
        <w:shd w:val="clear" w:color="auto" w:fill="FFFFFF"/>
        <w:spacing w:line="360" w:lineRule="auto"/>
        <w:jc w:val="center"/>
        <w:rPr>
          <w:rFonts w:hint="eastAsia" w:ascii="仿宋" w:hAnsi="仿宋" w:eastAsia="仿宋" w:cs="仿宋"/>
          <w:color w:val="000000" w:themeColor="text1"/>
          <w:sz w:val="24"/>
          <w:szCs w:val="36"/>
          <w:highlight w:val="none"/>
          <w:lang w:eastAsia="zh-CN"/>
          <w14:textFill>
            <w14:solidFill>
              <w14:schemeClr w14:val="tx1"/>
            </w14:solidFill>
          </w14:textFill>
        </w:rPr>
      </w:pPr>
      <w:r>
        <w:rPr>
          <w:rFonts w:hint="eastAsia" w:ascii="仿宋" w:hAnsi="仿宋" w:eastAsia="仿宋" w:cs="仿宋"/>
          <w:color w:val="000000" w:themeColor="text1"/>
          <w:sz w:val="24"/>
          <w:szCs w:val="36"/>
          <w:highlight w:val="none"/>
          <w14:textFill>
            <w14:solidFill>
              <w14:schemeClr w14:val="tx1"/>
            </w14:solidFill>
          </w14:textFill>
        </w:rPr>
        <w:t>三、符合性</w:t>
      </w:r>
      <w:r>
        <w:rPr>
          <w:rFonts w:hint="eastAsia" w:ascii="仿宋" w:hAnsi="仿宋" w:eastAsia="仿宋" w:cs="仿宋"/>
          <w:color w:val="000000" w:themeColor="text1"/>
          <w:sz w:val="24"/>
          <w:szCs w:val="36"/>
          <w:highlight w:val="none"/>
          <w:lang w:val="en-US" w:eastAsia="zh-CN"/>
          <w14:textFill>
            <w14:solidFill>
              <w14:schemeClr w14:val="tx1"/>
            </w14:solidFill>
          </w14:textFill>
        </w:rPr>
        <w:t>审查…………………………………………………………</w:t>
      </w:r>
      <w:r>
        <w:rPr>
          <w:rFonts w:hint="eastAsia" w:ascii="仿宋" w:hAnsi="仿宋" w:eastAsia="仿宋" w:cs="仿宋"/>
          <w:color w:val="auto"/>
          <w:sz w:val="24"/>
          <w:szCs w:val="36"/>
          <w:highlight w:val="none"/>
          <w:lang w:val="en-US" w:eastAsia="zh-CN"/>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……第（  ）页</w:t>
      </w:r>
    </w:p>
    <w:p w14:paraId="42DBCD56">
      <w:pPr>
        <w:pStyle w:val="26"/>
        <w:spacing w:line="360" w:lineRule="auto"/>
        <w:ind w:left="0" w:leftChars="0" w:firstLine="0" w:firstLineChars="0"/>
        <w:jc w:val="center"/>
        <w:rPr>
          <w:rFonts w:hint="eastAsia" w:ascii="仿宋" w:hAnsi="仿宋" w:eastAsia="仿宋" w:cs="仿宋"/>
          <w:color w:val="000000" w:themeColor="text1"/>
          <w:sz w:val="24"/>
          <w:szCs w:val="36"/>
          <w:highlight w:val="none"/>
          <w:lang w:val="en-US" w:eastAsia="zh-CN"/>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（一）符合性自查表……………………………………………………………第（  ）页</w:t>
      </w:r>
    </w:p>
    <w:p w14:paraId="1D3FB97F">
      <w:pPr>
        <w:pStyle w:val="26"/>
        <w:spacing w:line="360" w:lineRule="auto"/>
        <w:ind w:left="0" w:leftChars="0" w:firstLine="0" w:firstLineChars="0"/>
        <w:jc w:val="center"/>
        <w:rPr>
          <w:rFonts w:hint="eastAsia" w:ascii="仿宋" w:hAnsi="仿宋" w:eastAsia="仿宋" w:cs="仿宋"/>
          <w:color w:val="000000" w:themeColor="text1"/>
          <w:sz w:val="24"/>
          <w:szCs w:val="36"/>
          <w:highlight w:val="none"/>
          <w14:textFill>
            <w14:solidFill>
              <w14:schemeClr w14:val="tx1"/>
            </w14:solidFill>
          </w14:textFill>
        </w:rPr>
      </w:pPr>
      <w:r>
        <w:rPr>
          <w:rFonts w:hint="eastAsia" w:ascii="仿宋" w:hAnsi="仿宋" w:eastAsia="仿宋" w:cs="仿宋"/>
          <w:color w:val="000000" w:themeColor="text1"/>
          <w:sz w:val="24"/>
          <w:szCs w:val="36"/>
          <w:highlight w:val="none"/>
          <w:lang w:val="en-US" w:eastAsia="zh-CN"/>
          <w14:textFill>
            <w14:solidFill>
              <w14:schemeClr w14:val="tx1"/>
            </w14:solidFill>
          </w14:textFill>
        </w:rPr>
        <w:t>（二）符合性审查证明资料……………………………………………………第（  ）页</w:t>
      </w:r>
    </w:p>
    <w:p w14:paraId="282B3C23">
      <w:pPr>
        <w:shd w:val="clear" w:color="auto" w:fill="FFFFFF"/>
        <w:spacing w:line="360" w:lineRule="auto"/>
        <w:jc w:val="center"/>
        <w:rPr>
          <w:rFonts w:hint="eastAsia" w:ascii="仿宋" w:hAnsi="仿宋" w:eastAsia="仿宋" w:cs="仿宋"/>
          <w:color w:val="000000" w:themeColor="text1"/>
          <w:sz w:val="24"/>
          <w:szCs w:val="36"/>
          <w:highlight w:val="none"/>
          <w:lang w:eastAsia="zh-CN"/>
          <w14:textFill>
            <w14:solidFill>
              <w14:schemeClr w14:val="tx1"/>
            </w14:solidFill>
          </w14:textFill>
        </w:rPr>
      </w:pPr>
      <w:r>
        <w:rPr>
          <w:rFonts w:hint="eastAsia" w:ascii="仿宋" w:hAnsi="仿宋" w:eastAsia="仿宋" w:cs="仿宋"/>
          <w:color w:val="000000" w:themeColor="text1"/>
          <w:sz w:val="24"/>
          <w:szCs w:val="36"/>
          <w:highlight w:val="none"/>
          <w14:textFill>
            <w14:solidFill>
              <w14:schemeClr w14:val="tx1"/>
            </w14:solidFill>
          </w14:textFill>
        </w:rPr>
        <w:t>四、</w:t>
      </w:r>
      <w:r>
        <w:rPr>
          <w:rFonts w:hint="eastAsia" w:ascii="仿宋" w:hAnsi="仿宋" w:eastAsia="仿宋" w:cs="仿宋"/>
          <w:color w:val="000000" w:themeColor="text1"/>
          <w:sz w:val="24"/>
          <w:szCs w:val="36"/>
          <w:highlight w:val="none"/>
          <w:lang w:val="en-US" w:eastAsia="zh-CN"/>
          <w14:textFill>
            <w14:solidFill>
              <w14:schemeClr w14:val="tx1"/>
            </w14:solidFill>
          </w14:textFill>
        </w:rPr>
        <w:t>“★”条款响应审查………………………………………………</w:t>
      </w:r>
      <w:r>
        <w:rPr>
          <w:rFonts w:hint="eastAsia" w:ascii="仿宋" w:hAnsi="仿宋" w:eastAsia="仿宋" w:cs="仿宋"/>
          <w:color w:val="auto"/>
          <w:sz w:val="24"/>
          <w:szCs w:val="36"/>
          <w:highlight w:val="none"/>
          <w:lang w:val="en-US" w:eastAsia="zh-CN"/>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……第（  ）页</w:t>
      </w:r>
    </w:p>
    <w:p w14:paraId="72092484">
      <w:pPr>
        <w:shd w:val="clear" w:color="auto" w:fill="FFFFFF"/>
        <w:spacing w:line="360" w:lineRule="auto"/>
        <w:rPr>
          <w:rFonts w:hint="eastAsia" w:ascii="仿宋" w:hAnsi="仿宋" w:eastAsia="仿宋" w:cs="仿宋"/>
          <w:color w:val="000000" w:themeColor="text1"/>
          <w:sz w:val="24"/>
          <w:szCs w:val="36"/>
          <w:highlight w:val="none"/>
          <w14:textFill>
            <w14:solidFill>
              <w14:schemeClr w14:val="tx1"/>
            </w14:solidFill>
          </w14:textFill>
        </w:rPr>
      </w:pPr>
    </w:p>
    <w:p w14:paraId="3C7DEF06">
      <w:pPr>
        <w:pStyle w:val="26"/>
        <w:rPr>
          <w:rFonts w:hint="eastAsia" w:ascii="仿宋" w:hAnsi="仿宋" w:eastAsia="仿宋" w:cs="仿宋"/>
          <w:color w:val="000000" w:themeColor="text1"/>
          <w:highlight w:val="none"/>
          <w14:textFill>
            <w14:solidFill>
              <w14:schemeClr w14:val="tx1"/>
            </w14:solidFill>
          </w14:textFill>
        </w:rPr>
      </w:pPr>
    </w:p>
    <w:p w14:paraId="4855DA85">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14:paraId="622DC2E3">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14:paraId="4904C152">
      <w:pPr>
        <w:pStyle w:val="26"/>
        <w:ind w:firstLine="400"/>
        <w:rPr>
          <w:rFonts w:hint="eastAsia" w:ascii="仿宋" w:hAnsi="仿宋" w:eastAsia="仿宋" w:cs="仿宋"/>
          <w:color w:val="000000" w:themeColor="text1"/>
          <w:sz w:val="24"/>
          <w:szCs w:val="24"/>
          <w:highlight w:val="none"/>
          <w14:textFill>
            <w14:solidFill>
              <w14:schemeClr w14:val="tx1"/>
            </w14:solidFill>
          </w14:textFill>
        </w:rPr>
      </w:pPr>
    </w:p>
    <w:p w14:paraId="08917192">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特别提示与要求：</w:t>
      </w:r>
    </w:p>
    <w:p w14:paraId="6CFB94EF">
      <w:pPr>
        <w:pStyle w:val="26"/>
        <w:ind w:left="0" w:leftChars="0" w:firstLine="0" w:firstLineChars="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请</w:t>
      </w:r>
      <w:r>
        <w:rPr>
          <w:rFonts w:hint="eastAsia" w:ascii="仿宋" w:hAnsi="仿宋" w:eastAsia="仿宋" w:cs="仿宋"/>
          <w:color w:val="000000" w:themeColor="text1"/>
          <w:sz w:val="24"/>
          <w:szCs w:val="24"/>
          <w:highlight w:val="none"/>
          <w:u w:val="single"/>
          <w14:textFill>
            <w14:solidFill>
              <w14:schemeClr w14:val="tx1"/>
            </w14:solidFill>
          </w14:textFill>
        </w:rPr>
        <w:t>响应人</w:t>
      </w:r>
      <w:r>
        <w:rPr>
          <w:rFonts w:hint="eastAsia" w:ascii="仿宋" w:hAnsi="仿宋" w:eastAsia="仿宋" w:cs="仿宋"/>
          <w:color w:val="000000" w:themeColor="text1"/>
          <w:sz w:val="24"/>
          <w:szCs w:val="24"/>
          <w:highlight w:val="none"/>
          <w:lang w:eastAsia="zh-CN"/>
          <w14:textFill>
            <w14:solidFill>
              <w14:schemeClr w14:val="tx1"/>
            </w14:solidFill>
          </w14:textFill>
        </w:rPr>
        <w:t>按照以下要求的格式、内容、顺序制作</w:t>
      </w:r>
      <w:r>
        <w:rPr>
          <w:rFonts w:hint="eastAsia" w:ascii="仿宋" w:hAnsi="仿宋" w:eastAsia="仿宋" w:cs="仿宋"/>
          <w:color w:val="000000" w:themeColor="text1"/>
          <w:sz w:val="24"/>
          <w:szCs w:val="24"/>
          <w:highlight w:val="none"/>
          <w:u w:val="single"/>
          <w14:textFill>
            <w14:solidFill>
              <w14:schemeClr w14:val="tx1"/>
            </w14:solidFill>
          </w14:textFill>
        </w:rPr>
        <w:t>响应文件</w:t>
      </w:r>
      <w:r>
        <w:rPr>
          <w:rFonts w:hint="eastAsia" w:ascii="仿宋" w:hAnsi="仿宋" w:eastAsia="仿宋" w:cs="仿宋"/>
          <w:color w:val="000000" w:themeColor="text1"/>
          <w:sz w:val="24"/>
          <w:szCs w:val="24"/>
          <w:highlight w:val="none"/>
          <w:lang w:eastAsia="zh-CN"/>
          <w14:textFill>
            <w14:solidFill>
              <w14:schemeClr w14:val="tx1"/>
            </w14:solidFill>
          </w14:textFill>
        </w:rPr>
        <w:t>，并请</w:t>
      </w:r>
      <w:r>
        <w:rPr>
          <w:rFonts w:hint="eastAsia" w:ascii="仿宋" w:hAnsi="仿宋" w:eastAsia="仿宋" w:cs="仿宋"/>
          <w:b/>
          <w:bCs/>
          <w:color w:val="000000" w:themeColor="text1"/>
          <w:sz w:val="24"/>
          <w:szCs w:val="24"/>
          <w:highlight w:val="none"/>
          <w:lang w:eastAsia="zh-CN"/>
          <w14:textFill>
            <w14:solidFill>
              <w14:schemeClr w14:val="tx1"/>
            </w14:solidFill>
          </w14:textFill>
        </w:rPr>
        <w:t>编制目录及页码</w:t>
      </w:r>
      <w:r>
        <w:rPr>
          <w:rFonts w:hint="eastAsia" w:ascii="仿宋" w:hAnsi="仿宋" w:eastAsia="仿宋" w:cs="仿宋"/>
          <w:color w:val="000000" w:themeColor="text1"/>
          <w:sz w:val="24"/>
          <w:szCs w:val="24"/>
          <w:highlight w:val="none"/>
          <w:lang w:eastAsia="zh-CN"/>
          <w14:textFill>
            <w14:solidFill>
              <w14:schemeClr w14:val="tx1"/>
            </w14:solidFill>
          </w14:textFill>
        </w:rPr>
        <w:t>，否则可能将影响对</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lang w:eastAsia="zh-CN"/>
          <w14:textFill>
            <w14:solidFill>
              <w14:schemeClr w14:val="tx1"/>
            </w14:solidFill>
          </w14:textFill>
        </w:rPr>
        <w:t>文件的评价。</w:t>
      </w:r>
    </w:p>
    <w:p w14:paraId="099E6481">
      <w:pPr>
        <w:pStyle w:val="2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b/>
          <w:bCs/>
          <w:color w:val="000000" w:themeColor="text1"/>
          <w:sz w:val="24"/>
          <w:szCs w:val="24"/>
          <w:highlight w:val="none"/>
          <w14:textFill>
            <w14:solidFill>
              <w14:schemeClr w14:val="tx1"/>
            </w14:solidFill>
          </w14:textFill>
        </w:rPr>
        <w:t>响应人所递交的</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所有</w:t>
      </w:r>
      <w:r>
        <w:rPr>
          <w:rFonts w:hint="eastAsia" w:ascii="仿宋" w:hAnsi="仿宋" w:eastAsia="仿宋" w:cs="仿宋"/>
          <w:b/>
          <w:bCs/>
          <w:color w:val="000000" w:themeColor="text1"/>
          <w:sz w:val="24"/>
          <w:szCs w:val="24"/>
          <w:highlight w:val="none"/>
          <w14:textFill>
            <w14:solidFill>
              <w14:schemeClr w14:val="tx1"/>
            </w14:solidFill>
          </w14:textFill>
        </w:rPr>
        <w:t>资料</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要求</w:t>
      </w:r>
      <w:r>
        <w:rPr>
          <w:rFonts w:hint="eastAsia" w:ascii="仿宋" w:hAnsi="仿宋" w:eastAsia="仿宋" w:cs="仿宋"/>
          <w:b/>
          <w:bCs/>
          <w:color w:val="000000" w:themeColor="text1"/>
          <w:sz w:val="24"/>
          <w:szCs w:val="24"/>
          <w:highlight w:val="none"/>
          <w14:textFill>
            <w14:solidFill>
              <w14:schemeClr w14:val="tx1"/>
            </w14:solidFill>
          </w14:textFill>
        </w:rPr>
        <w:t>加盖响应人公章。</w:t>
      </w:r>
    </w:p>
    <w:p w14:paraId="1BBF54B7">
      <w:pPr>
        <w:pStyle w:val="26"/>
        <w:ind w:left="0" w:leftChars="0" w:firstLine="0" w:firstLineChars="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36"/>
          <w:highlight w:val="none"/>
          <w14:textFill>
            <w14:solidFill>
              <w14:schemeClr w14:val="tx1"/>
            </w14:solidFill>
          </w14:textFill>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报价表</w:t>
      </w:r>
      <w:r>
        <w:rPr>
          <w:rFonts w:hint="eastAsia" w:ascii="仿宋" w:hAnsi="仿宋" w:eastAsia="仿宋" w:cs="仿宋"/>
          <w:color w:val="000000" w:themeColor="text1"/>
          <w:sz w:val="24"/>
          <w:szCs w:val="36"/>
          <w:highlight w:val="none"/>
          <w14:textFill>
            <w14:solidFill>
              <w14:schemeClr w14:val="tx1"/>
            </w14:solidFill>
          </w14:textFill>
        </w:rPr>
        <w:t>》应单独封装在</w:t>
      </w:r>
      <w:r>
        <w:rPr>
          <w:rFonts w:hint="eastAsia" w:ascii="仿宋" w:hAnsi="仿宋" w:eastAsia="仿宋" w:cs="仿宋"/>
          <w:color w:val="000000" w:themeColor="text1"/>
          <w:sz w:val="24"/>
          <w:szCs w:val="36"/>
          <w:highlight w:val="none"/>
          <w:lang w:val="en-US" w:eastAsia="zh-CN"/>
          <w14:textFill>
            <w14:solidFill>
              <w14:schemeClr w14:val="tx1"/>
            </w14:solidFill>
          </w14:textFill>
        </w:rPr>
        <w:t>报价</w:t>
      </w:r>
      <w:r>
        <w:rPr>
          <w:rFonts w:hint="eastAsia" w:ascii="仿宋" w:hAnsi="仿宋" w:eastAsia="仿宋" w:cs="仿宋"/>
          <w:color w:val="000000" w:themeColor="text1"/>
          <w:sz w:val="24"/>
          <w:szCs w:val="36"/>
          <w:highlight w:val="none"/>
          <w14:textFill>
            <w14:solidFill>
              <w14:schemeClr w14:val="tx1"/>
            </w14:solidFill>
          </w14:textFill>
        </w:rPr>
        <w:t>信封中</w:t>
      </w:r>
      <w:r>
        <w:rPr>
          <w:rFonts w:hint="eastAsia" w:ascii="仿宋" w:hAnsi="仿宋" w:eastAsia="仿宋" w:cs="仿宋"/>
          <w:color w:val="000000" w:themeColor="text1"/>
          <w:sz w:val="24"/>
          <w:szCs w:val="36"/>
          <w:highlight w:val="none"/>
          <w:lang w:eastAsia="zh-CN"/>
          <w14:textFill>
            <w14:solidFill>
              <w14:schemeClr w14:val="tx1"/>
            </w14:solidFill>
          </w14:textFill>
        </w:rPr>
        <w:t>，</w:t>
      </w:r>
      <w:r>
        <w:rPr>
          <w:rFonts w:hint="eastAsia" w:ascii="仿宋" w:hAnsi="仿宋" w:eastAsia="仿宋" w:cs="仿宋"/>
          <w:color w:val="000000" w:themeColor="text1"/>
          <w:sz w:val="24"/>
          <w:szCs w:val="36"/>
          <w:highlight w:val="none"/>
          <w:lang w:val="en-US" w:eastAsia="zh-CN"/>
          <w14:textFill>
            <w14:solidFill>
              <w14:schemeClr w14:val="tx1"/>
            </w14:solidFill>
          </w14:textFill>
        </w:rPr>
        <w:t>具体要求同“第三章响应须知”</w:t>
      </w:r>
      <w:r>
        <w:rPr>
          <w:rFonts w:hint="eastAsia" w:ascii="仿宋" w:hAnsi="仿宋" w:eastAsia="仿宋" w:cs="仿宋"/>
          <w:color w:val="000000" w:themeColor="text1"/>
          <w:sz w:val="24"/>
          <w:szCs w:val="36"/>
          <w:highlight w:val="none"/>
          <w14:textFill>
            <w14:solidFill>
              <w14:schemeClr w14:val="tx1"/>
            </w14:solidFill>
          </w14:textFill>
        </w:rPr>
        <w:t>。</w:t>
      </w:r>
    </w:p>
    <w:p w14:paraId="7FA6CF16">
      <w:pPr>
        <w:pStyle w:val="16"/>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5684A0D1">
      <w:pPr>
        <w:spacing w:before="240" w:line="360" w:lineRule="auto"/>
        <w:rPr>
          <w:rFonts w:ascii="宋体" w:hAnsi="宋体"/>
          <w:color w:val="000000"/>
          <w:sz w:val="24"/>
          <w:highlight w:val="none"/>
        </w:rPr>
      </w:pPr>
      <w:r>
        <w:rPr>
          <w:rFonts w:hint="eastAsia" w:ascii="仿宋" w:hAnsi="仿宋" w:eastAsia="仿宋" w:cs="仿宋"/>
          <w:b/>
          <w:bCs/>
          <w:color w:val="000000" w:themeColor="text1"/>
          <w:sz w:val="24"/>
          <w:highlight w:val="none"/>
          <w:lang w:val="zh-CN"/>
          <w14:textFill>
            <w14:solidFill>
              <w14:schemeClr w14:val="tx1"/>
            </w14:solidFill>
          </w14:textFill>
        </w:rPr>
        <w:fldChar w:fldCharType="end"/>
      </w:r>
    </w:p>
    <w:p w14:paraId="0804EAD9">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0"/>
    <w:p w14:paraId="2F03705A">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674C804F">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首次报价表</w:t>
      </w:r>
    </w:p>
    <w:tbl>
      <w:tblPr>
        <w:tblStyle w:val="19"/>
        <w:tblW w:w="0" w:type="auto"/>
        <w:jc w:val="center"/>
        <w:tblLayout w:type="autofit"/>
        <w:tblCellMar>
          <w:top w:w="0" w:type="dxa"/>
          <w:left w:w="108" w:type="dxa"/>
          <w:bottom w:w="0" w:type="dxa"/>
          <w:right w:w="108" w:type="dxa"/>
        </w:tblCellMar>
      </w:tblPr>
      <w:tblGrid>
        <w:gridCol w:w="1560"/>
        <w:gridCol w:w="2593"/>
        <w:gridCol w:w="1517"/>
        <w:gridCol w:w="2636"/>
      </w:tblGrid>
      <w:tr w14:paraId="287544DC">
        <w:tblPrEx>
          <w:tblCellMar>
            <w:top w:w="0" w:type="dxa"/>
            <w:left w:w="108" w:type="dxa"/>
            <w:bottom w:w="0" w:type="dxa"/>
            <w:right w:w="108" w:type="dxa"/>
          </w:tblCellMar>
        </w:tblPrEx>
        <w:trPr>
          <w:jc w:val="center"/>
        </w:trPr>
        <w:tc>
          <w:tcPr>
            <w:tcW w:w="1560" w:type="dxa"/>
            <w:vAlign w:val="bottom"/>
          </w:tcPr>
          <w:p w14:paraId="4120780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14:paraId="3314010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中山大学孙逸仙纪念医院公务车辆定点加油服务项目</w:t>
            </w:r>
          </w:p>
        </w:tc>
      </w:tr>
      <w:tr w14:paraId="147F93ED">
        <w:tblPrEx>
          <w:tblCellMar>
            <w:top w:w="0" w:type="dxa"/>
            <w:left w:w="108" w:type="dxa"/>
            <w:bottom w:w="0" w:type="dxa"/>
            <w:right w:w="108" w:type="dxa"/>
          </w:tblCellMar>
        </w:tblPrEx>
        <w:trPr>
          <w:jc w:val="center"/>
        </w:trPr>
        <w:tc>
          <w:tcPr>
            <w:tcW w:w="1560" w:type="dxa"/>
            <w:vAlign w:val="bottom"/>
          </w:tcPr>
          <w:p w14:paraId="595B2FF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148D98CE">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0297688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14:paraId="5AC786D6">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60BE8EB8">
        <w:tblPrEx>
          <w:tblCellMar>
            <w:top w:w="0" w:type="dxa"/>
            <w:left w:w="108" w:type="dxa"/>
            <w:bottom w:w="0" w:type="dxa"/>
            <w:right w:w="108" w:type="dxa"/>
          </w:tblCellMar>
        </w:tblPrEx>
        <w:trPr>
          <w:jc w:val="center"/>
        </w:trPr>
        <w:tc>
          <w:tcPr>
            <w:tcW w:w="1560" w:type="dxa"/>
            <w:vAlign w:val="bottom"/>
          </w:tcPr>
          <w:p w14:paraId="6D5A4D6E">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018D1DF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40001D2E">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14:paraId="6B09E77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640A9405">
      <w:pPr>
        <w:pStyle w:val="2"/>
        <w:spacing w:line="360" w:lineRule="auto"/>
        <w:jc w:val="left"/>
        <w:outlineLvl w:val="1"/>
        <w:rPr>
          <w:rFonts w:ascii="宋体" w:hAnsi="宋体" w:cs="宋体"/>
          <w:bCs/>
          <w:color w:val="000000"/>
          <w:sz w:val="10"/>
          <w:szCs w:val="21"/>
          <w:highlight w:val="none"/>
        </w:rPr>
      </w:pPr>
    </w:p>
    <w:p w14:paraId="19092D2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我单位作为</w:t>
      </w:r>
      <w:r>
        <w:rPr>
          <w:rFonts w:hint="eastAsia" w:ascii="仿宋" w:hAnsi="仿宋" w:eastAsia="仿宋" w:cs="仿宋"/>
          <w:sz w:val="21"/>
          <w:szCs w:val="21"/>
          <w:lang w:eastAsia="zh-CN"/>
        </w:rPr>
        <w:t>响应人</w:t>
      </w:r>
      <w:r>
        <w:rPr>
          <w:rFonts w:hint="eastAsia" w:ascii="仿宋" w:hAnsi="仿宋" w:eastAsia="仿宋" w:cs="仿宋"/>
          <w:sz w:val="21"/>
          <w:szCs w:val="21"/>
        </w:rPr>
        <w:t>,对此次</w:t>
      </w:r>
      <w:r>
        <w:rPr>
          <w:rFonts w:hint="eastAsia" w:ascii="仿宋" w:hAnsi="仿宋" w:eastAsia="仿宋" w:cs="仿宋"/>
          <w:sz w:val="21"/>
          <w:szCs w:val="21"/>
          <w:lang w:eastAsia="zh-CN"/>
        </w:rPr>
        <w:t>评审</w:t>
      </w:r>
      <w:r>
        <w:rPr>
          <w:rFonts w:hint="eastAsia" w:ascii="仿宋" w:hAnsi="仿宋" w:eastAsia="仿宋" w:cs="仿宋"/>
          <w:sz w:val="21"/>
          <w:szCs w:val="21"/>
        </w:rPr>
        <w:t>活动中我方所承诺的条款已经完全明确,也深知所承诺的事项和作出的报价可能给我方带来的风险和后果。如果我方在</w:t>
      </w:r>
      <w:r>
        <w:rPr>
          <w:rFonts w:hint="eastAsia" w:ascii="仿宋" w:hAnsi="仿宋" w:eastAsia="仿宋" w:cs="仿宋"/>
          <w:sz w:val="21"/>
          <w:szCs w:val="21"/>
          <w:lang w:eastAsia="zh-CN"/>
        </w:rPr>
        <w:t>评审</w:t>
      </w:r>
      <w:r>
        <w:rPr>
          <w:rFonts w:hint="eastAsia" w:ascii="仿宋" w:hAnsi="仿宋" w:eastAsia="仿宋" w:cs="仿宋"/>
          <w:sz w:val="21"/>
          <w:szCs w:val="21"/>
        </w:rPr>
        <w:t>活动中有弄虚作假等违法违规行为，以及</w:t>
      </w:r>
      <w:r>
        <w:rPr>
          <w:rFonts w:hint="eastAsia" w:ascii="仿宋" w:hAnsi="仿宋" w:eastAsia="仿宋" w:cs="仿宋"/>
          <w:sz w:val="21"/>
          <w:szCs w:val="21"/>
          <w:lang w:val="en-US" w:eastAsia="zh-CN"/>
        </w:rPr>
        <w:t>成交</w:t>
      </w:r>
      <w:r>
        <w:rPr>
          <w:rFonts w:hint="eastAsia" w:ascii="仿宋" w:hAnsi="仿宋" w:eastAsia="仿宋" w:cs="仿宋"/>
          <w:sz w:val="21"/>
          <w:szCs w:val="21"/>
        </w:rPr>
        <w:t>后因报价低或不执行承诺条款而不履约,本单位愿承担一切责任（包括赔偿损失、取消</w:t>
      </w:r>
      <w:r>
        <w:rPr>
          <w:rFonts w:hint="eastAsia" w:ascii="仿宋" w:hAnsi="仿宋" w:eastAsia="仿宋" w:cs="仿宋"/>
          <w:sz w:val="21"/>
          <w:szCs w:val="21"/>
          <w:lang w:eastAsia="zh-CN"/>
        </w:rPr>
        <w:t>评审</w:t>
      </w:r>
      <w:r>
        <w:rPr>
          <w:rFonts w:hint="eastAsia" w:ascii="仿宋" w:hAnsi="仿宋" w:eastAsia="仿宋" w:cs="仿宋"/>
          <w:sz w:val="21"/>
          <w:szCs w:val="21"/>
        </w:rPr>
        <w:t>及</w:t>
      </w:r>
      <w:r>
        <w:rPr>
          <w:rFonts w:hint="eastAsia" w:ascii="仿宋" w:hAnsi="仿宋" w:eastAsia="仿宋" w:cs="仿宋"/>
          <w:sz w:val="21"/>
          <w:szCs w:val="21"/>
          <w:lang w:val="en-US" w:eastAsia="zh-CN"/>
        </w:rPr>
        <w:t>成交</w:t>
      </w:r>
      <w:r>
        <w:rPr>
          <w:rFonts w:hint="eastAsia" w:ascii="仿宋" w:hAnsi="仿宋" w:eastAsia="仿宋" w:cs="仿宋"/>
          <w:sz w:val="21"/>
          <w:szCs w:val="21"/>
        </w:rPr>
        <w:t>资格等），我单位报价为：</w:t>
      </w:r>
    </w:p>
    <w:p w14:paraId="5E655AC7">
      <w:pPr>
        <w:pStyle w:val="2"/>
        <w:rPr>
          <w:rFonts w:hint="eastAsia"/>
        </w:rPr>
      </w:pPr>
    </w:p>
    <w:tbl>
      <w:tblPr>
        <w:tblStyle w:val="19"/>
        <w:tblW w:w="8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376"/>
        <w:gridCol w:w="2110"/>
        <w:gridCol w:w="3283"/>
      </w:tblGrid>
      <w:tr w14:paraId="051E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14:paraId="1647A479">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包组号</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2BEF9467">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院区</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4D8041B5">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b/>
                <w:sz w:val="24"/>
                <w:szCs w:val="24"/>
                <w:lang w:val="en-US" w:eastAsia="zh-CN"/>
              </w:rPr>
              <w:t>能供应的</w:t>
            </w:r>
            <w:r>
              <w:rPr>
                <w:rFonts w:hint="eastAsia" w:ascii="仿宋" w:hAnsi="仿宋" w:eastAsia="仿宋" w:cs="仿宋"/>
                <w:b/>
                <w:sz w:val="24"/>
                <w:szCs w:val="24"/>
              </w:rPr>
              <w:t>油品标号</w:t>
            </w:r>
          </w:p>
        </w:tc>
        <w:tc>
          <w:tcPr>
            <w:tcW w:w="3283" w:type="dxa"/>
            <w:tcBorders>
              <w:top w:val="single" w:color="auto" w:sz="4" w:space="0"/>
              <w:left w:val="single" w:color="auto" w:sz="4" w:space="0"/>
              <w:bottom w:val="single" w:color="auto" w:sz="4" w:space="0"/>
              <w:right w:val="single" w:color="auto" w:sz="4" w:space="0"/>
            </w:tcBorders>
            <w:noWrap w:val="0"/>
            <w:vAlign w:val="center"/>
          </w:tcPr>
          <w:p w14:paraId="16F3AC12">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报价</w:t>
            </w:r>
          </w:p>
          <w:p w14:paraId="199A390F">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（在加油站挂牌零售价的基础上报出优惠折扣率，该折扣率可同时叠加享受该油站优惠活动期间的优惠）</w:t>
            </w:r>
          </w:p>
        </w:tc>
      </w:tr>
      <w:tr w14:paraId="5C70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335" w:type="dxa"/>
            <w:tcBorders>
              <w:top w:val="single" w:color="auto" w:sz="4" w:space="0"/>
              <w:left w:val="single" w:color="auto" w:sz="4" w:space="0"/>
              <w:right w:val="single" w:color="auto" w:sz="4" w:space="0"/>
            </w:tcBorders>
            <w:noWrap w:val="0"/>
            <w:vAlign w:val="center"/>
          </w:tcPr>
          <w:p w14:paraId="63527151">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lang w:val="en-US" w:eastAsia="zh-CN"/>
              </w:rPr>
            </w:pPr>
          </w:p>
        </w:tc>
        <w:tc>
          <w:tcPr>
            <w:tcW w:w="1376" w:type="dxa"/>
            <w:tcBorders>
              <w:top w:val="single" w:color="auto" w:sz="4" w:space="0"/>
              <w:left w:val="single" w:color="auto" w:sz="4" w:space="0"/>
              <w:right w:val="single" w:color="auto" w:sz="4" w:space="0"/>
            </w:tcBorders>
            <w:noWrap w:val="0"/>
            <w:vAlign w:val="center"/>
          </w:tcPr>
          <w:p w14:paraId="5EE2B52B">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lang w:val="en-US" w:eastAsia="zh-CN"/>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1D702B35">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lang w:val="en-US" w:eastAsia="zh-CN"/>
              </w:rPr>
            </w:pPr>
          </w:p>
        </w:tc>
        <w:tc>
          <w:tcPr>
            <w:tcW w:w="3283" w:type="dxa"/>
            <w:tcBorders>
              <w:top w:val="single" w:color="auto" w:sz="4" w:space="0"/>
              <w:left w:val="single" w:color="auto" w:sz="4" w:space="0"/>
              <w:right w:val="single" w:color="auto" w:sz="4" w:space="0"/>
            </w:tcBorders>
            <w:noWrap w:val="0"/>
            <w:vAlign w:val="center"/>
          </w:tcPr>
          <w:p w14:paraId="06F57487">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bl>
    <w:p w14:paraId="0ADD5CD7">
      <w:pPr>
        <w:pStyle w:val="26"/>
        <w:rPr>
          <w:rFonts w:hint="eastAsia" w:ascii="仿宋" w:hAnsi="仿宋" w:eastAsia="仿宋" w:cs="仿宋"/>
          <w:color w:val="000000" w:themeColor="text1"/>
          <w:sz w:val="21"/>
          <w:szCs w:val="21"/>
          <w:highlight w:val="none"/>
          <w14:textFill>
            <w14:solidFill>
              <w14:schemeClr w14:val="tx1"/>
            </w14:solidFill>
          </w14:textFill>
        </w:rPr>
      </w:pPr>
    </w:p>
    <w:p w14:paraId="333BFF71">
      <w:pPr>
        <w:pStyle w:val="26"/>
        <w:rPr>
          <w:rFonts w:hint="eastAsia" w:ascii="仿宋" w:hAnsi="仿宋" w:eastAsia="仿宋" w:cs="仿宋"/>
          <w:color w:val="000000" w:themeColor="text1"/>
          <w:sz w:val="21"/>
          <w:szCs w:val="21"/>
          <w:highlight w:val="none"/>
          <w14:textFill>
            <w14:solidFill>
              <w14:schemeClr w14:val="tx1"/>
            </w14:solidFill>
          </w14:textFill>
        </w:rPr>
      </w:pPr>
    </w:p>
    <w:p w14:paraId="564058BB">
      <w:pPr>
        <w:pStyle w:val="26"/>
        <w:rPr>
          <w:rFonts w:hint="eastAsia" w:ascii="仿宋" w:hAnsi="仿宋" w:eastAsia="仿宋" w:cs="仿宋"/>
          <w:color w:val="000000" w:themeColor="text1"/>
          <w:sz w:val="21"/>
          <w:szCs w:val="21"/>
          <w:highlight w:val="none"/>
          <w14:textFill>
            <w14:solidFill>
              <w14:schemeClr w14:val="tx1"/>
            </w14:solidFill>
          </w14:textFill>
        </w:rPr>
      </w:pPr>
    </w:p>
    <w:p w14:paraId="2AB56B96">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w:t>
      </w:r>
    </w:p>
    <w:p w14:paraId="0B9DC0C2">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1、响应人须按要求填写所有信息，不得随意更改本表格式。</w:t>
      </w:r>
    </w:p>
    <w:p w14:paraId="0EFC1F1D">
      <w:pPr>
        <w:pStyle w:val="26"/>
        <w:rPr>
          <w:rFonts w:hint="eastAsia" w:ascii="仿宋" w:hAnsi="仿宋" w:eastAsia="仿宋" w:cs="仿宋"/>
          <w:color w:val="auto"/>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2、</w:t>
      </w:r>
      <w:r>
        <w:rPr>
          <w:rFonts w:hint="eastAsia" w:ascii="仿宋" w:hAnsi="仿宋" w:eastAsia="仿宋" w:cs="仿宋"/>
          <w:color w:val="auto"/>
          <w:sz w:val="21"/>
          <w:szCs w:val="21"/>
          <w:highlight w:val="none"/>
        </w:rPr>
        <w:t>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p>
    <w:p w14:paraId="44068479">
      <w:pPr>
        <w:pStyle w:val="26"/>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5D208F77">
      <w:pPr>
        <w:pStyle w:val="26"/>
        <w:rPr>
          <w:rFonts w:hint="eastAsia" w:ascii="仿宋" w:hAnsi="仿宋" w:eastAsia="仿宋" w:cs="仿宋"/>
          <w:color w:val="000000" w:themeColor="text1"/>
          <w:highlight w:val="none"/>
          <w14:textFill>
            <w14:solidFill>
              <w14:schemeClr w14:val="tx1"/>
            </w14:solidFill>
          </w14:textFill>
        </w:rPr>
      </w:pPr>
    </w:p>
    <w:p w14:paraId="5546F5C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themeColor="text1"/>
          <w:sz w:val="24"/>
          <w:highlight w:val="none"/>
          <w:lang w:eastAsia="zh-CN"/>
          <w14:textFill>
            <w14:solidFill>
              <w14:schemeClr w14:val="tx1"/>
            </w14:solidFill>
          </w14:textFill>
        </w:rPr>
      </w:pPr>
    </w:p>
    <w:p w14:paraId="7BA51FFB">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人名称（盖公章）：</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1079BB4E">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人法定代表人或</w:t>
      </w:r>
      <w:r>
        <w:rPr>
          <w:rFonts w:hint="eastAsia" w:ascii="仿宋" w:hAnsi="仿宋" w:eastAsia="仿宋" w:cs="仿宋"/>
          <w:color w:val="000000" w:themeColor="text1"/>
          <w:sz w:val="24"/>
          <w:highlight w:val="none"/>
          <w:lang w:val="en-US" w:eastAsia="zh-CN"/>
          <w14:textFill>
            <w14:solidFill>
              <w14:schemeClr w14:val="tx1"/>
            </w14:solidFill>
          </w14:textFill>
        </w:rPr>
        <w:t>法定</w:t>
      </w:r>
      <w:r>
        <w:rPr>
          <w:rFonts w:hint="eastAsia" w:ascii="仿宋" w:hAnsi="仿宋" w:eastAsia="仿宋" w:cs="仿宋"/>
          <w:color w:val="000000" w:themeColor="text1"/>
          <w:sz w:val="24"/>
          <w:highlight w:val="none"/>
          <w14:textFill>
            <w14:solidFill>
              <w14:schemeClr w14:val="tx1"/>
            </w14:solidFill>
          </w14:textFill>
        </w:rPr>
        <w:t>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3DF5FF12">
      <w:pPr>
        <w:pageBreakBefore w:val="0"/>
        <w:kinsoku/>
        <w:wordWrap/>
        <w:overflowPunct/>
        <w:topLinePunct w:val="0"/>
        <w:bidi w:val="0"/>
        <w:spacing w:line="360" w:lineRule="auto"/>
        <w:ind w:right="0" w:rightChars="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14:paraId="2BAB6AA7">
      <w:pPr>
        <w:pStyle w:val="2"/>
        <w:rPr>
          <w:rFonts w:hint="eastAsia" w:ascii="仿宋" w:hAnsi="仿宋" w:eastAsia="仿宋" w:cs="仿宋"/>
          <w:color w:val="000000" w:themeColor="text1"/>
          <w:sz w:val="24"/>
          <w:highlight w:val="none"/>
          <w14:textFill>
            <w14:solidFill>
              <w14:schemeClr w14:val="tx1"/>
            </w14:solidFill>
          </w14:textFill>
        </w:rPr>
      </w:pPr>
    </w:p>
    <w:p w14:paraId="7557CFA8">
      <w:pPr>
        <w:rPr>
          <w:rFonts w:hint="eastAsia" w:ascii="仿宋" w:hAnsi="仿宋" w:eastAsia="仿宋" w:cs="仿宋"/>
          <w:color w:val="000000" w:themeColor="text1"/>
          <w:sz w:val="24"/>
          <w:highlight w:val="none"/>
          <w14:textFill>
            <w14:solidFill>
              <w14:schemeClr w14:val="tx1"/>
            </w14:solidFill>
          </w14:textFill>
        </w:rPr>
      </w:pPr>
    </w:p>
    <w:p w14:paraId="53099F63">
      <w:pPr>
        <w:pStyle w:val="2"/>
        <w:rPr>
          <w:rFonts w:hint="eastAsia" w:ascii="仿宋" w:hAnsi="仿宋" w:eastAsia="仿宋" w:cs="仿宋"/>
          <w:color w:val="000000" w:themeColor="text1"/>
          <w:sz w:val="24"/>
          <w:highlight w:val="none"/>
          <w14:textFill>
            <w14:solidFill>
              <w14:schemeClr w14:val="tx1"/>
            </w14:solidFill>
          </w14:textFill>
        </w:rPr>
      </w:pPr>
    </w:p>
    <w:p w14:paraId="68ADC4EA">
      <w:pPr>
        <w:rPr>
          <w:rFonts w:hint="eastAsia"/>
        </w:rPr>
      </w:pPr>
    </w:p>
    <w:p w14:paraId="6BB8ED16">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000000" w:themeColor="text1"/>
          <w:sz w:val="36"/>
          <w:szCs w:val="36"/>
          <w:highlight w:val="none"/>
          <w:lang w:eastAsia="zh-CN"/>
          <w14:textFill>
            <w14:solidFill>
              <w14:schemeClr w14:val="tx1"/>
            </w14:solidFill>
          </w14:textFill>
        </w:rPr>
      </w:pPr>
    </w:p>
    <w:p w14:paraId="5B8C6AB5">
      <w:pPr>
        <w:widowControl w:val="0"/>
        <w:numPr>
          <w:ilvl w:val="0"/>
          <w:numId w:val="9"/>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themeColor="text1"/>
          <w:sz w:val="36"/>
          <w:szCs w:val="36"/>
          <w:highlight w:val="none"/>
          <w:lang w:eastAsia="zh-CN"/>
          <w14:textFill>
            <w14:solidFill>
              <w14:schemeClr w14:val="tx1"/>
            </w14:solidFill>
          </w14:textFill>
        </w:rPr>
      </w:pP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最终报价</w:t>
      </w:r>
      <w:r>
        <w:rPr>
          <w:rFonts w:hint="eastAsia" w:ascii="仿宋" w:hAnsi="仿宋" w:eastAsia="仿宋" w:cs="仿宋"/>
          <w:b/>
          <w:bCs/>
          <w:color w:val="000000" w:themeColor="text1"/>
          <w:sz w:val="36"/>
          <w:szCs w:val="36"/>
          <w:highlight w:val="none"/>
          <w:lang w:eastAsia="zh-CN"/>
          <w14:textFill>
            <w14:solidFill>
              <w14:schemeClr w14:val="tx1"/>
            </w14:solidFill>
          </w14:textFill>
        </w:rPr>
        <w:t>表</w:t>
      </w:r>
    </w:p>
    <w:p w14:paraId="47AC5DF0">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（此表</w:t>
      </w:r>
      <w:r>
        <w:rPr>
          <w:rFonts w:hint="eastAsia" w:ascii="仿宋" w:hAnsi="仿宋" w:eastAsia="仿宋" w:cs="仿宋"/>
          <w:b/>
          <w:color w:val="auto"/>
          <w:sz w:val="30"/>
          <w:szCs w:val="30"/>
          <w:highlight w:val="none"/>
          <w:lang w:val="en-US" w:eastAsia="zh-CN"/>
        </w:rPr>
        <w:t>现场谈判</w:t>
      </w:r>
      <w:r>
        <w:rPr>
          <w:rFonts w:hint="eastAsia" w:ascii="仿宋" w:hAnsi="仿宋" w:eastAsia="仿宋" w:cs="仿宋"/>
          <w:b/>
          <w:color w:val="auto"/>
          <w:sz w:val="30"/>
          <w:szCs w:val="30"/>
          <w:highlight w:val="none"/>
          <w:lang w:eastAsia="zh-CN"/>
        </w:rPr>
        <w:t>后再交）</w:t>
      </w:r>
    </w:p>
    <w:tbl>
      <w:tblPr>
        <w:tblStyle w:val="19"/>
        <w:tblW w:w="0" w:type="auto"/>
        <w:jc w:val="center"/>
        <w:tblLayout w:type="autofit"/>
        <w:tblCellMar>
          <w:top w:w="0" w:type="dxa"/>
          <w:left w:w="108" w:type="dxa"/>
          <w:bottom w:w="0" w:type="dxa"/>
          <w:right w:w="108" w:type="dxa"/>
        </w:tblCellMar>
      </w:tblPr>
      <w:tblGrid>
        <w:gridCol w:w="1560"/>
        <w:gridCol w:w="6746"/>
      </w:tblGrid>
      <w:tr w14:paraId="0701914C">
        <w:trPr>
          <w:jc w:val="center"/>
        </w:trPr>
        <w:tc>
          <w:tcPr>
            <w:tcW w:w="1560" w:type="dxa"/>
            <w:vAlign w:val="bottom"/>
          </w:tcPr>
          <w:p w14:paraId="0E67669D">
            <w:pPr>
              <w:keepNext w:val="0"/>
              <w:keepLines w:val="0"/>
              <w:suppressLineNumbers w:val="0"/>
              <w:spacing w:before="240" w:beforeAutospacing="0" w:after="0" w:afterAutospacing="0"/>
              <w:ind w:left="0" w:right="0"/>
              <w:rPr>
                <w:rFonts w:hint="eastAsia" w:ascii="仿宋" w:hAnsi="仿宋" w:eastAsia="仿宋" w:cs="仿宋"/>
                <w:color w:val="000000" w:themeColor="text1"/>
                <w:sz w:val="24"/>
                <w:szCs w:val="32"/>
                <w:highlight w:val="none"/>
                <w14:textFill>
                  <w14:solidFill>
                    <w14:schemeClr w14:val="tx1"/>
                  </w14:solidFill>
                </w14:textFill>
              </w:rPr>
            </w:pPr>
            <w:r>
              <w:rPr>
                <w:rFonts w:hint="eastAsia" w:ascii="仿宋" w:hAnsi="仿宋" w:eastAsia="仿宋" w:cs="仿宋"/>
                <w:color w:val="000000" w:themeColor="text1"/>
                <w:sz w:val="24"/>
                <w:szCs w:val="32"/>
                <w:highlight w:val="none"/>
                <w14:textFill>
                  <w14:solidFill>
                    <w14:schemeClr w14:val="tx1"/>
                  </w14:solidFill>
                </w14:textFill>
              </w:rPr>
              <w:t>项目名称：</w:t>
            </w:r>
          </w:p>
        </w:tc>
        <w:tc>
          <w:tcPr>
            <w:tcW w:w="6746" w:type="dxa"/>
            <w:tcBorders>
              <w:top w:val="nil"/>
              <w:left w:val="nil"/>
              <w:bottom w:val="single" w:color="auto" w:sz="4" w:space="0"/>
              <w:right w:val="nil"/>
            </w:tcBorders>
            <w:vAlign w:val="bottom"/>
          </w:tcPr>
          <w:p w14:paraId="1CC5DACB">
            <w:pPr>
              <w:keepNext w:val="0"/>
              <w:keepLines w:val="0"/>
              <w:suppressLineNumbers w:val="0"/>
              <w:spacing w:before="240" w:beforeAutospacing="0" w:after="0" w:afterAutospacing="0"/>
              <w:ind w:left="0" w:right="0"/>
              <w:rPr>
                <w:rFonts w:hint="eastAsia" w:ascii="仿宋" w:hAnsi="仿宋" w:eastAsia="仿宋" w:cs="仿宋"/>
                <w:color w:val="000000" w:themeColor="text1"/>
                <w:sz w:val="24"/>
                <w:szCs w:val="32"/>
                <w:highlight w:val="none"/>
                <w14:textFill>
                  <w14:solidFill>
                    <w14:schemeClr w14:val="tx1"/>
                  </w14:solidFill>
                </w14:textFill>
              </w:rPr>
            </w:pPr>
            <w:r>
              <w:rPr>
                <w:rFonts w:hint="eastAsia" w:ascii="仿宋" w:hAnsi="仿宋" w:eastAsia="仿宋" w:cs="仿宋"/>
                <w:color w:val="000000" w:themeColor="text1"/>
                <w:sz w:val="24"/>
                <w:szCs w:val="32"/>
                <w:highlight w:val="none"/>
                <w14:textFill>
                  <w14:solidFill>
                    <w14:schemeClr w14:val="tx1"/>
                  </w14:solidFill>
                </w14:textFill>
              </w:rPr>
              <w:t>中山大学孙逸仙纪念医院公务车辆定点加油服务项目</w:t>
            </w:r>
          </w:p>
        </w:tc>
      </w:tr>
    </w:tbl>
    <w:p w14:paraId="651987A8">
      <w:pPr>
        <w:pStyle w:val="2"/>
        <w:spacing w:line="360" w:lineRule="auto"/>
        <w:jc w:val="left"/>
        <w:outlineLvl w:val="1"/>
        <w:rPr>
          <w:rFonts w:hint="eastAsia" w:ascii="仿宋" w:hAnsi="仿宋" w:eastAsia="仿宋" w:cs="仿宋"/>
          <w:bCs/>
          <w:color w:val="000000" w:themeColor="text1"/>
          <w:sz w:val="10"/>
          <w:szCs w:val="21"/>
          <w:highlight w:val="none"/>
          <w14:textFill>
            <w14:solidFill>
              <w14:schemeClr w14:val="tx1"/>
            </w14:solidFill>
          </w14:textFill>
        </w:rPr>
      </w:pPr>
    </w:p>
    <w:p w14:paraId="7607D1C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我单位作为</w:t>
      </w:r>
      <w:r>
        <w:rPr>
          <w:rFonts w:hint="eastAsia" w:ascii="仿宋" w:hAnsi="仿宋" w:eastAsia="仿宋" w:cs="仿宋"/>
          <w:sz w:val="21"/>
          <w:szCs w:val="21"/>
          <w:lang w:eastAsia="zh-CN"/>
        </w:rPr>
        <w:t>响应人</w:t>
      </w:r>
      <w:r>
        <w:rPr>
          <w:rFonts w:hint="eastAsia" w:ascii="仿宋" w:hAnsi="仿宋" w:eastAsia="仿宋" w:cs="仿宋"/>
          <w:sz w:val="21"/>
          <w:szCs w:val="21"/>
        </w:rPr>
        <w:t>,对此次</w:t>
      </w:r>
      <w:r>
        <w:rPr>
          <w:rFonts w:hint="eastAsia" w:ascii="仿宋" w:hAnsi="仿宋" w:eastAsia="仿宋" w:cs="仿宋"/>
          <w:sz w:val="21"/>
          <w:szCs w:val="21"/>
          <w:lang w:eastAsia="zh-CN"/>
        </w:rPr>
        <w:t>评审</w:t>
      </w:r>
      <w:r>
        <w:rPr>
          <w:rFonts w:hint="eastAsia" w:ascii="仿宋" w:hAnsi="仿宋" w:eastAsia="仿宋" w:cs="仿宋"/>
          <w:sz w:val="21"/>
          <w:szCs w:val="21"/>
        </w:rPr>
        <w:t>活动中我方所承诺的条款已经完全明确,也深知所承诺的事项和作出的报价可能给我方带来的风险和后果。如果我方在</w:t>
      </w:r>
      <w:r>
        <w:rPr>
          <w:rFonts w:hint="eastAsia" w:ascii="仿宋" w:hAnsi="仿宋" w:eastAsia="仿宋" w:cs="仿宋"/>
          <w:sz w:val="21"/>
          <w:szCs w:val="21"/>
          <w:lang w:eastAsia="zh-CN"/>
        </w:rPr>
        <w:t>评审</w:t>
      </w:r>
      <w:r>
        <w:rPr>
          <w:rFonts w:hint="eastAsia" w:ascii="仿宋" w:hAnsi="仿宋" w:eastAsia="仿宋" w:cs="仿宋"/>
          <w:sz w:val="21"/>
          <w:szCs w:val="21"/>
        </w:rPr>
        <w:t>活动中有弄虚作假等违法违规行为，以及</w:t>
      </w:r>
      <w:r>
        <w:rPr>
          <w:rFonts w:hint="eastAsia" w:ascii="仿宋" w:hAnsi="仿宋" w:eastAsia="仿宋" w:cs="仿宋"/>
          <w:sz w:val="21"/>
          <w:szCs w:val="21"/>
          <w:lang w:val="en-US" w:eastAsia="zh-CN"/>
        </w:rPr>
        <w:t>成交</w:t>
      </w:r>
      <w:r>
        <w:rPr>
          <w:rFonts w:hint="eastAsia" w:ascii="仿宋" w:hAnsi="仿宋" w:eastAsia="仿宋" w:cs="仿宋"/>
          <w:sz w:val="21"/>
          <w:szCs w:val="21"/>
        </w:rPr>
        <w:t>后因报价低或不执行承诺条款而不履约,本单位愿承担一切责任（包括赔偿损失、取消</w:t>
      </w:r>
      <w:r>
        <w:rPr>
          <w:rFonts w:hint="eastAsia" w:ascii="仿宋" w:hAnsi="仿宋" w:eastAsia="仿宋" w:cs="仿宋"/>
          <w:sz w:val="21"/>
          <w:szCs w:val="21"/>
          <w:lang w:eastAsia="zh-CN"/>
        </w:rPr>
        <w:t>评审</w:t>
      </w:r>
      <w:r>
        <w:rPr>
          <w:rFonts w:hint="eastAsia" w:ascii="仿宋" w:hAnsi="仿宋" w:eastAsia="仿宋" w:cs="仿宋"/>
          <w:sz w:val="21"/>
          <w:szCs w:val="21"/>
        </w:rPr>
        <w:t>及</w:t>
      </w:r>
      <w:r>
        <w:rPr>
          <w:rFonts w:hint="eastAsia" w:ascii="仿宋" w:hAnsi="仿宋" w:eastAsia="仿宋" w:cs="仿宋"/>
          <w:sz w:val="21"/>
          <w:szCs w:val="21"/>
          <w:lang w:val="en-US" w:eastAsia="zh-CN"/>
        </w:rPr>
        <w:t>成交</w:t>
      </w:r>
      <w:r>
        <w:rPr>
          <w:rFonts w:hint="eastAsia" w:ascii="仿宋" w:hAnsi="仿宋" w:eastAsia="仿宋" w:cs="仿宋"/>
          <w:sz w:val="21"/>
          <w:szCs w:val="21"/>
        </w:rPr>
        <w:t>资格等），我单位报价为：</w:t>
      </w:r>
    </w:p>
    <w:p w14:paraId="40BB2501">
      <w:pPr>
        <w:pStyle w:val="2"/>
        <w:rPr>
          <w:rFonts w:hint="eastAsia" w:ascii="仿宋" w:hAnsi="仿宋" w:eastAsia="仿宋" w:cs="仿宋"/>
          <w:sz w:val="21"/>
          <w:szCs w:val="21"/>
        </w:rPr>
      </w:pPr>
    </w:p>
    <w:p w14:paraId="26A474B6">
      <w:pPr>
        <w:rPr>
          <w:rFonts w:hint="eastAsia"/>
        </w:rPr>
      </w:pPr>
    </w:p>
    <w:tbl>
      <w:tblPr>
        <w:tblStyle w:val="19"/>
        <w:tblW w:w="10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376"/>
        <w:gridCol w:w="2110"/>
        <w:gridCol w:w="3283"/>
        <w:gridCol w:w="1912"/>
      </w:tblGrid>
      <w:tr w14:paraId="1972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14:paraId="20E815FD">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包组号</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29F4EF86">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院区</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3D9BF0C1">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b/>
                <w:sz w:val="24"/>
                <w:szCs w:val="24"/>
                <w:lang w:val="en-US" w:eastAsia="zh-CN"/>
              </w:rPr>
              <w:t>能供应的</w:t>
            </w:r>
            <w:r>
              <w:rPr>
                <w:rFonts w:hint="eastAsia" w:ascii="仿宋" w:hAnsi="仿宋" w:eastAsia="仿宋" w:cs="仿宋"/>
                <w:b/>
                <w:sz w:val="24"/>
                <w:szCs w:val="24"/>
              </w:rPr>
              <w:t>油品标号</w:t>
            </w:r>
          </w:p>
        </w:tc>
        <w:tc>
          <w:tcPr>
            <w:tcW w:w="3283" w:type="dxa"/>
            <w:tcBorders>
              <w:top w:val="single" w:color="auto" w:sz="4" w:space="0"/>
              <w:left w:val="single" w:color="auto" w:sz="4" w:space="0"/>
              <w:bottom w:val="single" w:color="auto" w:sz="4" w:space="0"/>
              <w:right w:val="single" w:color="auto" w:sz="4" w:space="0"/>
            </w:tcBorders>
            <w:noWrap w:val="0"/>
            <w:vAlign w:val="center"/>
          </w:tcPr>
          <w:p w14:paraId="2CA8EC97">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报价</w:t>
            </w:r>
          </w:p>
          <w:p w14:paraId="2B8823F4">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（在加油站挂牌零售价的基础上报出优惠折扣率，该折扣率可同时叠加享受该油站优惠活动期间的优惠）</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1C885B73">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b/>
                <w:sz w:val="24"/>
                <w:szCs w:val="24"/>
                <w:lang w:val="en-US" w:eastAsia="zh-CN"/>
              </w:rPr>
              <w:t>供应商</w:t>
            </w:r>
            <w:r>
              <w:rPr>
                <w:rFonts w:hint="eastAsia" w:ascii="仿宋" w:hAnsi="仿宋" w:eastAsia="仿宋" w:cs="仿宋"/>
                <w:b/>
                <w:sz w:val="24"/>
                <w:szCs w:val="24"/>
              </w:rPr>
              <w:t>委托人签名确认</w:t>
            </w:r>
          </w:p>
        </w:tc>
      </w:tr>
      <w:tr w14:paraId="7885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335" w:type="dxa"/>
            <w:tcBorders>
              <w:top w:val="single" w:color="auto" w:sz="4" w:space="0"/>
              <w:left w:val="single" w:color="auto" w:sz="4" w:space="0"/>
              <w:right w:val="single" w:color="auto" w:sz="4" w:space="0"/>
            </w:tcBorders>
            <w:noWrap w:val="0"/>
            <w:vAlign w:val="center"/>
          </w:tcPr>
          <w:p w14:paraId="25DDA082">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lang w:val="en-US" w:eastAsia="zh-CN"/>
              </w:rPr>
            </w:pPr>
          </w:p>
        </w:tc>
        <w:tc>
          <w:tcPr>
            <w:tcW w:w="1376" w:type="dxa"/>
            <w:tcBorders>
              <w:top w:val="single" w:color="auto" w:sz="4" w:space="0"/>
              <w:left w:val="single" w:color="auto" w:sz="4" w:space="0"/>
              <w:right w:val="single" w:color="auto" w:sz="4" w:space="0"/>
            </w:tcBorders>
            <w:noWrap w:val="0"/>
            <w:vAlign w:val="center"/>
          </w:tcPr>
          <w:p w14:paraId="483BCA2D">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lang w:val="en-US" w:eastAsia="zh-CN"/>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4D0757B9">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center"/>
              <w:textAlignment w:val="auto"/>
              <w:rPr>
                <w:rFonts w:hint="eastAsia" w:ascii="仿宋" w:hAnsi="仿宋" w:eastAsia="仿宋" w:cs="仿宋"/>
                <w:kern w:val="28"/>
                <w:sz w:val="24"/>
                <w:szCs w:val="24"/>
                <w:lang w:val="en-US" w:eastAsia="zh-CN"/>
              </w:rPr>
            </w:pPr>
          </w:p>
        </w:tc>
        <w:tc>
          <w:tcPr>
            <w:tcW w:w="3283" w:type="dxa"/>
            <w:tcBorders>
              <w:top w:val="single" w:color="auto" w:sz="4" w:space="0"/>
              <w:left w:val="single" w:color="auto" w:sz="4" w:space="0"/>
              <w:right w:val="single" w:color="auto" w:sz="4" w:space="0"/>
            </w:tcBorders>
            <w:noWrap w:val="0"/>
            <w:vAlign w:val="center"/>
          </w:tcPr>
          <w:p w14:paraId="3F5FC3D0">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c>
          <w:tcPr>
            <w:tcW w:w="1912" w:type="dxa"/>
            <w:tcBorders>
              <w:top w:val="single" w:color="auto" w:sz="4" w:space="0"/>
              <w:left w:val="single" w:color="auto" w:sz="4" w:space="0"/>
              <w:right w:val="single" w:color="auto" w:sz="4" w:space="0"/>
            </w:tcBorders>
            <w:noWrap w:val="0"/>
            <w:vAlign w:val="center"/>
          </w:tcPr>
          <w:p w14:paraId="638CD1A3">
            <w:pPr>
              <w:keepNext w:val="0"/>
              <w:keepLines w:val="0"/>
              <w:pageBreakBefore w:val="0"/>
              <w:suppressLineNumbers w:val="0"/>
              <w:kinsoku/>
              <w:overflowPunct/>
              <w:topLinePunct w:val="0"/>
              <w:autoSpaceDN/>
              <w:bidi w:val="0"/>
              <w:adjustRightInd/>
              <w:spacing w:before="0" w:beforeAutospacing="0" w:after="0" w:afterAutospacing="0"/>
              <w:ind w:left="0" w:leftChars="0" w:right="0" w:rightChars="0" w:firstLine="0" w:firstLineChars="0"/>
              <w:jc w:val="left"/>
              <w:textAlignment w:val="auto"/>
              <w:rPr>
                <w:rFonts w:hint="eastAsia" w:ascii="仿宋" w:hAnsi="仿宋" w:eastAsia="仿宋" w:cs="仿宋"/>
                <w:sz w:val="24"/>
                <w:szCs w:val="24"/>
              </w:rPr>
            </w:pPr>
          </w:p>
        </w:tc>
      </w:tr>
    </w:tbl>
    <w:p w14:paraId="627B7368">
      <w:pPr>
        <w:rPr>
          <w:rFonts w:hint="eastAsia" w:ascii="仿宋" w:hAnsi="仿宋" w:eastAsia="仿宋" w:cs="仿宋"/>
          <w:sz w:val="21"/>
          <w:szCs w:val="21"/>
        </w:rPr>
      </w:pPr>
    </w:p>
    <w:p w14:paraId="51E17980">
      <w:pPr>
        <w:pStyle w:val="2"/>
        <w:rPr>
          <w:rFonts w:hint="eastAsia" w:ascii="仿宋" w:hAnsi="仿宋" w:eastAsia="仿宋" w:cs="仿宋"/>
          <w:sz w:val="21"/>
          <w:szCs w:val="21"/>
        </w:rPr>
      </w:pPr>
    </w:p>
    <w:p w14:paraId="62FAA6FE">
      <w:pPr>
        <w:rPr>
          <w:rFonts w:hint="eastAsia"/>
        </w:rPr>
      </w:pPr>
    </w:p>
    <w:p w14:paraId="4F9FE39A">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注：</w:t>
      </w:r>
    </w:p>
    <w:p w14:paraId="07DA0608">
      <w:pPr>
        <w:pStyle w:val="26"/>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1、响应人须按要求填写所有信息，不得随意更改本表格式。</w:t>
      </w:r>
    </w:p>
    <w:p w14:paraId="71CE1B47">
      <w:pPr>
        <w:pStyle w:val="26"/>
        <w:numPr>
          <w:ilvl w:val="0"/>
          <w:numId w:val="0"/>
        </w:numPr>
        <w:spacing w:line="240" w:lineRule="auto"/>
        <w:ind w:firstLine="422" w:firstLineChars="200"/>
        <w:rPr>
          <w:rFonts w:hint="eastAsia" w:ascii="仿宋" w:hAnsi="仿宋" w:eastAsia="仿宋" w:cs="仿宋"/>
          <w:b/>
          <w:bCs/>
          <w:i w:val="0"/>
          <w:iCs w:val="0"/>
          <w:color w:val="FF0000"/>
          <w:sz w:val="21"/>
          <w:szCs w:val="21"/>
          <w:highlight w:val="yellow"/>
          <w:lang w:val="en-US" w:eastAsia="zh-CN"/>
        </w:rPr>
      </w:pPr>
      <w:r>
        <w:rPr>
          <w:rFonts w:hint="eastAsia" w:ascii="仿宋" w:hAnsi="仿宋" w:eastAsia="仿宋" w:cs="仿宋"/>
          <w:b/>
          <w:bCs/>
          <w:i w:val="0"/>
          <w:iCs w:val="0"/>
          <w:color w:val="FF0000"/>
          <w:sz w:val="21"/>
          <w:szCs w:val="21"/>
          <w:highlight w:val="yellow"/>
          <w:lang w:val="en-US" w:eastAsia="zh-CN"/>
        </w:rPr>
        <w:t>2、此表无需密封在响应文件中，可准备盖好公章的空白表格，在谈判评审当天提交。</w:t>
      </w:r>
    </w:p>
    <w:p w14:paraId="69E3B1EB">
      <w:pPr>
        <w:pStyle w:val="26"/>
        <w:rPr>
          <w:rFonts w:hint="eastAsia" w:ascii="仿宋" w:hAnsi="仿宋" w:eastAsia="仿宋" w:cs="仿宋"/>
          <w:color w:val="000000" w:themeColor="text1"/>
          <w:highlight w:val="none"/>
          <w14:textFill>
            <w14:solidFill>
              <w14:schemeClr w14:val="tx1"/>
            </w14:solidFill>
          </w14:textFill>
        </w:rPr>
      </w:pPr>
    </w:p>
    <w:p w14:paraId="7C793608">
      <w:pPr>
        <w:pStyle w:val="26"/>
        <w:rPr>
          <w:rFonts w:hint="eastAsia" w:ascii="仿宋" w:hAnsi="仿宋" w:eastAsia="仿宋" w:cs="仿宋"/>
          <w:color w:val="000000" w:themeColor="text1"/>
          <w:highlight w:val="none"/>
          <w14:textFill>
            <w14:solidFill>
              <w14:schemeClr w14:val="tx1"/>
            </w14:solidFill>
          </w14:textFill>
        </w:rPr>
      </w:pPr>
    </w:p>
    <w:p w14:paraId="07C03B41">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人名称（盖公章）：</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33B656E3">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人法定代表人或</w:t>
      </w:r>
      <w:r>
        <w:rPr>
          <w:rFonts w:hint="eastAsia" w:ascii="仿宋" w:hAnsi="仿宋" w:eastAsia="仿宋" w:cs="仿宋"/>
          <w:color w:val="000000" w:themeColor="text1"/>
          <w:sz w:val="24"/>
          <w:highlight w:val="none"/>
          <w:lang w:val="en-US" w:eastAsia="zh-CN"/>
          <w14:textFill>
            <w14:solidFill>
              <w14:schemeClr w14:val="tx1"/>
            </w14:solidFill>
          </w14:textFill>
        </w:rPr>
        <w:t>法定</w:t>
      </w:r>
      <w:r>
        <w:rPr>
          <w:rFonts w:hint="eastAsia" w:ascii="仿宋" w:hAnsi="仿宋" w:eastAsia="仿宋" w:cs="仿宋"/>
          <w:color w:val="000000" w:themeColor="text1"/>
          <w:sz w:val="24"/>
          <w:highlight w:val="none"/>
          <w14:textFill>
            <w14:solidFill>
              <w14:schemeClr w14:val="tx1"/>
            </w14:solidFill>
          </w14:textFill>
        </w:rPr>
        <w:t>授权代表（签字）：</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28C56F0E">
      <w:pPr>
        <w:pageBreakBefore w:val="0"/>
        <w:kinsoku/>
        <w:wordWrap/>
        <w:overflowPunct/>
        <w:topLinePunct w:val="0"/>
        <w:bidi w:val="0"/>
        <w:spacing w:line="360" w:lineRule="auto"/>
        <w:ind w:right="0" w:rightChars="0"/>
        <w:jc w:val="center"/>
        <w:rPr>
          <w:rFonts w:hint="eastAsia" w:ascii="仿宋" w:hAnsi="仿宋" w:eastAsia="仿宋" w:cs="仿宋"/>
          <w:b/>
          <w:bCs/>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14:paraId="5FA9BC63">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4DB2E3EB">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9"/>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2606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6BAEAB5D">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3822CDFA">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谈判文件</w:t>
            </w:r>
            <w:r>
              <w:rPr>
                <w:rFonts w:hint="eastAsia" w:ascii="仿宋" w:hAnsi="仿宋" w:eastAsia="仿宋" w:cs="仿宋"/>
                <w:bCs/>
                <w:szCs w:val="21"/>
                <w:highlight w:val="none"/>
              </w:rPr>
              <w:t>要求</w:t>
            </w:r>
          </w:p>
        </w:tc>
        <w:tc>
          <w:tcPr>
            <w:tcW w:w="1515" w:type="dxa"/>
            <w:vAlign w:val="center"/>
          </w:tcPr>
          <w:p w14:paraId="4507A1CF">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6B38CDFD">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24EE74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07F139CE">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5325764B">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7D7C6A8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（1）具有良好的商业信誉和健全的财务会计制度；</w:t>
            </w:r>
          </w:p>
          <w:p w14:paraId="29934AF3">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（2）有依法缴纳税收和社会保障资金的良好记录；</w:t>
            </w:r>
          </w:p>
          <w:p w14:paraId="07BF445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（3）具备履行合同所必需的设备和专业技术能力；</w:t>
            </w:r>
          </w:p>
          <w:p w14:paraId="4E930193">
            <w:pPr>
              <w:keepNext w:val="0"/>
              <w:keepLines w:val="0"/>
              <w:suppressLineNumbers w:val="0"/>
              <w:spacing w:before="0" w:beforeAutospacing="0" w:after="0" w:afterAutospacing="0"/>
              <w:ind w:left="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（4）参加本次采购活动前三年内，在经营活动中没有重大违法记录。（出具有效的声明函加盖公章，格式详见“1、资格声明函”）</w:t>
            </w:r>
          </w:p>
        </w:tc>
        <w:tc>
          <w:tcPr>
            <w:tcW w:w="1515" w:type="dxa"/>
            <w:vAlign w:val="center"/>
          </w:tcPr>
          <w:p w14:paraId="3687AE4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3A7A35A">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91D3F80">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9AD81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1587976">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31CB8F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7D0DB9F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AD7F734">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8E72205">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F4ADA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3E2FAE5">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B0531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184D348">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28713B7">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375B7367">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B1E05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B2F7A8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94EC7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本项目不接受联合体响应，成交供应商不得以任何方式转包或分包本项目。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0B5ED9F8">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76B1321">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38BAD85">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21F6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744" w:hRule="atLeast"/>
          <w:jc w:val="center"/>
        </w:trPr>
        <w:tc>
          <w:tcPr>
            <w:tcW w:w="589" w:type="dxa"/>
            <w:vMerge w:val="continue"/>
            <w:vAlign w:val="center"/>
          </w:tcPr>
          <w:p w14:paraId="34B47CE9">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3EF089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谈判会议现场查询结果为准）</w:t>
            </w:r>
          </w:p>
        </w:tc>
        <w:tc>
          <w:tcPr>
            <w:tcW w:w="1515" w:type="dxa"/>
            <w:vAlign w:val="center"/>
          </w:tcPr>
          <w:p w14:paraId="7C8DAD9D">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3EACC5A">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0FCE14D5">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0ADB38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22" w:hRule="atLeast"/>
          <w:jc w:val="center"/>
        </w:trPr>
        <w:tc>
          <w:tcPr>
            <w:tcW w:w="589" w:type="dxa"/>
            <w:vMerge w:val="continue"/>
            <w:vAlign w:val="center"/>
          </w:tcPr>
          <w:p w14:paraId="2679BADC">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3CFA8C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color w:val="auto"/>
                <w:kern w:val="28"/>
                <w:sz w:val="20"/>
                <w:szCs w:val="20"/>
                <w:highlight w:val="none"/>
                <w:lang w:val="en-US" w:eastAsia="zh-CN"/>
              </w:rPr>
            </w:pPr>
            <w:r>
              <w:rPr>
                <w:rFonts w:hint="eastAsia" w:ascii="仿宋" w:hAnsi="仿宋" w:eastAsia="仿宋" w:cs="仿宋"/>
                <w:sz w:val="21"/>
                <w:szCs w:val="21"/>
                <w:highlight w:val="none"/>
                <w:lang w:val="en-US" w:eastAsia="zh-CN"/>
              </w:rPr>
              <w:t>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630B51B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08A134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3A16B3E">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5C06D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72" w:hRule="atLeast"/>
          <w:jc w:val="center"/>
        </w:trPr>
        <w:tc>
          <w:tcPr>
            <w:tcW w:w="589" w:type="dxa"/>
            <w:vMerge w:val="continue"/>
            <w:vAlign w:val="center"/>
          </w:tcPr>
          <w:p w14:paraId="780BF512">
            <w:pPr>
              <w:keepNext w:val="0"/>
              <w:keepLines w:val="0"/>
              <w:numPr>
                <w:ilvl w:val="0"/>
                <w:numId w:val="0"/>
              </w:numPr>
              <w:suppressLineNumbers w:val="0"/>
              <w:tabs>
                <w:tab w:val="left" w:pos="0"/>
              </w:tabs>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D2878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color w:val="auto"/>
                <w:kern w:val="28"/>
                <w:sz w:val="20"/>
                <w:szCs w:val="20"/>
                <w:highlight w:val="none"/>
                <w:lang w:eastAsia="zh-CN"/>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14:paraId="06938191">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2DED17BF">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5A83BB20">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14E05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94" w:hRule="atLeast"/>
          <w:jc w:val="center"/>
        </w:trPr>
        <w:tc>
          <w:tcPr>
            <w:tcW w:w="589" w:type="dxa"/>
            <w:vMerge w:val="continue"/>
            <w:vAlign w:val="center"/>
          </w:tcPr>
          <w:p w14:paraId="26A108DC">
            <w:pPr>
              <w:keepNext w:val="0"/>
              <w:keepLines w:val="0"/>
              <w:numPr>
                <w:ilvl w:val="0"/>
                <w:numId w:val="0"/>
              </w:numPr>
              <w:suppressLineNumbers w:val="0"/>
              <w:tabs>
                <w:tab w:val="left" w:pos="0"/>
              </w:tabs>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418102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供应商须具备有效的《成品油批发经营批准证书》或《成品油零售经营批准证书》、《危险化学品经营许可证》。</w:t>
            </w:r>
          </w:p>
        </w:tc>
        <w:tc>
          <w:tcPr>
            <w:tcW w:w="1515" w:type="dxa"/>
            <w:vAlign w:val="center"/>
          </w:tcPr>
          <w:p w14:paraId="118AA29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6E0FA8B">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AA3D0DF">
            <w:pPr>
              <w:keepNext w:val="0"/>
              <w:keepLines w:val="0"/>
              <w:suppressLineNumbers w:val="0"/>
              <w:spacing w:before="0" w:beforeAutospacing="0" w:after="0" w:afterAutospacing="0"/>
              <w:ind w:left="0" w:leftChars="0"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64F7C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34" w:hRule="atLeast"/>
          <w:jc w:val="center"/>
        </w:trPr>
        <w:tc>
          <w:tcPr>
            <w:tcW w:w="589" w:type="dxa"/>
            <w:vMerge w:val="continue"/>
            <w:vAlign w:val="center"/>
          </w:tcPr>
          <w:p w14:paraId="659FEFAD">
            <w:pPr>
              <w:keepNext w:val="0"/>
              <w:keepLines w:val="0"/>
              <w:numPr>
                <w:ilvl w:val="0"/>
                <w:numId w:val="0"/>
              </w:numPr>
              <w:suppressLineNumbers w:val="0"/>
              <w:tabs>
                <w:tab w:val="left" w:pos="0"/>
              </w:tabs>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3040BE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供应商在参加本次采购活动前3年内没有发生严重违约行为以及发生重大质量安全事故。（出具有效的声明函加盖公章，格式详见“1、资格声明函”）</w:t>
            </w:r>
          </w:p>
        </w:tc>
        <w:tc>
          <w:tcPr>
            <w:tcW w:w="1515" w:type="dxa"/>
            <w:vAlign w:val="center"/>
          </w:tcPr>
          <w:p w14:paraId="6D9D534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5F47352">
            <w:pPr>
              <w:keepNext w:val="0"/>
              <w:keepLines w:val="0"/>
              <w:suppressLineNumbers w:val="0"/>
              <w:spacing w:before="0" w:beforeAutospacing="0" w:after="0" w:afterAutospacing="0"/>
              <w:ind w:left="36" w:leftChars="17"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11BD79C8">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72E2A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34" w:hRule="atLeast"/>
          <w:jc w:val="center"/>
        </w:trPr>
        <w:tc>
          <w:tcPr>
            <w:tcW w:w="589" w:type="dxa"/>
            <w:vMerge w:val="continue"/>
            <w:vAlign w:val="center"/>
          </w:tcPr>
          <w:p w14:paraId="5F50E00D">
            <w:pPr>
              <w:keepNext w:val="0"/>
              <w:keepLines w:val="0"/>
              <w:numPr>
                <w:ilvl w:val="0"/>
                <w:numId w:val="0"/>
              </w:numPr>
              <w:suppressLineNumbers w:val="0"/>
              <w:tabs>
                <w:tab w:val="left" w:pos="0"/>
              </w:tabs>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77DDDD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2507508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3B48B4A">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3ADB4D8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w:t>
            </w:r>
          </w:p>
        </w:tc>
      </w:tr>
    </w:tbl>
    <w:p w14:paraId="433BC569">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0FFC087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795116">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716AE32A">
      <w:pPr>
        <w:pStyle w:val="26"/>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谈判文件时另外单独提供一份盖章签字版的承诺书。若未单独提供，可能影响对响应文件的评价，但不作为一票否决的条款。</w:t>
      </w:r>
    </w:p>
    <w:p w14:paraId="64180A2B">
      <w:pPr>
        <w:pStyle w:val="26"/>
        <w:rPr>
          <w:rFonts w:hint="eastAsia" w:ascii="仿宋" w:hAnsi="仿宋" w:eastAsia="仿宋" w:cs="仿宋"/>
          <w:color w:val="000000"/>
          <w:szCs w:val="21"/>
          <w:highlight w:val="none"/>
          <w:lang w:eastAsia="zh-CN"/>
        </w:rPr>
      </w:pPr>
      <w:r>
        <w:rPr>
          <w:rFonts w:hint="eastAsia" w:ascii="仿宋" w:hAnsi="仿宋" w:eastAsia="仿宋" w:cs="仿宋"/>
          <w:color w:val="auto"/>
          <w:kern w:val="0"/>
          <w:sz w:val="21"/>
          <w:szCs w:val="22"/>
          <w:highlight w:val="none"/>
          <w:lang w:val="en-US" w:eastAsia="zh-CN"/>
        </w:rPr>
        <w:t>4、本自查表不得擅自删改。</w:t>
      </w:r>
    </w:p>
    <w:p w14:paraId="2BE2DB41">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14:paraId="5B973818">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ADA9550">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7146223">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A832510">
      <w:pPr>
        <w:pStyle w:val="26"/>
        <w:rPr>
          <w:rFonts w:ascii="仿宋_GB2312" w:hAnsi="华文仿宋" w:eastAsia="仿宋_GB2312" w:cs="华文仿宋"/>
          <w:bCs/>
          <w:color w:val="000000"/>
          <w:szCs w:val="21"/>
          <w:highlight w:val="none"/>
        </w:rPr>
      </w:pPr>
    </w:p>
    <w:p w14:paraId="184D9CBE">
      <w:pPr>
        <w:pStyle w:val="26"/>
        <w:rPr>
          <w:rFonts w:hint="eastAsia" w:ascii="宋体" w:hAnsi="宋体" w:cs="宋体"/>
          <w:color w:val="000000"/>
          <w:szCs w:val="21"/>
          <w:highlight w:val="none"/>
          <w:lang w:eastAsia="zh-CN"/>
        </w:rPr>
      </w:pPr>
    </w:p>
    <w:p w14:paraId="2864DD9C">
      <w:pPr>
        <w:pStyle w:val="26"/>
        <w:rPr>
          <w:rFonts w:ascii="仿宋_GB2312" w:hAnsi="华文仿宋" w:eastAsia="仿宋_GB2312" w:cs="华文仿宋"/>
          <w:bCs/>
          <w:color w:val="000000"/>
          <w:szCs w:val="21"/>
          <w:highlight w:val="none"/>
        </w:rPr>
      </w:pPr>
    </w:p>
    <w:p w14:paraId="596346E3">
      <w:pPr>
        <w:pStyle w:val="26"/>
        <w:rPr>
          <w:rFonts w:hint="eastAsia" w:ascii="宋体" w:hAnsi="宋体" w:cs="宋体"/>
          <w:color w:val="000000"/>
          <w:szCs w:val="21"/>
          <w:highlight w:val="none"/>
          <w:lang w:eastAsia="zh-CN"/>
        </w:rPr>
      </w:pPr>
    </w:p>
    <w:p w14:paraId="69DDADDC">
      <w:pPr>
        <w:pStyle w:val="26"/>
        <w:rPr>
          <w:rFonts w:hint="eastAsia" w:ascii="宋体" w:hAnsi="宋体" w:cs="宋体"/>
          <w:color w:val="000000"/>
          <w:szCs w:val="21"/>
          <w:highlight w:val="none"/>
          <w:lang w:eastAsia="zh-CN"/>
        </w:rPr>
      </w:pPr>
    </w:p>
    <w:p w14:paraId="2C1D3319">
      <w:pPr>
        <w:pStyle w:val="26"/>
        <w:rPr>
          <w:rFonts w:hint="eastAsia" w:ascii="宋体" w:hAnsi="宋体" w:cs="宋体"/>
          <w:color w:val="000000"/>
          <w:szCs w:val="21"/>
          <w:highlight w:val="none"/>
          <w:lang w:eastAsia="zh-CN"/>
        </w:rPr>
      </w:pPr>
    </w:p>
    <w:p w14:paraId="7827AABB">
      <w:pPr>
        <w:pStyle w:val="26"/>
        <w:rPr>
          <w:rFonts w:hint="eastAsia" w:ascii="宋体" w:hAnsi="宋体" w:cs="宋体"/>
          <w:color w:val="000000"/>
          <w:szCs w:val="21"/>
          <w:highlight w:val="none"/>
          <w:lang w:eastAsia="zh-CN"/>
        </w:rPr>
      </w:pPr>
    </w:p>
    <w:p w14:paraId="255D3309">
      <w:pPr>
        <w:pStyle w:val="26"/>
        <w:rPr>
          <w:rFonts w:hint="eastAsia" w:ascii="宋体" w:hAnsi="宋体" w:cs="宋体"/>
          <w:color w:val="000000"/>
          <w:szCs w:val="21"/>
          <w:highlight w:val="none"/>
          <w:lang w:eastAsia="zh-CN"/>
        </w:rPr>
      </w:pPr>
    </w:p>
    <w:p w14:paraId="46A5455A">
      <w:pPr>
        <w:pStyle w:val="26"/>
        <w:rPr>
          <w:rFonts w:hint="eastAsia" w:ascii="宋体" w:hAnsi="宋体" w:cs="宋体"/>
          <w:color w:val="000000"/>
          <w:szCs w:val="21"/>
          <w:highlight w:val="none"/>
          <w:lang w:eastAsia="zh-CN"/>
        </w:rPr>
      </w:pPr>
    </w:p>
    <w:p w14:paraId="2F1A0C02">
      <w:pPr>
        <w:pStyle w:val="26"/>
        <w:rPr>
          <w:rFonts w:hint="eastAsia" w:ascii="宋体" w:hAnsi="宋体" w:cs="宋体"/>
          <w:color w:val="000000"/>
          <w:szCs w:val="21"/>
          <w:highlight w:val="none"/>
          <w:lang w:eastAsia="zh-CN"/>
        </w:rPr>
      </w:pPr>
    </w:p>
    <w:p w14:paraId="1367180E">
      <w:pPr>
        <w:pStyle w:val="26"/>
        <w:rPr>
          <w:rFonts w:hint="eastAsia" w:ascii="宋体" w:hAnsi="宋体" w:cs="宋体"/>
          <w:color w:val="000000"/>
          <w:szCs w:val="21"/>
          <w:highlight w:val="none"/>
          <w:lang w:eastAsia="zh-CN"/>
        </w:rPr>
      </w:pPr>
    </w:p>
    <w:p w14:paraId="7BB66914">
      <w:pPr>
        <w:pStyle w:val="26"/>
        <w:rPr>
          <w:rFonts w:ascii="仿宋_GB2312" w:hAnsi="华文仿宋" w:eastAsia="仿宋_GB2312" w:cs="华文仿宋"/>
          <w:bCs/>
          <w:color w:val="000000"/>
          <w:szCs w:val="21"/>
          <w:highlight w:val="none"/>
        </w:rPr>
      </w:pPr>
    </w:p>
    <w:p w14:paraId="4696A160">
      <w:pPr>
        <w:pStyle w:val="26"/>
        <w:rPr>
          <w:rFonts w:hint="eastAsia" w:ascii="宋体" w:hAnsi="宋体" w:cs="宋体"/>
          <w:color w:val="000000"/>
          <w:szCs w:val="21"/>
          <w:highlight w:val="none"/>
          <w:lang w:eastAsia="zh-CN"/>
        </w:rPr>
      </w:pPr>
    </w:p>
    <w:p w14:paraId="20D99EBD">
      <w:pPr>
        <w:pStyle w:val="26"/>
        <w:rPr>
          <w:rFonts w:hint="eastAsia" w:ascii="宋体" w:hAnsi="宋体" w:cs="宋体"/>
          <w:color w:val="000000"/>
          <w:szCs w:val="21"/>
          <w:highlight w:val="none"/>
          <w:lang w:eastAsia="zh-CN"/>
        </w:rPr>
      </w:pPr>
    </w:p>
    <w:p w14:paraId="68DD4C11">
      <w:pPr>
        <w:pStyle w:val="26"/>
        <w:rPr>
          <w:rFonts w:hint="eastAsia" w:ascii="宋体" w:hAnsi="宋体" w:cs="宋体"/>
          <w:color w:val="000000"/>
          <w:szCs w:val="21"/>
          <w:highlight w:val="none"/>
          <w:lang w:eastAsia="zh-CN"/>
        </w:rPr>
      </w:pPr>
    </w:p>
    <w:p w14:paraId="0CC9DCDD">
      <w:pPr>
        <w:pStyle w:val="26"/>
        <w:rPr>
          <w:rFonts w:hint="eastAsia" w:ascii="宋体" w:hAnsi="宋体" w:cs="宋体"/>
          <w:color w:val="000000"/>
          <w:szCs w:val="21"/>
          <w:highlight w:val="none"/>
          <w:lang w:eastAsia="zh-CN"/>
        </w:rPr>
      </w:pPr>
    </w:p>
    <w:p w14:paraId="340DD184">
      <w:pPr>
        <w:pStyle w:val="26"/>
        <w:rPr>
          <w:rFonts w:hint="eastAsia" w:ascii="宋体" w:hAnsi="宋体" w:cs="宋体"/>
          <w:color w:val="000000"/>
          <w:szCs w:val="21"/>
          <w:highlight w:val="none"/>
          <w:lang w:eastAsia="zh-CN"/>
        </w:rPr>
      </w:pPr>
    </w:p>
    <w:p w14:paraId="00501770">
      <w:pPr>
        <w:pStyle w:val="26"/>
        <w:rPr>
          <w:rFonts w:hint="eastAsia" w:ascii="宋体" w:hAnsi="宋体" w:cs="宋体"/>
          <w:color w:val="000000"/>
          <w:szCs w:val="21"/>
          <w:highlight w:val="none"/>
          <w:lang w:eastAsia="zh-CN"/>
        </w:rPr>
      </w:pPr>
    </w:p>
    <w:p w14:paraId="6261067A">
      <w:pPr>
        <w:pStyle w:val="26"/>
        <w:rPr>
          <w:rFonts w:hint="eastAsia" w:ascii="宋体" w:hAnsi="宋体" w:cs="宋体"/>
          <w:color w:val="000000"/>
          <w:szCs w:val="21"/>
          <w:highlight w:val="none"/>
          <w:lang w:eastAsia="zh-CN"/>
        </w:rPr>
      </w:pPr>
    </w:p>
    <w:p w14:paraId="53EC56F2">
      <w:pPr>
        <w:pStyle w:val="26"/>
        <w:rPr>
          <w:rFonts w:hint="eastAsia" w:ascii="宋体" w:hAnsi="宋体" w:cs="宋体"/>
          <w:color w:val="000000"/>
          <w:szCs w:val="21"/>
          <w:highlight w:val="none"/>
          <w:lang w:eastAsia="zh-CN"/>
        </w:rPr>
      </w:pPr>
    </w:p>
    <w:p w14:paraId="35EC8B5F">
      <w:pPr>
        <w:pStyle w:val="26"/>
        <w:rPr>
          <w:rFonts w:hint="eastAsia" w:ascii="宋体" w:hAnsi="宋体" w:cs="宋体"/>
          <w:color w:val="000000"/>
          <w:szCs w:val="21"/>
          <w:highlight w:val="none"/>
          <w:lang w:eastAsia="zh-CN"/>
        </w:rPr>
      </w:pPr>
    </w:p>
    <w:p w14:paraId="66D8E6BE">
      <w:pPr>
        <w:pStyle w:val="26"/>
        <w:rPr>
          <w:rFonts w:hint="eastAsia" w:ascii="宋体" w:hAnsi="宋体" w:cs="宋体"/>
          <w:color w:val="000000"/>
          <w:szCs w:val="21"/>
          <w:highlight w:val="none"/>
          <w:lang w:eastAsia="zh-CN"/>
        </w:rPr>
      </w:pPr>
    </w:p>
    <w:p w14:paraId="2BAD3C2C">
      <w:pPr>
        <w:pStyle w:val="26"/>
        <w:rPr>
          <w:rFonts w:hint="eastAsia" w:ascii="宋体" w:hAnsi="宋体" w:cs="宋体"/>
          <w:color w:val="000000"/>
          <w:szCs w:val="21"/>
          <w:highlight w:val="none"/>
          <w:lang w:eastAsia="zh-CN"/>
        </w:rPr>
      </w:pPr>
    </w:p>
    <w:p w14:paraId="7053586F">
      <w:pPr>
        <w:pStyle w:val="26"/>
        <w:rPr>
          <w:rFonts w:hint="eastAsia" w:ascii="宋体" w:hAnsi="宋体" w:cs="宋体"/>
          <w:color w:val="000000"/>
          <w:szCs w:val="21"/>
          <w:highlight w:val="none"/>
          <w:lang w:eastAsia="zh-CN"/>
        </w:rPr>
      </w:pPr>
    </w:p>
    <w:p w14:paraId="740DD86B">
      <w:pPr>
        <w:pStyle w:val="26"/>
        <w:rPr>
          <w:rFonts w:hint="eastAsia" w:ascii="宋体" w:hAnsi="宋体" w:cs="宋体"/>
          <w:color w:val="000000"/>
          <w:szCs w:val="21"/>
          <w:highlight w:val="none"/>
          <w:lang w:eastAsia="zh-CN"/>
        </w:rPr>
      </w:pPr>
    </w:p>
    <w:p w14:paraId="659A086F">
      <w:pPr>
        <w:pStyle w:val="26"/>
        <w:rPr>
          <w:rFonts w:hint="eastAsia" w:ascii="宋体" w:hAnsi="宋体" w:cs="宋体"/>
          <w:color w:val="000000"/>
          <w:szCs w:val="21"/>
          <w:highlight w:val="none"/>
          <w:lang w:eastAsia="zh-CN"/>
        </w:rPr>
      </w:pPr>
    </w:p>
    <w:p w14:paraId="18AA3A6C">
      <w:pPr>
        <w:pStyle w:val="26"/>
        <w:rPr>
          <w:rFonts w:hint="eastAsia" w:ascii="宋体" w:hAnsi="宋体" w:cs="宋体"/>
          <w:color w:val="000000"/>
          <w:szCs w:val="21"/>
          <w:highlight w:val="none"/>
          <w:lang w:eastAsia="zh-CN"/>
        </w:rPr>
      </w:pPr>
    </w:p>
    <w:p w14:paraId="64BCD787">
      <w:pPr>
        <w:pStyle w:val="26"/>
        <w:rPr>
          <w:rFonts w:hint="eastAsia" w:ascii="宋体" w:hAnsi="宋体" w:cs="宋体"/>
          <w:color w:val="000000"/>
          <w:szCs w:val="21"/>
          <w:highlight w:val="none"/>
          <w:lang w:eastAsia="zh-CN"/>
        </w:rPr>
      </w:pPr>
    </w:p>
    <w:p w14:paraId="576EBDBC">
      <w:pPr>
        <w:pStyle w:val="26"/>
        <w:rPr>
          <w:rFonts w:hint="eastAsia" w:ascii="宋体" w:hAnsi="宋体" w:cs="宋体"/>
          <w:color w:val="000000"/>
          <w:szCs w:val="21"/>
          <w:highlight w:val="none"/>
          <w:lang w:eastAsia="zh-CN"/>
        </w:rPr>
      </w:pPr>
    </w:p>
    <w:p w14:paraId="02805C15">
      <w:pPr>
        <w:pStyle w:val="26"/>
        <w:rPr>
          <w:rFonts w:hint="eastAsia" w:ascii="宋体" w:hAnsi="宋体" w:cs="宋体"/>
          <w:color w:val="000000"/>
          <w:szCs w:val="21"/>
          <w:highlight w:val="none"/>
          <w:lang w:eastAsia="zh-CN"/>
        </w:rPr>
      </w:pPr>
    </w:p>
    <w:p w14:paraId="6C3FDEC3">
      <w:pPr>
        <w:pStyle w:val="26"/>
        <w:rPr>
          <w:rFonts w:hint="eastAsia" w:ascii="宋体" w:hAnsi="宋体" w:cs="宋体"/>
          <w:color w:val="000000"/>
          <w:szCs w:val="21"/>
          <w:highlight w:val="none"/>
          <w:lang w:eastAsia="zh-CN"/>
        </w:rPr>
      </w:pPr>
    </w:p>
    <w:p w14:paraId="68317DF7">
      <w:pPr>
        <w:pStyle w:val="26"/>
        <w:rPr>
          <w:rFonts w:hint="eastAsia" w:ascii="宋体" w:hAnsi="宋体" w:cs="宋体"/>
          <w:color w:val="000000"/>
          <w:szCs w:val="21"/>
          <w:highlight w:val="none"/>
          <w:lang w:eastAsia="zh-CN"/>
        </w:rPr>
      </w:pPr>
    </w:p>
    <w:p w14:paraId="0FE0B863">
      <w:pPr>
        <w:pStyle w:val="26"/>
        <w:rPr>
          <w:rFonts w:hint="eastAsia" w:ascii="宋体" w:hAnsi="宋体" w:cs="宋体"/>
          <w:color w:val="000000"/>
          <w:szCs w:val="21"/>
          <w:highlight w:val="none"/>
          <w:lang w:eastAsia="zh-CN"/>
        </w:rPr>
      </w:pPr>
    </w:p>
    <w:p w14:paraId="2E70764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2A5C737C">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14D999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5E8A99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10897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lang w:eastAsia="zh-CN"/>
        </w:rPr>
        <w:t>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DC5BD20">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本项目谈判文件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2AC44F4B">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6E16CBD0">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58D7BFF6">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3371985F">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7BBD8683">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EFC2D67">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2823EA2B">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D4A4306">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)本公司（企业）承诺参加本次采购活动前3年内没有发生严重违约行为以及发生重大质量安全事故。</w:t>
      </w:r>
    </w:p>
    <w:p w14:paraId="548F744A">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4065870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34432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7219BE02">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B8B33AA">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27AAC9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5111EA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14:paraId="2BB0F75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val="en-US" w:eastAsia="zh-CN"/>
        </w:rPr>
      </w:pPr>
    </w:p>
    <w:p w14:paraId="4FEB70B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76F1CBC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2C258742">
      <w:pPr>
        <w:pStyle w:val="26"/>
        <w:rPr>
          <w:rFonts w:hint="eastAsia" w:ascii="宋体" w:hAnsi="宋体" w:cs="宋体"/>
          <w:color w:val="auto"/>
          <w:szCs w:val="21"/>
          <w:highlight w:val="none"/>
          <w:lang w:eastAsia="zh-CN"/>
        </w:rPr>
      </w:pPr>
    </w:p>
    <w:p w14:paraId="7735C370">
      <w:pPr>
        <w:pStyle w:val="26"/>
        <w:rPr>
          <w:rFonts w:hint="eastAsia" w:ascii="宋体" w:hAnsi="宋体" w:cs="宋体"/>
          <w:color w:val="auto"/>
          <w:szCs w:val="21"/>
          <w:highlight w:val="none"/>
          <w:lang w:eastAsia="zh-CN"/>
        </w:rPr>
      </w:pPr>
    </w:p>
    <w:p w14:paraId="5393909D">
      <w:pPr>
        <w:pStyle w:val="26"/>
        <w:rPr>
          <w:rFonts w:hint="eastAsia" w:ascii="宋体" w:hAnsi="宋体" w:cs="宋体"/>
          <w:color w:val="auto"/>
          <w:szCs w:val="21"/>
          <w:highlight w:val="none"/>
          <w:lang w:eastAsia="zh-CN"/>
        </w:rPr>
      </w:pPr>
    </w:p>
    <w:p w14:paraId="61D8AE5B">
      <w:pPr>
        <w:pStyle w:val="26"/>
        <w:rPr>
          <w:rFonts w:hint="eastAsia" w:ascii="宋体" w:hAnsi="宋体" w:cs="宋体"/>
          <w:color w:val="auto"/>
          <w:szCs w:val="21"/>
          <w:highlight w:val="none"/>
          <w:lang w:eastAsia="zh-CN"/>
        </w:rPr>
      </w:pPr>
    </w:p>
    <w:p w14:paraId="6BFB9AEC">
      <w:pPr>
        <w:pStyle w:val="26"/>
        <w:rPr>
          <w:rFonts w:hint="eastAsia" w:ascii="宋体" w:hAnsi="宋体" w:cs="宋体"/>
          <w:color w:val="auto"/>
          <w:szCs w:val="21"/>
          <w:highlight w:val="none"/>
          <w:lang w:eastAsia="zh-CN"/>
        </w:rPr>
      </w:pPr>
    </w:p>
    <w:p w14:paraId="364122E6">
      <w:pPr>
        <w:pStyle w:val="26"/>
        <w:rPr>
          <w:rFonts w:hint="eastAsia" w:ascii="宋体" w:hAnsi="宋体" w:cs="宋体"/>
          <w:color w:val="auto"/>
          <w:szCs w:val="21"/>
          <w:highlight w:val="none"/>
          <w:lang w:eastAsia="zh-CN"/>
        </w:rPr>
      </w:pPr>
    </w:p>
    <w:p w14:paraId="76040AD8">
      <w:pPr>
        <w:pStyle w:val="26"/>
        <w:rPr>
          <w:rFonts w:hint="eastAsia" w:ascii="宋体" w:hAnsi="宋体" w:cs="宋体"/>
          <w:color w:val="auto"/>
          <w:szCs w:val="21"/>
          <w:highlight w:val="none"/>
          <w:lang w:eastAsia="zh-CN"/>
        </w:rPr>
      </w:pPr>
    </w:p>
    <w:p w14:paraId="7AE15D50">
      <w:pPr>
        <w:pStyle w:val="26"/>
        <w:rPr>
          <w:rFonts w:hint="eastAsia" w:ascii="宋体" w:hAnsi="宋体" w:cs="宋体"/>
          <w:color w:val="auto"/>
          <w:szCs w:val="21"/>
          <w:highlight w:val="none"/>
          <w:lang w:eastAsia="zh-CN"/>
        </w:rPr>
      </w:pPr>
    </w:p>
    <w:p w14:paraId="1CA1D3CB">
      <w:pPr>
        <w:pStyle w:val="26"/>
        <w:rPr>
          <w:rFonts w:hint="eastAsia" w:ascii="宋体" w:hAnsi="宋体" w:cs="宋体"/>
          <w:color w:val="auto"/>
          <w:szCs w:val="21"/>
          <w:highlight w:val="none"/>
          <w:lang w:eastAsia="zh-CN"/>
        </w:rPr>
      </w:pPr>
    </w:p>
    <w:p w14:paraId="7E5146C2">
      <w:pPr>
        <w:pStyle w:val="26"/>
        <w:rPr>
          <w:rFonts w:hint="eastAsia" w:ascii="宋体" w:hAnsi="宋体" w:cs="宋体"/>
          <w:color w:val="auto"/>
          <w:szCs w:val="21"/>
          <w:highlight w:val="none"/>
          <w:lang w:eastAsia="zh-CN"/>
        </w:rPr>
      </w:pPr>
    </w:p>
    <w:p w14:paraId="67151AE8">
      <w:pPr>
        <w:pStyle w:val="26"/>
        <w:rPr>
          <w:rFonts w:hint="eastAsia" w:ascii="宋体" w:hAnsi="宋体" w:cs="宋体"/>
          <w:color w:val="auto"/>
          <w:szCs w:val="21"/>
          <w:highlight w:val="none"/>
          <w:lang w:eastAsia="zh-CN"/>
        </w:rPr>
      </w:pPr>
    </w:p>
    <w:p w14:paraId="28853D55">
      <w:pPr>
        <w:pStyle w:val="26"/>
        <w:rPr>
          <w:rFonts w:hint="eastAsia" w:ascii="宋体" w:hAnsi="宋体" w:cs="宋体"/>
          <w:color w:val="auto"/>
          <w:szCs w:val="21"/>
          <w:highlight w:val="none"/>
          <w:lang w:eastAsia="zh-CN"/>
        </w:rPr>
      </w:pPr>
    </w:p>
    <w:p w14:paraId="541AEB24">
      <w:pPr>
        <w:pStyle w:val="26"/>
        <w:rPr>
          <w:rFonts w:hint="eastAsia" w:ascii="宋体" w:hAnsi="宋体" w:cs="宋体"/>
          <w:color w:val="auto"/>
          <w:szCs w:val="21"/>
          <w:highlight w:val="none"/>
          <w:lang w:eastAsia="zh-CN"/>
        </w:rPr>
      </w:pPr>
    </w:p>
    <w:p w14:paraId="698AF0A7">
      <w:pPr>
        <w:pStyle w:val="26"/>
        <w:rPr>
          <w:rFonts w:hint="eastAsia" w:ascii="宋体" w:hAnsi="宋体" w:cs="宋体"/>
          <w:color w:val="auto"/>
          <w:szCs w:val="21"/>
          <w:highlight w:val="none"/>
          <w:lang w:eastAsia="zh-CN"/>
        </w:rPr>
      </w:pPr>
    </w:p>
    <w:p w14:paraId="0B7BBC38">
      <w:pPr>
        <w:pStyle w:val="26"/>
        <w:rPr>
          <w:rFonts w:hint="eastAsia" w:ascii="宋体" w:hAnsi="宋体" w:cs="宋体"/>
          <w:color w:val="auto"/>
          <w:szCs w:val="21"/>
          <w:highlight w:val="none"/>
          <w:lang w:eastAsia="zh-CN"/>
        </w:rPr>
      </w:pPr>
    </w:p>
    <w:p w14:paraId="63C9EA2D">
      <w:pPr>
        <w:pStyle w:val="26"/>
        <w:rPr>
          <w:rFonts w:hint="eastAsia" w:ascii="宋体" w:hAnsi="宋体" w:cs="宋体"/>
          <w:color w:val="auto"/>
          <w:szCs w:val="21"/>
          <w:highlight w:val="none"/>
          <w:lang w:eastAsia="zh-CN"/>
        </w:rPr>
      </w:pPr>
    </w:p>
    <w:p w14:paraId="77241BEC">
      <w:pPr>
        <w:pStyle w:val="26"/>
        <w:rPr>
          <w:rFonts w:hint="eastAsia" w:ascii="宋体" w:hAnsi="宋体" w:cs="宋体"/>
          <w:color w:val="auto"/>
          <w:szCs w:val="21"/>
          <w:highlight w:val="none"/>
          <w:lang w:eastAsia="zh-CN"/>
        </w:rPr>
      </w:pPr>
    </w:p>
    <w:p w14:paraId="7C1D12D0">
      <w:pPr>
        <w:pStyle w:val="26"/>
        <w:rPr>
          <w:rFonts w:hint="eastAsia" w:ascii="宋体" w:hAnsi="宋体" w:cs="宋体"/>
          <w:color w:val="auto"/>
          <w:szCs w:val="21"/>
          <w:highlight w:val="none"/>
          <w:lang w:eastAsia="zh-CN"/>
        </w:rPr>
      </w:pPr>
    </w:p>
    <w:p w14:paraId="02AD0270">
      <w:pPr>
        <w:pStyle w:val="26"/>
        <w:rPr>
          <w:rFonts w:hint="eastAsia" w:ascii="宋体" w:hAnsi="宋体" w:cs="宋体"/>
          <w:color w:val="auto"/>
          <w:szCs w:val="21"/>
          <w:highlight w:val="none"/>
          <w:lang w:eastAsia="zh-CN"/>
        </w:rPr>
      </w:pPr>
    </w:p>
    <w:p w14:paraId="641CE190">
      <w:pPr>
        <w:pStyle w:val="26"/>
        <w:rPr>
          <w:rFonts w:hint="eastAsia" w:ascii="宋体" w:hAnsi="宋体" w:cs="宋体"/>
          <w:color w:val="auto"/>
          <w:szCs w:val="21"/>
          <w:highlight w:val="none"/>
          <w:lang w:eastAsia="zh-CN"/>
        </w:rPr>
      </w:pPr>
    </w:p>
    <w:p w14:paraId="793EE279">
      <w:pPr>
        <w:pStyle w:val="26"/>
        <w:rPr>
          <w:rFonts w:hint="eastAsia" w:ascii="宋体" w:hAnsi="宋体" w:cs="宋体"/>
          <w:color w:val="auto"/>
          <w:szCs w:val="21"/>
          <w:highlight w:val="none"/>
          <w:lang w:eastAsia="zh-CN"/>
        </w:rPr>
      </w:pPr>
    </w:p>
    <w:p w14:paraId="2CB0205F">
      <w:pPr>
        <w:pStyle w:val="26"/>
        <w:rPr>
          <w:rFonts w:hint="eastAsia" w:ascii="宋体" w:hAnsi="宋体" w:cs="宋体"/>
          <w:color w:val="auto"/>
          <w:szCs w:val="21"/>
          <w:highlight w:val="none"/>
          <w:lang w:eastAsia="zh-CN"/>
        </w:rPr>
      </w:pPr>
    </w:p>
    <w:p w14:paraId="37075E0B">
      <w:pPr>
        <w:pStyle w:val="26"/>
        <w:rPr>
          <w:rFonts w:hint="eastAsia" w:ascii="宋体" w:hAnsi="宋体" w:cs="宋体"/>
          <w:color w:val="auto"/>
          <w:szCs w:val="21"/>
          <w:highlight w:val="none"/>
          <w:lang w:eastAsia="zh-CN"/>
        </w:rPr>
      </w:pPr>
    </w:p>
    <w:p w14:paraId="0F2522EE">
      <w:pPr>
        <w:pStyle w:val="26"/>
        <w:rPr>
          <w:rFonts w:hint="eastAsia" w:ascii="宋体" w:hAnsi="宋体" w:cs="宋体"/>
          <w:color w:val="auto"/>
          <w:szCs w:val="21"/>
          <w:highlight w:val="none"/>
          <w:lang w:eastAsia="zh-CN"/>
        </w:rPr>
      </w:pPr>
    </w:p>
    <w:p w14:paraId="144AA88B">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52A48CE7">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0A30102D">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14:paraId="1DDF88E4">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32"/>
          <w:szCs w:val="32"/>
          <w:highlight w:val="none"/>
          <w:lang w:val="en-US" w:eastAsia="zh-CN"/>
        </w:rPr>
      </w:pPr>
    </w:p>
    <w:p w14:paraId="45067B2F">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14:paraId="245EA61B">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14:paraId="22244701">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14:paraId="7BF6A5F3">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14:paraId="19795778">
      <w:pPr>
        <w:adjustRightInd w:val="0"/>
        <w:snapToGrid w:val="0"/>
        <w:spacing w:after="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项目名称：中山大学孙逸仙纪念医院公务车辆定点加油服务项目</w:t>
      </w:r>
    </w:p>
    <w:p w14:paraId="3C5984D5">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医师法》、《中华人民共和国政府采购法》、《中华人民共和国招标投标法》等有关规定，结合中山大学孙逸仙纪念医院（下称医院）的规章制度，我公司特作出以下廉洁守约承诺：</w:t>
      </w:r>
    </w:p>
    <w:p w14:paraId="490F008B">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14:paraId="303D8B7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14:paraId="39EAF04B">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14:paraId="5C61377F">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14:paraId="5F9A11B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14:paraId="17F8935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14:paraId="7426EC7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14:paraId="66BB8EF1">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39741CE8">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14:paraId="5BA11519">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14:paraId="4C3082B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14:paraId="05AB6C3C">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14:paraId="68C05A24">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BECCACA">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14:paraId="68845708">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14:paraId="6BDD9613">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08A4DC4D">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14:paraId="275D7647">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14:paraId="54ADA8B1">
      <w:pPr>
        <w:pStyle w:val="27"/>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14:paraId="539AF0C2">
      <w:pPr>
        <w:pStyle w:val="24"/>
        <w:rPr>
          <w:color w:val="000000"/>
          <w:highlight w:val="none"/>
        </w:rPr>
      </w:pPr>
    </w:p>
    <w:p w14:paraId="346F90E1">
      <w:pPr>
        <w:pStyle w:val="24"/>
        <w:rPr>
          <w:color w:val="000000"/>
          <w:highlight w:val="none"/>
        </w:rPr>
      </w:pPr>
    </w:p>
    <w:p w14:paraId="65C63B87">
      <w:pPr>
        <w:pStyle w:val="24"/>
        <w:rPr>
          <w:color w:val="000000"/>
          <w:highlight w:val="none"/>
        </w:rPr>
      </w:pPr>
    </w:p>
    <w:p w14:paraId="764E816F">
      <w:pPr>
        <w:pStyle w:val="24"/>
        <w:rPr>
          <w:color w:val="000000"/>
          <w:highlight w:val="none"/>
        </w:rPr>
      </w:pPr>
    </w:p>
    <w:p w14:paraId="098FDBB1">
      <w:pPr>
        <w:pStyle w:val="24"/>
        <w:rPr>
          <w:color w:val="000000"/>
          <w:highlight w:val="none"/>
        </w:rPr>
      </w:pPr>
    </w:p>
    <w:p w14:paraId="4FEEF928">
      <w:pPr>
        <w:pStyle w:val="24"/>
        <w:rPr>
          <w:color w:val="000000"/>
          <w:highlight w:val="none"/>
        </w:rPr>
      </w:pPr>
    </w:p>
    <w:p w14:paraId="5A687840">
      <w:pPr>
        <w:pStyle w:val="24"/>
        <w:rPr>
          <w:color w:val="000000"/>
          <w:highlight w:val="none"/>
        </w:rPr>
      </w:pPr>
    </w:p>
    <w:p w14:paraId="789B4C6C">
      <w:pPr>
        <w:pStyle w:val="24"/>
        <w:rPr>
          <w:color w:val="000000"/>
          <w:highlight w:val="none"/>
        </w:rPr>
      </w:pPr>
    </w:p>
    <w:p w14:paraId="37BC8819">
      <w:pPr>
        <w:pStyle w:val="24"/>
        <w:rPr>
          <w:color w:val="000000"/>
          <w:highlight w:val="none"/>
        </w:rPr>
      </w:pPr>
    </w:p>
    <w:p w14:paraId="382C727E">
      <w:pPr>
        <w:pStyle w:val="24"/>
        <w:rPr>
          <w:color w:val="000000"/>
          <w:highlight w:val="none"/>
        </w:rPr>
      </w:pPr>
    </w:p>
    <w:p w14:paraId="1BC38A5F">
      <w:pPr>
        <w:pStyle w:val="24"/>
        <w:rPr>
          <w:color w:val="000000"/>
          <w:highlight w:val="none"/>
        </w:rPr>
      </w:pPr>
    </w:p>
    <w:p w14:paraId="223E1707">
      <w:pPr>
        <w:pStyle w:val="24"/>
        <w:rPr>
          <w:color w:val="000000"/>
          <w:highlight w:val="none"/>
        </w:rPr>
      </w:pPr>
    </w:p>
    <w:p w14:paraId="38B48B0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1A8918A">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4、《成品油批发经营批准证书》或《成品油零售经营批准证书》</w:t>
      </w:r>
    </w:p>
    <w:p w14:paraId="4513B806">
      <w:pPr>
        <w:pStyle w:val="24"/>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kern w:val="0"/>
          <w:sz w:val="24"/>
          <w:szCs w:val="24"/>
          <w:highlight w:val="none"/>
          <w:lang w:val="en-US" w:eastAsia="zh-CN"/>
        </w:rPr>
        <w:t>（提供证件复印件,加盖公章）</w:t>
      </w:r>
    </w:p>
    <w:p w14:paraId="2C0BE6A1">
      <w:pPr>
        <w:pStyle w:val="24"/>
        <w:rPr>
          <w:rFonts w:hint="eastAsia" w:ascii="仿宋" w:hAnsi="仿宋" w:eastAsia="仿宋" w:cs="仿宋"/>
          <w:color w:val="000000" w:themeColor="text1"/>
          <w:highlight w:val="none"/>
          <w14:textFill>
            <w14:solidFill>
              <w14:schemeClr w14:val="tx1"/>
            </w14:solidFill>
          </w14:textFill>
        </w:rPr>
      </w:pPr>
    </w:p>
    <w:p w14:paraId="2F0D15A0">
      <w:pPr>
        <w:pStyle w:val="24"/>
        <w:rPr>
          <w:rFonts w:hint="eastAsia" w:ascii="仿宋" w:hAnsi="仿宋" w:eastAsia="仿宋" w:cs="仿宋"/>
          <w:color w:val="000000" w:themeColor="text1"/>
          <w:highlight w:val="none"/>
          <w14:textFill>
            <w14:solidFill>
              <w14:schemeClr w14:val="tx1"/>
            </w14:solidFill>
          </w14:textFill>
        </w:rPr>
      </w:pPr>
    </w:p>
    <w:p w14:paraId="65B2735F">
      <w:pPr>
        <w:pStyle w:val="24"/>
        <w:rPr>
          <w:rFonts w:hint="eastAsia" w:ascii="仿宋" w:hAnsi="仿宋" w:eastAsia="仿宋" w:cs="仿宋"/>
          <w:color w:val="000000" w:themeColor="text1"/>
          <w:highlight w:val="none"/>
          <w14:textFill>
            <w14:solidFill>
              <w14:schemeClr w14:val="tx1"/>
            </w14:solidFill>
          </w14:textFill>
        </w:rPr>
      </w:pPr>
    </w:p>
    <w:p w14:paraId="7C8946C0">
      <w:pPr>
        <w:pStyle w:val="24"/>
        <w:rPr>
          <w:rFonts w:hint="eastAsia" w:ascii="仿宋" w:hAnsi="仿宋" w:eastAsia="仿宋" w:cs="仿宋"/>
          <w:color w:val="000000" w:themeColor="text1"/>
          <w:highlight w:val="none"/>
          <w14:textFill>
            <w14:solidFill>
              <w14:schemeClr w14:val="tx1"/>
            </w14:solidFill>
          </w14:textFill>
        </w:rPr>
      </w:pPr>
    </w:p>
    <w:p w14:paraId="2D98E16F">
      <w:pPr>
        <w:pStyle w:val="24"/>
        <w:rPr>
          <w:rFonts w:hint="eastAsia" w:ascii="仿宋" w:hAnsi="仿宋" w:eastAsia="仿宋" w:cs="仿宋"/>
          <w:color w:val="000000" w:themeColor="text1"/>
          <w:highlight w:val="none"/>
          <w14:textFill>
            <w14:solidFill>
              <w14:schemeClr w14:val="tx1"/>
            </w14:solidFill>
          </w14:textFill>
        </w:rPr>
      </w:pPr>
    </w:p>
    <w:p w14:paraId="2723571D">
      <w:pPr>
        <w:pStyle w:val="24"/>
        <w:rPr>
          <w:rFonts w:hint="eastAsia" w:ascii="仿宋" w:hAnsi="仿宋" w:eastAsia="仿宋" w:cs="仿宋"/>
          <w:color w:val="000000" w:themeColor="text1"/>
          <w:highlight w:val="none"/>
          <w14:textFill>
            <w14:solidFill>
              <w14:schemeClr w14:val="tx1"/>
            </w14:solidFill>
          </w14:textFill>
        </w:rPr>
      </w:pPr>
    </w:p>
    <w:p w14:paraId="212359FE">
      <w:pPr>
        <w:pStyle w:val="24"/>
        <w:rPr>
          <w:rFonts w:hint="eastAsia" w:ascii="仿宋" w:hAnsi="仿宋" w:eastAsia="仿宋" w:cs="仿宋"/>
          <w:color w:val="000000" w:themeColor="text1"/>
          <w:highlight w:val="none"/>
          <w14:textFill>
            <w14:solidFill>
              <w14:schemeClr w14:val="tx1"/>
            </w14:solidFill>
          </w14:textFill>
        </w:rPr>
      </w:pPr>
    </w:p>
    <w:p w14:paraId="7AE4039D">
      <w:pPr>
        <w:pStyle w:val="2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5、《危险化学品经营许可证》</w:t>
      </w:r>
    </w:p>
    <w:p w14:paraId="1F54DE58">
      <w:pPr>
        <w:pStyle w:val="24"/>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kern w:val="0"/>
          <w:sz w:val="24"/>
          <w:szCs w:val="24"/>
          <w:highlight w:val="none"/>
          <w:lang w:val="en-US" w:eastAsia="zh-CN"/>
        </w:rPr>
        <w:t>（提供证件复印件,加盖公章）</w:t>
      </w:r>
    </w:p>
    <w:p w14:paraId="220E8BF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5192F3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C4D373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77374D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BEB975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3D0B147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BFD44E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6AAC6D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548BFA8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C40134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341F71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5EADCE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CBCCEB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61290F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5D3CBE2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19"/>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576018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EA089CE">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411063F7">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谈判文件</w:t>
            </w:r>
            <w:r>
              <w:rPr>
                <w:rFonts w:hint="eastAsia" w:ascii="仿宋" w:hAnsi="仿宋" w:eastAsia="仿宋" w:cs="仿宋"/>
                <w:bCs/>
                <w:szCs w:val="21"/>
                <w:highlight w:val="none"/>
              </w:rPr>
              <w:t>要求</w:t>
            </w:r>
          </w:p>
        </w:tc>
        <w:tc>
          <w:tcPr>
            <w:tcW w:w="1100" w:type="dxa"/>
            <w:vAlign w:val="center"/>
          </w:tcPr>
          <w:p w14:paraId="1EAE4A31">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252EF383">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425A4C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55662DAC">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14:paraId="0DA6E510">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响应报价：</w:t>
            </w:r>
          </w:p>
          <w:p w14:paraId="70A6125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①响应报价未超过本项目最高限价。</w:t>
            </w:r>
          </w:p>
          <w:p w14:paraId="01F3CA8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14:paraId="076F471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lang w:val="en-US" w:eastAsia="zh-CN"/>
              </w:rPr>
              <w:t>服务</w:t>
            </w:r>
            <w:r>
              <w:rPr>
                <w:rFonts w:hint="eastAsia" w:ascii="仿宋" w:hAnsi="仿宋" w:eastAsia="仿宋" w:cs="仿宋"/>
                <w:sz w:val="20"/>
                <w:szCs w:val="20"/>
              </w:rPr>
              <w:t>质量的书面说明等相关证明材料的。</w:t>
            </w:r>
          </w:p>
          <w:p w14:paraId="43A2E124">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rPr>
            </w:pPr>
            <w:r>
              <w:rPr>
                <w:rFonts w:hint="eastAsia" w:ascii="仿宋" w:hAnsi="仿宋" w:eastAsia="仿宋" w:cs="仿宋"/>
                <w:sz w:val="20"/>
                <w:szCs w:val="20"/>
              </w:rPr>
              <w:t>④响应报价是唯一确定的，不得存在区间值（如</w:t>
            </w:r>
            <w:r>
              <w:rPr>
                <w:rFonts w:hint="eastAsia" w:ascii="仿宋" w:hAnsi="仿宋" w:eastAsia="仿宋" w:cs="仿宋"/>
                <w:sz w:val="20"/>
                <w:szCs w:val="20"/>
                <w:lang w:val="en-US" w:eastAsia="zh-CN"/>
              </w:rPr>
              <w:t>90</w:t>
            </w:r>
            <w:r>
              <w:rPr>
                <w:rFonts w:hint="eastAsia" w:ascii="仿宋" w:hAnsi="仿宋" w:eastAsia="仿宋" w:cs="仿宋"/>
                <w:sz w:val="20"/>
                <w:szCs w:val="20"/>
              </w:rPr>
              <w:t>%～</w:t>
            </w:r>
            <w:r>
              <w:rPr>
                <w:rFonts w:hint="eastAsia" w:ascii="仿宋" w:hAnsi="仿宋" w:eastAsia="仿宋" w:cs="仿宋"/>
                <w:sz w:val="20"/>
                <w:szCs w:val="20"/>
                <w:lang w:val="en-US" w:eastAsia="zh-CN"/>
              </w:rPr>
              <w:t>95</w:t>
            </w:r>
            <w:r>
              <w:rPr>
                <w:rFonts w:hint="eastAsia" w:ascii="仿宋" w:hAnsi="仿宋" w:eastAsia="仿宋" w:cs="仿宋"/>
                <w:sz w:val="20"/>
                <w:szCs w:val="20"/>
              </w:rPr>
              <w:t>%）。</w:t>
            </w:r>
          </w:p>
          <w:p w14:paraId="5536B6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auto"/>
                <w:sz w:val="20"/>
                <w:szCs w:val="20"/>
                <w:lang w:val="en-US" w:eastAsia="zh-CN"/>
              </w:rPr>
            </w:pPr>
            <w:r>
              <w:rPr>
                <w:rFonts w:hint="eastAsia" w:ascii="仿宋" w:hAnsi="仿宋" w:eastAsia="仿宋" w:cs="仿宋"/>
                <w:sz w:val="20"/>
                <w:szCs w:val="20"/>
              </w:rPr>
              <w:t>⑤响应报价均应包含国家规定的税费。</w:t>
            </w:r>
          </w:p>
        </w:tc>
        <w:tc>
          <w:tcPr>
            <w:tcW w:w="1100" w:type="dxa"/>
            <w:vAlign w:val="center"/>
          </w:tcPr>
          <w:p w14:paraId="3A64431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AB45368">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13323B0D">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59F0E7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10C4C0D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14:paraId="2836C38B">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77D2EB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3DBF1B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39B29DD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3002B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4457FA2">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14:paraId="1DC2F423">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2A6240C6">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2E83B99E">
            <w:pPr>
              <w:pStyle w:val="26"/>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72EF43D">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52CCBB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D1B16AD">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14:paraId="7C171AF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谈判文件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不得改动本谈判文件中已明确要求不得擅自删改的部分，以及遵守谈判文件中已列明必须遵照执行否则按无效响应处理的各类要求。</w:t>
            </w:r>
          </w:p>
        </w:tc>
        <w:tc>
          <w:tcPr>
            <w:tcW w:w="1100" w:type="dxa"/>
            <w:vAlign w:val="center"/>
          </w:tcPr>
          <w:p w14:paraId="560A03C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25487B3">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5219796B">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50C373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3DE02B5C">
            <w:pPr>
              <w:keepNext w:val="0"/>
              <w:keepLines w:val="0"/>
              <w:suppressLineNumbers w:val="0"/>
              <w:tabs>
                <w:tab w:val="left" w:pos="2880"/>
              </w:tabs>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w:t>
            </w:r>
            <w:r>
              <w:rPr>
                <w:rFonts w:hint="eastAsia" w:ascii="仿宋" w:hAnsi="仿宋" w:eastAsia="仿宋" w:cs="仿宋"/>
                <w:szCs w:val="21"/>
                <w:highlight w:val="none"/>
                <w:lang w:eastAsia="zh-CN"/>
              </w:rPr>
              <w:t>谈判文件</w:t>
            </w:r>
            <w:r>
              <w:rPr>
                <w:rFonts w:hint="eastAsia" w:ascii="仿宋" w:hAnsi="仿宋" w:eastAsia="仿宋" w:cs="仿宋"/>
                <w:szCs w:val="21"/>
                <w:highlight w:val="none"/>
              </w:rPr>
              <w:t>中的“★”号条款要求</w:t>
            </w:r>
          </w:p>
        </w:tc>
        <w:tc>
          <w:tcPr>
            <w:tcW w:w="4418" w:type="dxa"/>
            <w:vAlign w:val="top"/>
          </w:tcPr>
          <w:p w14:paraId="104F404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eastAsia="zh-CN"/>
              </w:rPr>
              <w:t>谈判文件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谈判文件</w:t>
            </w:r>
            <w:r>
              <w:rPr>
                <w:rFonts w:hint="eastAsia" w:ascii="仿宋" w:hAnsi="仿宋" w:eastAsia="仿宋" w:cs="仿宋"/>
                <w:color w:val="000000"/>
                <w:sz w:val="20"/>
                <w:szCs w:val="20"/>
                <w:highlight w:val="none"/>
              </w:rPr>
              <w:t>“★”号条款要求</w:t>
            </w:r>
          </w:p>
        </w:tc>
        <w:tc>
          <w:tcPr>
            <w:tcW w:w="1100" w:type="dxa"/>
            <w:vAlign w:val="center"/>
          </w:tcPr>
          <w:p w14:paraId="57F20117">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2D449B8">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E5E241B">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0F942B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7CA516BA">
            <w:pPr>
              <w:keepNext w:val="0"/>
              <w:keepLines w:val="0"/>
              <w:suppressLineNumbers w:val="0"/>
              <w:tabs>
                <w:tab w:val="left" w:pos="2880"/>
              </w:tabs>
              <w:spacing w:before="0" w:beforeAutospacing="0" w:after="0" w:afterAutospacing="0"/>
              <w:ind w:left="0" w:leftChars="0" w:right="0" w:rightChars="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14:paraId="09CB48C5">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7DFDEC5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1466B6A9">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25B57CC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31E7B7D5">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7856DFE7">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5D69624D">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469D6C88">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61243A80">
      <w:pPr>
        <w:pStyle w:val="9"/>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609F6145">
      <w:pPr>
        <w:pStyle w:val="9"/>
        <w:shd w:val="clear" w:color="auto" w:fill="FFFFFF"/>
        <w:rPr>
          <w:rFonts w:hint="eastAsia" w:ascii="仿宋" w:hAnsi="仿宋" w:eastAsia="仿宋" w:cs="仿宋"/>
          <w:sz w:val="21"/>
          <w:szCs w:val="21"/>
          <w:highlight w:val="none"/>
        </w:rPr>
      </w:pPr>
    </w:p>
    <w:p w14:paraId="6A4F993F">
      <w:pPr>
        <w:pStyle w:val="9"/>
        <w:shd w:val="clear" w:color="auto" w:fill="FFFFFF"/>
        <w:rPr>
          <w:rFonts w:hint="eastAsia" w:ascii="仿宋" w:hAnsi="仿宋" w:eastAsia="仿宋" w:cs="仿宋"/>
          <w:sz w:val="21"/>
          <w:szCs w:val="21"/>
          <w:highlight w:val="none"/>
        </w:rPr>
      </w:pPr>
    </w:p>
    <w:p w14:paraId="5EFC8B8B">
      <w:pPr>
        <w:pStyle w:val="9"/>
        <w:shd w:val="clear" w:color="auto" w:fill="FFFFFF"/>
        <w:rPr>
          <w:rFonts w:hint="eastAsia" w:ascii="仿宋" w:hAnsi="仿宋" w:eastAsia="仿宋" w:cs="仿宋"/>
          <w:sz w:val="21"/>
          <w:szCs w:val="21"/>
          <w:highlight w:val="none"/>
        </w:rPr>
      </w:pPr>
    </w:p>
    <w:p w14:paraId="3480E05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4FA32C5">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A3F5504">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CA1695F">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124B1B02">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6F776DD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167D5AB8">
      <w:pPr>
        <w:pStyle w:val="10"/>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41D43BA2">
      <w:pPr>
        <w:pStyle w:val="10"/>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08C9CF07">
      <w:pPr>
        <w:pStyle w:val="10"/>
        <w:tabs>
          <w:tab w:val="left" w:pos="900"/>
        </w:tabs>
        <w:spacing w:line="400" w:lineRule="exact"/>
        <w:ind w:firstLine="0"/>
        <w:rPr>
          <w:rFonts w:hint="eastAsia" w:ascii="仿宋" w:hAnsi="仿宋" w:eastAsia="仿宋" w:cs="仿宋"/>
          <w:bCs/>
          <w:color w:val="000000"/>
          <w:highlight w:val="none"/>
          <w:lang w:val="en-US"/>
        </w:rPr>
      </w:pPr>
    </w:p>
    <w:p w14:paraId="7D308768">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372ECD10">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1E70AA2C">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03441E4B">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2AFCA04B">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5C3E8B3A">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2A97052F">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438F5BAE">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30C1F92">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66B4BAF9">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6DCA1D9E">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14:paraId="3D01A7C7">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12"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00B975EA">
                              <w:pPr>
                                <w:spacing w:before="0" w:line="240" w:lineRule="auto"/>
                                <w:rPr>
                                  <w:sz w:val="20"/>
                                </w:rPr>
                              </w:pPr>
                            </w:p>
                            <w:p w14:paraId="61A73E9D">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1154CBE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MwSXQTVAAAABQEAAA8AAAAAAAAAAQAgAAAAIgAAAGRycy9kb3ducmV2LnhtbFBLAQIUABQA&#10;AAAIAIdO4kCD8lhfngIAALgGAAAOAAAAAAAAAAEAIAAAACQBAABkcnMvZTJvRG9jLnhtbFBLBQYA&#10;AAAABgAGAFkBAAA0Bg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00B975EA">
                        <w:pPr>
                          <w:spacing w:before="0" w:line="240" w:lineRule="auto"/>
                          <w:rPr>
                            <w:sz w:val="20"/>
                          </w:rPr>
                        </w:pPr>
                      </w:p>
                      <w:p w14:paraId="61A73E9D">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1154CBE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0FF86C06">
                            <w:pPr>
                              <w:pStyle w:val="2"/>
                              <w:rPr>
                                <w:sz w:val="20"/>
                              </w:rPr>
                            </w:pPr>
                          </w:p>
                          <w:p w14:paraId="623697A3">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3519D6E">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0FF86C06">
                      <w:pPr>
                        <w:pStyle w:val="2"/>
                        <w:rPr>
                          <w:sz w:val="20"/>
                        </w:rPr>
                      </w:pPr>
                    </w:p>
                    <w:p w14:paraId="623697A3">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73519D6E">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68138D90">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28409694">
      <w:pPr>
        <w:pStyle w:val="26"/>
        <w:ind w:left="0" w:leftChars="0" w:firstLine="0" w:firstLineChars="0"/>
        <w:rPr>
          <w:rFonts w:hint="eastAsia" w:ascii="仿宋" w:hAnsi="仿宋" w:eastAsia="仿宋" w:cs="仿宋"/>
          <w:highlight w:val="none"/>
          <w:lang w:eastAsia="zh-CN"/>
        </w:rPr>
      </w:pPr>
    </w:p>
    <w:p w14:paraId="73EF0FA5">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4CFB752">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188E1549">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D6059D5">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FD1912C">
      <w:pPr>
        <w:pStyle w:val="10"/>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6E008BB">
      <w:pPr>
        <w:pStyle w:val="10"/>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0EC23FF9">
      <w:pPr>
        <w:pStyle w:val="10"/>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3EA0CD28">
      <w:pPr>
        <w:pStyle w:val="10"/>
        <w:tabs>
          <w:tab w:val="left" w:pos="900"/>
        </w:tabs>
        <w:spacing w:line="400" w:lineRule="exact"/>
        <w:ind w:firstLine="0"/>
        <w:rPr>
          <w:rFonts w:hint="eastAsia" w:ascii="仿宋" w:hAnsi="仿宋" w:eastAsia="仿宋" w:cs="仿宋"/>
          <w:bCs/>
          <w:color w:val="000000"/>
          <w:sz w:val="24"/>
          <w:szCs w:val="24"/>
          <w:highlight w:val="none"/>
          <w:lang w:val="en-US"/>
        </w:rPr>
      </w:pPr>
    </w:p>
    <w:p w14:paraId="79A0F458">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39A7EFBC">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5C651CE">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020E7A21">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2F89BDEC">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15349BDF">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52A6F1C2">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11265076">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5EE0C259">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085DA2B4">
      <w:pPr>
        <w:pStyle w:val="10"/>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7780ED8F">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1EAE26EE">
                            <w:pPr>
                              <w:pStyle w:val="2"/>
                              <w:rPr>
                                <w:sz w:val="20"/>
                              </w:rPr>
                            </w:pPr>
                          </w:p>
                          <w:p w14:paraId="5EFC9ABC">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50BBF69">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1EAE26EE">
                      <w:pPr>
                        <w:pStyle w:val="2"/>
                        <w:rPr>
                          <w:sz w:val="20"/>
                        </w:rPr>
                      </w:pPr>
                    </w:p>
                    <w:p w14:paraId="5EFC9ABC">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50BBF69">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8618513">
                            <w:pPr>
                              <w:pStyle w:val="2"/>
                              <w:rPr>
                                <w:rFonts w:hint="eastAsia" w:ascii="华文中宋" w:hAnsi="华文中宋" w:eastAsia="华文中宋" w:cs="华文中宋"/>
                                <w:sz w:val="21"/>
                                <w:szCs w:val="21"/>
                              </w:rPr>
                            </w:pPr>
                          </w:p>
                          <w:p w14:paraId="7B3DC294">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BCB7EF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38618513">
                      <w:pPr>
                        <w:pStyle w:val="2"/>
                        <w:rPr>
                          <w:rFonts w:hint="eastAsia" w:ascii="华文中宋" w:hAnsi="华文中宋" w:eastAsia="华文中宋" w:cs="华文中宋"/>
                          <w:sz w:val="21"/>
                          <w:szCs w:val="21"/>
                        </w:rPr>
                      </w:pPr>
                    </w:p>
                    <w:p w14:paraId="7B3DC294">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6BCB7EF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445AC37A">
      <w:pPr>
        <w:pStyle w:val="26"/>
        <w:ind w:left="0" w:leftChars="0" w:firstLine="0" w:firstLineChars="0"/>
        <w:rPr>
          <w:rFonts w:hint="eastAsia" w:ascii="宋体" w:hAnsi="宋体" w:eastAsia="宋体" w:cs="仿宋_GB2312"/>
          <w:bCs/>
          <w:color w:val="000000"/>
          <w:sz w:val="30"/>
          <w:szCs w:val="30"/>
          <w:highlight w:val="none"/>
          <w:lang w:val="en-US"/>
        </w:rPr>
      </w:pPr>
    </w:p>
    <w:p w14:paraId="1F4CFC21">
      <w:pPr>
        <w:pStyle w:val="26"/>
        <w:ind w:left="0" w:leftChars="0" w:firstLine="0" w:firstLineChars="0"/>
        <w:rPr>
          <w:rFonts w:hint="eastAsia" w:ascii="宋体" w:hAnsi="宋体" w:eastAsia="宋体" w:cs="宋体"/>
          <w:b/>
          <w:bCs/>
          <w:sz w:val="28"/>
          <w:szCs w:val="36"/>
          <w:highlight w:val="none"/>
          <w:lang w:eastAsia="zh-CN"/>
        </w:rPr>
      </w:pPr>
    </w:p>
    <w:p w14:paraId="7DD43EC7">
      <w:pPr>
        <w:pStyle w:val="2"/>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3C3498B1">
      <w:pPr>
        <w:pStyle w:val="26"/>
        <w:ind w:left="0" w:leftChars="0" w:firstLine="0" w:firstLineChars="0"/>
        <w:rPr>
          <w:rFonts w:hint="eastAsia" w:ascii="宋体" w:hAnsi="宋体" w:eastAsia="宋体" w:cs="仿宋_GB2312"/>
          <w:bCs/>
          <w:color w:val="000000"/>
          <w:sz w:val="30"/>
          <w:szCs w:val="30"/>
          <w:highlight w:val="none"/>
          <w:lang w:val="en-US"/>
        </w:rPr>
      </w:pPr>
    </w:p>
    <w:p w14:paraId="2FA38323">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66CF7EE5">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7BAE6C3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14:paraId="1D96E20E">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6164A478">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3C16CA51">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1、同意并接受谈判文件的各项要求，遵守谈判文件中的各项规定，按谈判文件的要求提供报价。</w:t>
      </w:r>
    </w:p>
    <w:p w14:paraId="2581AF51">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247B607A">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3、我方已经详细地阅读了全部谈判文件及其附件，包括澄清及参考文件(如果有的话)。我方已完全清晰理解谈判文件的要求，不存在任何含糊不清和误解之处，同意放弃对这些文件所提出的异议和质疑的权利。</w:t>
      </w:r>
    </w:p>
    <w:p w14:paraId="186208CD">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4、如果我单位成交，我方将保证按照院方认可的条件，以本谈判文件内写明的金额、方式和时间要求提交履约保证金（如有）。</w:t>
      </w:r>
    </w:p>
    <w:p w14:paraId="565A3A0B">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3BFB55AC">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6、我方承诺能够完全对谈判文件所有带“★”号条款作出响应，具体证明材料见响应文件“三、‘★’条款响应审查”。</w:t>
      </w:r>
    </w:p>
    <w:p w14:paraId="093EA11D">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51C15FFB">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5D7E7E85">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w:t>
      </w:r>
    </w:p>
    <w:p w14:paraId="6F5B10D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79C02F9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6F5EBA8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5ACD2D1">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3D5C308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3A652574">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366DA51">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42BF7B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D09AB27">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320E719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44C0615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5DBC3C5D">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64260E29">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05BCC97C">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14:paraId="1E713FB3">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36"/>
          <w:szCs w:val="36"/>
          <w:highlight w:val="none"/>
          <w:lang w:val="en-US" w:eastAsia="zh-CN"/>
        </w:rPr>
      </w:pPr>
      <w:r>
        <w:rPr>
          <w:rFonts w:hint="eastAsia" w:ascii="黑体" w:hAnsi="黑体" w:eastAsia="黑体" w:cs="黑体"/>
          <w:b/>
          <w:bCs/>
          <w:sz w:val="40"/>
          <w:szCs w:val="40"/>
          <w:highlight w:val="none"/>
          <w:lang w:val="en-US" w:eastAsia="zh-CN"/>
        </w:rPr>
        <w:t>三、“★”条款响应审查</w:t>
      </w:r>
    </w:p>
    <w:p w14:paraId="47C5CC27">
      <w:pPr>
        <w:keepNext w:val="0"/>
        <w:keepLines w:val="0"/>
        <w:pageBreakBefore w:val="0"/>
        <w:widowControl w:val="0"/>
        <w:kinsoku/>
        <w:wordWrap/>
        <w:overflowPunct/>
        <w:topLinePunct w:val="0"/>
        <w:autoSpaceDE/>
        <w:autoSpaceDN/>
        <w:bidi w:val="0"/>
        <w:adjustRightInd w:val="0"/>
        <w:snapToGrid w:val="0"/>
        <w:spacing w:line="240" w:lineRule="auto"/>
        <w:ind w:right="-395" w:rightChars="-188"/>
        <w:textAlignment w:val="auto"/>
        <w:rPr>
          <w:rFonts w:hint="eastAsia" w:ascii="仿宋" w:hAnsi="仿宋" w:eastAsia="仿宋" w:cs="仿宋"/>
          <w:b/>
          <w:bCs/>
          <w:color w:val="auto"/>
          <w:sz w:val="21"/>
          <w:szCs w:val="21"/>
          <w:highlight w:val="none"/>
          <w:lang w:eastAsia="zh-CN"/>
        </w:rPr>
      </w:pPr>
    </w:p>
    <w:p w14:paraId="5702FA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395" w:rightChars="-188"/>
        <w:textAlignment w:val="auto"/>
        <w:rPr>
          <w:rFonts w:hint="eastAsia" w:ascii="仿宋" w:hAnsi="仿宋" w:eastAsia="仿宋" w:cs="仿宋"/>
          <w:b/>
          <w:bCs/>
          <w:color w:val="auto"/>
          <w:sz w:val="21"/>
          <w:szCs w:val="21"/>
          <w:highlight w:val="none"/>
          <w:lang w:val="en-GB" w:eastAsia="zh-CN"/>
        </w:rPr>
      </w:pPr>
      <w:r>
        <w:rPr>
          <w:rFonts w:hint="eastAsia" w:ascii="仿宋" w:hAnsi="仿宋" w:eastAsia="仿宋" w:cs="仿宋"/>
          <w:b/>
          <w:bCs/>
          <w:color w:val="auto"/>
          <w:sz w:val="21"/>
          <w:szCs w:val="21"/>
          <w:highlight w:val="none"/>
          <w:lang w:val="en-GB" w:eastAsia="zh-CN"/>
        </w:rPr>
        <w:t>供应商必须按谈判文件中“★”条款响应审查内容据实填写，不得虚假应答，否则将取消其成交资格。</w:t>
      </w:r>
    </w:p>
    <w:tbl>
      <w:tblPr>
        <w:tblStyle w:val="19"/>
        <w:tblpPr w:leftFromText="180" w:rightFromText="180" w:vertAnchor="text" w:horzAnchor="margin" w:tblpXSpec="center" w:tblpY="327"/>
        <w:tblOverlap w:val="never"/>
        <w:tblW w:w="10314" w:type="dxa"/>
        <w:tblInd w:w="0" w:type="dxa"/>
        <w:tblLayout w:type="fixed"/>
        <w:tblCellMar>
          <w:top w:w="0" w:type="dxa"/>
          <w:left w:w="108" w:type="dxa"/>
          <w:bottom w:w="0" w:type="dxa"/>
          <w:right w:w="108" w:type="dxa"/>
        </w:tblCellMar>
      </w:tblPr>
      <w:tblGrid>
        <w:gridCol w:w="611"/>
        <w:gridCol w:w="7157"/>
        <w:gridCol w:w="1206"/>
        <w:gridCol w:w="1340"/>
      </w:tblGrid>
      <w:tr w14:paraId="38E4D7E9">
        <w:tblPrEx>
          <w:tblCellMar>
            <w:top w:w="0" w:type="dxa"/>
            <w:left w:w="108" w:type="dxa"/>
            <w:bottom w:w="0" w:type="dxa"/>
            <w:right w:w="108" w:type="dxa"/>
          </w:tblCellMar>
        </w:tblPrEx>
        <w:trPr>
          <w:trHeight w:val="285" w:hRule="atLeast"/>
        </w:trPr>
        <w:tc>
          <w:tcPr>
            <w:tcW w:w="1031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9DC0EA2">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4"/>
                <w:highlight w:val="none"/>
                <w:lang w:val="en-US" w:eastAsia="zh-CN"/>
              </w:rPr>
            </w:pPr>
            <w:r>
              <w:rPr>
                <w:rFonts w:hint="eastAsia" w:ascii="仿宋" w:hAnsi="仿宋" w:eastAsia="仿宋" w:cs="仿宋"/>
                <w:b/>
                <w:bCs/>
                <w:color w:val="000000"/>
                <w:kern w:val="0"/>
                <w:sz w:val="24"/>
                <w:highlight w:val="none"/>
              </w:rPr>
              <w:t>“★”条款响应</w:t>
            </w:r>
            <w:r>
              <w:rPr>
                <w:rFonts w:hint="eastAsia" w:ascii="仿宋" w:hAnsi="仿宋" w:eastAsia="仿宋" w:cs="仿宋"/>
                <w:b/>
                <w:bCs/>
                <w:color w:val="000000"/>
                <w:kern w:val="0"/>
                <w:sz w:val="24"/>
                <w:highlight w:val="none"/>
                <w:lang w:val="en-US" w:eastAsia="zh-CN"/>
              </w:rPr>
              <w:t>情况</w:t>
            </w:r>
          </w:p>
        </w:tc>
      </w:tr>
      <w:tr w14:paraId="41852FD9">
        <w:tblPrEx>
          <w:tblCellMar>
            <w:top w:w="0" w:type="dxa"/>
            <w:left w:w="108" w:type="dxa"/>
            <w:bottom w:w="0" w:type="dxa"/>
            <w:right w:w="108" w:type="dxa"/>
          </w:tblCellMar>
        </w:tblPrEx>
        <w:trPr>
          <w:trHeight w:val="285" w:hRule="atLeast"/>
        </w:trPr>
        <w:tc>
          <w:tcPr>
            <w:tcW w:w="77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1819E5">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rPr>
            </w:pPr>
            <w:r>
              <w:rPr>
                <w:rFonts w:hint="eastAsia" w:ascii="仿宋" w:hAnsi="仿宋" w:eastAsia="仿宋" w:cs="仿宋"/>
                <w:b/>
                <w:bCs/>
                <w:color w:val="000000"/>
                <w:kern w:val="0"/>
                <w:sz w:val="24"/>
                <w:highlight w:val="none"/>
              </w:rPr>
              <w:t>“★”条款</w:t>
            </w:r>
            <w:r>
              <w:rPr>
                <w:rFonts w:hint="eastAsia" w:ascii="仿宋" w:hAnsi="仿宋" w:eastAsia="仿宋" w:cs="仿宋"/>
                <w:b/>
                <w:bCs/>
                <w:color w:val="000000"/>
                <w:kern w:val="0"/>
                <w:sz w:val="22"/>
                <w:szCs w:val="22"/>
                <w:highlight w:val="none"/>
              </w:rPr>
              <w:t>要求</w:t>
            </w:r>
          </w:p>
        </w:tc>
        <w:tc>
          <w:tcPr>
            <w:tcW w:w="1206" w:type="dxa"/>
            <w:tcBorders>
              <w:top w:val="nil"/>
              <w:left w:val="nil"/>
              <w:bottom w:val="single" w:color="auto" w:sz="4" w:space="0"/>
              <w:right w:val="single" w:color="auto" w:sz="4" w:space="0"/>
            </w:tcBorders>
            <w:shd w:val="clear" w:color="auto" w:fill="auto"/>
            <w:noWrap/>
            <w:vAlign w:val="center"/>
          </w:tcPr>
          <w:p w14:paraId="0E19EEDD">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rPr>
              <w:t>是否响应</w:t>
            </w:r>
          </w:p>
        </w:tc>
        <w:tc>
          <w:tcPr>
            <w:tcW w:w="1340" w:type="dxa"/>
            <w:tcBorders>
              <w:top w:val="nil"/>
              <w:left w:val="nil"/>
              <w:bottom w:val="single" w:color="auto" w:sz="4" w:space="0"/>
              <w:right w:val="single" w:color="auto" w:sz="4" w:space="0"/>
            </w:tcBorders>
            <w:shd w:val="clear" w:color="auto" w:fill="auto"/>
            <w:noWrap/>
            <w:vAlign w:val="center"/>
          </w:tcPr>
          <w:p w14:paraId="0F936AB2">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2"/>
                <w:szCs w:val="22"/>
                <w:highlight w:val="none"/>
                <w:lang w:val="en-US" w:eastAsia="zh-CN"/>
              </w:rPr>
            </w:pPr>
            <w:r>
              <w:rPr>
                <w:rFonts w:hint="eastAsia" w:ascii="仿宋" w:hAnsi="仿宋" w:eastAsia="仿宋" w:cs="仿宋"/>
                <w:b/>
                <w:bCs/>
                <w:color w:val="000000"/>
                <w:kern w:val="0"/>
                <w:sz w:val="22"/>
                <w:szCs w:val="22"/>
                <w:highlight w:val="none"/>
                <w:lang w:val="en-US" w:eastAsia="zh-CN"/>
              </w:rPr>
              <w:t>证明文件</w:t>
            </w:r>
          </w:p>
        </w:tc>
      </w:tr>
      <w:tr w14:paraId="79F605F1">
        <w:tblPrEx>
          <w:tblCellMar>
            <w:top w:w="0" w:type="dxa"/>
            <w:left w:w="108" w:type="dxa"/>
            <w:bottom w:w="0" w:type="dxa"/>
            <w:right w:w="108" w:type="dxa"/>
          </w:tblCellMar>
        </w:tblPrEx>
        <w:trPr>
          <w:trHeight w:val="965" w:hRule="atLeast"/>
        </w:trPr>
        <w:tc>
          <w:tcPr>
            <w:tcW w:w="611" w:type="dxa"/>
            <w:vMerge w:val="restart"/>
            <w:tcBorders>
              <w:top w:val="single" w:color="auto" w:sz="4" w:space="0"/>
              <w:left w:val="single" w:color="auto" w:sz="4" w:space="0"/>
              <w:right w:val="single" w:color="auto" w:sz="4" w:space="0"/>
            </w:tcBorders>
            <w:shd w:val="clear" w:color="auto" w:fill="auto"/>
            <w:noWrap/>
            <w:vAlign w:val="center"/>
          </w:tcPr>
          <w:p w14:paraId="4A6C018F">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公务车辆定点加油</w:t>
            </w:r>
          </w:p>
          <w:p w14:paraId="194B89AD">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rPr>
              <w:t>服务</w:t>
            </w:r>
            <w:r>
              <w:rPr>
                <w:rFonts w:hint="eastAsia" w:ascii="仿宋" w:hAnsi="仿宋" w:eastAsia="仿宋" w:cs="仿宋"/>
                <w:b/>
                <w:bCs/>
                <w:kern w:val="0"/>
                <w:sz w:val="24"/>
                <w:highlight w:val="none"/>
                <w:lang w:val="en-US" w:eastAsia="zh-CN"/>
              </w:rPr>
              <w:t>项目</w:t>
            </w:r>
          </w:p>
          <w:p w14:paraId="7B9ED665">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要求</w:t>
            </w:r>
          </w:p>
        </w:tc>
        <w:tc>
          <w:tcPr>
            <w:tcW w:w="7157" w:type="dxa"/>
            <w:tcBorders>
              <w:top w:val="single" w:color="auto" w:sz="4" w:space="0"/>
              <w:left w:val="nil"/>
              <w:bottom w:val="single" w:color="auto" w:sz="4" w:space="0"/>
              <w:right w:val="single" w:color="auto" w:sz="4" w:space="0"/>
            </w:tcBorders>
            <w:shd w:val="clear" w:color="auto" w:fill="auto"/>
            <w:vAlign w:val="center"/>
          </w:tcPr>
          <w:p w14:paraId="02DD4A31">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w:t>
            </w:r>
            <w:r>
              <w:rPr>
                <w:rFonts w:hint="eastAsia" w:ascii="仿宋" w:hAnsi="仿宋" w:eastAsia="仿宋" w:cs="仿宋"/>
                <w:b w:val="0"/>
                <w:bCs w:val="0"/>
                <w:color w:val="000000"/>
                <w:szCs w:val="21"/>
                <w:highlight w:val="none"/>
              </w:rPr>
              <w:t>供应商所提供的燃油油品质量必须达到国家相关标准及要求，保证油品来源渠道合法合规，严禁提供假冒伪劣、过期变质物资。如经第三方检测机构认定因油质问题致使医院车辆部件损坏的，除鉴定费用由供应商支付外，供应商还须无条件赔偿医院所受损失，同时医院有权单方终止采购合同。</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6752B4A5">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6885075D">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r>
              <w:rPr>
                <w:rFonts w:hint="eastAsia" w:ascii="仿宋" w:hAnsi="仿宋" w:eastAsia="仿宋" w:cs="仿宋"/>
                <w:kern w:val="0"/>
                <w:sz w:val="24"/>
                <w:highlight w:val="none"/>
              </w:rPr>
              <w:t>　</w:t>
            </w:r>
          </w:p>
        </w:tc>
      </w:tr>
      <w:tr w14:paraId="61E4490C">
        <w:tblPrEx>
          <w:tblCellMar>
            <w:top w:w="0" w:type="dxa"/>
            <w:left w:w="108" w:type="dxa"/>
            <w:bottom w:w="0" w:type="dxa"/>
            <w:right w:w="108" w:type="dxa"/>
          </w:tblCellMar>
        </w:tblPrEx>
        <w:trPr>
          <w:trHeight w:val="658" w:hRule="atLeast"/>
        </w:trPr>
        <w:tc>
          <w:tcPr>
            <w:tcW w:w="611" w:type="dxa"/>
            <w:vMerge w:val="continue"/>
            <w:tcBorders>
              <w:left w:val="single" w:color="auto" w:sz="4" w:space="0"/>
              <w:right w:val="single" w:color="auto" w:sz="4" w:space="0"/>
            </w:tcBorders>
            <w:shd w:val="clear" w:color="auto" w:fill="auto"/>
            <w:noWrap/>
            <w:vAlign w:val="center"/>
          </w:tcPr>
          <w:p w14:paraId="2FF31FFD">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09B30332">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w:t>
            </w:r>
            <w:r>
              <w:rPr>
                <w:rFonts w:hint="eastAsia" w:ascii="仿宋" w:hAnsi="仿宋" w:eastAsia="仿宋" w:cs="仿宋"/>
                <w:b w:val="0"/>
                <w:bCs w:val="0"/>
                <w:szCs w:val="21"/>
                <w:highlight w:val="none"/>
              </w:rPr>
              <w:t>供应商所提供的加油站应位于本项目对应子包所在院区周边5公里半径范围内，并应具备为中型客车提供加油服务的场地条件。响应时必须明确提供加油站的详细地址、地理位置图、经营面积、油枪数量以及至中山大学孙逸仙纪念医院北院区/南院区/花都院区的实际驾车里程。</w:t>
            </w:r>
            <w:r>
              <w:rPr>
                <w:rFonts w:hint="eastAsia" w:ascii="仿宋" w:hAnsi="仿宋" w:eastAsia="仿宋" w:cs="仿宋"/>
                <w:b/>
                <w:bCs/>
                <w:szCs w:val="21"/>
                <w:highlight w:val="none"/>
              </w:rPr>
              <w:t>（提供百度地图实际驾车里程截图</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42BE4D80">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6F099E3C">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3C610EBC">
        <w:tblPrEx>
          <w:tblCellMar>
            <w:top w:w="0" w:type="dxa"/>
            <w:left w:w="108" w:type="dxa"/>
            <w:bottom w:w="0" w:type="dxa"/>
            <w:right w:w="108" w:type="dxa"/>
          </w:tblCellMar>
        </w:tblPrEx>
        <w:trPr>
          <w:trHeight w:val="698" w:hRule="atLeast"/>
        </w:trPr>
        <w:tc>
          <w:tcPr>
            <w:tcW w:w="611" w:type="dxa"/>
            <w:vMerge w:val="continue"/>
            <w:tcBorders>
              <w:left w:val="single" w:color="auto" w:sz="4" w:space="0"/>
              <w:right w:val="single" w:color="auto" w:sz="4" w:space="0"/>
            </w:tcBorders>
            <w:shd w:val="clear" w:color="auto" w:fill="auto"/>
            <w:noWrap/>
            <w:vAlign w:val="center"/>
          </w:tcPr>
          <w:p w14:paraId="0420A7E6">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626C2A1F">
            <w:pPr>
              <w:keepNext w:val="0"/>
              <w:keepLines w:val="0"/>
              <w:widowControl/>
              <w:suppressLineNumbers w:val="0"/>
              <w:shd w:val="clear" w:color="auto" w:fill="FFFFFF"/>
              <w:spacing w:before="0" w:beforeAutospacing="0" w:after="0" w:afterAutospacing="0" w:line="240" w:lineRule="auto"/>
              <w:ind w:left="0" w:right="0"/>
              <w:jc w:val="left"/>
              <w:rPr>
                <w:rFonts w:hint="eastAsia" w:ascii="仿宋" w:hAnsi="仿宋" w:eastAsia="仿宋" w:cs="仿宋"/>
                <w:b/>
                <w:szCs w:val="21"/>
                <w:highlight w:val="none"/>
              </w:rPr>
            </w:pPr>
            <w:r>
              <w:rPr>
                <w:rFonts w:hint="eastAsia" w:ascii="仿宋" w:hAnsi="仿宋" w:eastAsia="仿宋" w:cs="仿宋"/>
                <w:color w:val="000000"/>
                <w:szCs w:val="21"/>
                <w:highlight w:val="none"/>
              </w:rPr>
              <w:t>★供应商须保证给采购人公务车辆足量加油。供应商加油设备必须通过质量技术监督局计量部门监测，保证加油机油量符合国家标准。如采购人对加油足量情况有疑问，采购人有权向市场监督部门反馈。如情况属实，采购人有权提前终止合同。</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2BBB451E">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7C8879F5">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38E0972C">
        <w:tblPrEx>
          <w:tblCellMar>
            <w:top w:w="0" w:type="dxa"/>
            <w:left w:w="108" w:type="dxa"/>
            <w:bottom w:w="0" w:type="dxa"/>
            <w:right w:w="108" w:type="dxa"/>
          </w:tblCellMar>
        </w:tblPrEx>
        <w:trPr>
          <w:trHeight w:val="687" w:hRule="atLeast"/>
        </w:trPr>
        <w:tc>
          <w:tcPr>
            <w:tcW w:w="611" w:type="dxa"/>
            <w:vMerge w:val="continue"/>
            <w:tcBorders>
              <w:left w:val="single" w:color="auto" w:sz="4" w:space="0"/>
              <w:right w:val="single" w:color="auto" w:sz="4" w:space="0"/>
            </w:tcBorders>
            <w:shd w:val="clear" w:color="auto" w:fill="auto"/>
            <w:noWrap/>
            <w:vAlign w:val="center"/>
          </w:tcPr>
          <w:p w14:paraId="44430C23">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6B6971E9">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供应商按照医院提供的车辆资料及要求办理加油卡，加油卡实行一车一卡，签订合同之日起3个工作日内根据医院提供的车牌号码办理加油卡，所有加油卡设置密码、限制油品、限车牌，供应商应配合医院做好车辆加油监督管理。当医院出现加油卡丢失或损坏时，供应商负责更换新的加油卡，并将丢失或损坏的加油卡剩余金额转入更换后的新卡。</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0CB88E2E">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1D0AA3E8">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07552137">
        <w:tblPrEx>
          <w:tblCellMar>
            <w:top w:w="0" w:type="dxa"/>
            <w:left w:w="108" w:type="dxa"/>
            <w:bottom w:w="0" w:type="dxa"/>
            <w:right w:w="108" w:type="dxa"/>
          </w:tblCellMar>
        </w:tblPrEx>
        <w:trPr>
          <w:trHeight w:val="131" w:hRule="atLeast"/>
        </w:trPr>
        <w:tc>
          <w:tcPr>
            <w:tcW w:w="611" w:type="dxa"/>
            <w:vMerge w:val="continue"/>
            <w:tcBorders>
              <w:left w:val="single" w:color="auto" w:sz="4" w:space="0"/>
              <w:right w:val="single" w:color="auto" w:sz="4" w:space="0"/>
            </w:tcBorders>
            <w:shd w:val="clear" w:color="auto" w:fill="auto"/>
            <w:noWrap/>
            <w:vAlign w:val="center"/>
          </w:tcPr>
          <w:p w14:paraId="334AF21E">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18B131CD">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建立加油人员、管理人员双层审核等相关管理制度。加油时，加油人员应确认加油卡信息与车号一致，方可加油；否则，不予加油。严禁卡号与车号不符加油、持卡给桶等其他容器加油、持卡提现金或购买其他物品等违规违纪问题。如发生违规违纪问题，采购人有权责令其整改，对拒不整改或拖延整改的，采购人将根据情况除有权决定单方解除合同、取消其采购定点单位资格外，供应商还应赔偿由此给采购人造成的损失。</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6E6AA661">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green"/>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64618155">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0CF34659">
        <w:tblPrEx>
          <w:tblCellMar>
            <w:top w:w="0" w:type="dxa"/>
            <w:left w:w="108" w:type="dxa"/>
            <w:bottom w:w="0" w:type="dxa"/>
            <w:right w:w="108" w:type="dxa"/>
          </w:tblCellMar>
        </w:tblPrEx>
        <w:trPr>
          <w:trHeight w:val="550" w:hRule="atLeast"/>
        </w:trPr>
        <w:tc>
          <w:tcPr>
            <w:tcW w:w="611" w:type="dxa"/>
            <w:vMerge w:val="continue"/>
            <w:tcBorders>
              <w:left w:val="single" w:color="auto" w:sz="4" w:space="0"/>
              <w:right w:val="single" w:color="auto" w:sz="4" w:space="0"/>
            </w:tcBorders>
            <w:shd w:val="clear" w:color="auto" w:fill="auto"/>
            <w:noWrap/>
            <w:vAlign w:val="center"/>
          </w:tcPr>
          <w:p w14:paraId="4E531408">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15FF85DC">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医院有权对供应商所供应油品不定期不限次抽检。若经相关部门鉴定确立存在问题时（以国家或者地方政府指定检测部门抽检油站油品检验结果为基准），鉴定费用由供应商支付，并由供应商承担责任，赔偿损失。</w:t>
            </w: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4162E679">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300F9A24">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45A29281">
        <w:tblPrEx>
          <w:tblCellMar>
            <w:top w:w="0" w:type="dxa"/>
            <w:left w:w="108" w:type="dxa"/>
            <w:bottom w:w="0" w:type="dxa"/>
            <w:right w:w="108" w:type="dxa"/>
          </w:tblCellMar>
        </w:tblPrEx>
        <w:trPr>
          <w:trHeight w:val="634" w:hRule="atLeast"/>
        </w:trPr>
        <w:tc>
          <w:tcPr>
            <w:tcW w:w="611" w:type="dxa"/>
            <w:vMerge w:val="continue"/>
            <w:tcBorders>
              <w:left w:val="single" w:color="auto" w:sz="4" w:space="0"/>
              <w:right w:val="single" w:color="auto" w:sz="4" w:space="0"/>
            </w:tcBorders>
            <w:shd w:val="clear" w:color="auto" w:fill="auto"/>
            <w:noWrap/>
            <w:vAlign w:val="center"/>
          </w:tcPr>
          <w:p w14:paraId="337766C8">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5CDB1E5A">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color w:val="000000"/>
                <w:szCs w:val="21"/>
                <w:highlight w:val="none"/>
                <w:lang w:val="en-US" w:eastAsia="zh-CN"/>
              </w:rPr>
              <w:t>★报价要求：</w:t>
            </w:r>
          </w:p>
          <w:p w14:paraId="66D80FE4">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 xml:space="preserve">报价要求 </w:t>
            </w:r>
          </w:p>
          <w:p w14:paraId="4266E86D">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供应商须按照加油站挂牌零售价的折扣率报价，报价包含单位货物价款、运输费、保险费用、税费及售后服务等一切费用。（如遇国家价格调整，在价格调整基础上折扣不变）优惠折扣率为固定且唯一的报价，双方签订合同后，不得以任何原因进行更改，否则视为违约并承担相应责任。</w:t>
            </w:r>
          </w:p>
          <w:p w14:paraId="502FC740">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单次加油服务实际结算单价=车辆加油油品当日挂牌价格*折扣率（优惠活动期间同时享受优惠叠加，结算单价保留两位小数）</w:t>
            </w:r>
          </w:p>
          <w:p w14:paraId="0C884D6D">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2.供应商在调整油价之前，应将调整油价通知提供给医院，调整后价格按政府批文日期执行。</w:t>
            </w:r>
          </w:p>
          <w:p w14:paraId="44F4FA3F">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0C8DB7C3">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3818FD88">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701AA96B">
        <w:tblPrEx>
          <w:tblCellMar>
            <w:top w:w="0" w:type="dxa"/>
            <w:left w:w="108" w:type="dxa"/>
            <w:bottom w:w="0" w:type="dxa"/>
            <w:right w:w="108" w:type="dxa"/>
          </w:tblCellMar>
        </w:tblPrEx>
        <w:trPr>
          <w:trHeight w:val="460" w:hRule="atLeast"/>
        </w:trPr>
        <w:tc>
          <w:tcPr>
            <w:tcW w:w="611" w:type="dxa"/>
            <w:vMerge w:val="continue"/>
            <w:tcBorders>
              <w:left w:val="single" w:color="auto" w:sz="4" w:space="0"/>
              <w:right w:val="single" w:color="auto" w:sz="4" w:space="0"/>
            </w:tcBorders>
            <w:shd w:val="clear" w:color="auto" w:fill="auto"/>
            <w:noWrap/>
            <w:vAlign w:val="center"/>
          </w:tcPr>
          <w:p w14:paraId="05C23F35">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3F1FC40E">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bCs/>
                <w:color w:val="000000"/>
                <w:szCs w:val="21"/>
                <w:highlight w:val="none"/>
                <w:lang w:val="en-US" w:eastAsia="zh-CN"/>
              </w:rPr>
            </w:pPr>
            <w:r>
              <w:rPr>
                <w:rFonts w:hint="eastAsia" w:ascii="仿宋" w:hAnsi="仿宋" w:eastAsia="仿宋" w:cs="仿宋"/>
                <w:b/>
                <w:bCs/>
                <w:color w:val="000000"/>
                <w:szCs w:val="21"/>
                <w:highlight w:val="none"/>
                <w:lang w:val="en-US" w:eastAsia="zh-CN"/>
              </w:rPr>
              <w:t>★结算方式：</w:t>
            </w:r>
          </w:p>
          <w:p w14:paraId="37B9F268">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val="0"/>
                <w:bCs w:val="0"/>
                <w:color w:val="000000"/>
                <w:szCs w:val="21"/>
                <w:highlight w:val="none"/>
                <w:lang w:val="en-US" w:eastAsia="zh-CN"/>
              </w:rPr>
            </w:pPr>
            <w:r>
              <w:rPr>
                <w:rFonts w:hint="eastAsia" w:ascii="仿宋" w:hAnsi="仿宋" w:eastAsia="仿宋" w:cs="仿宋"/>
                <w:b w:val="0"/>
                <w:bCs w:val="0"/>
                <w:color w:val="000000"/>
                <w:szCs w:val="21"/>
                <w:highlight w:val="none"/>
                <w:lang w:val="en-US" w:eastAsia="zh-CN"/>
              </w:rPr>
              <w:t>1.签订合同后，采购人须向供应商指定账户支付3万元的保证金。合同结束后，供应商应当自医院结清款项之日起15日内，将3万元保证金退还医院。</w:t>
            </w:r>
          </w:p>
          <w:p w14:paraId="3B4EE5C3">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val="0"/>
                <w:bCs w:val="0"/>
                <w:color w:val="000000"/>
                <w:szCs w:val="21"/>
                <w:highlight w:val="none"/>
                <w:lang w:val="en-US" w:eastAsia="zh-CN"/>
              </w:rPr>
            </w:pPr>
            <w:r>
              <w:rPr>
                <w:rFonts w:hint="eastAsia" w:ascii="仿宋" w:hAnsi="仿宋" w:eastAsia="仿宋" w:cs="仿宋"/>
                <w:b w:val="0"/>
                <w:bCs w:val="0"/>
                <w:color w:val="000000"/>
                <w:szCs w:val="21"/>
                <w:highlight w:val="none"/>
                <w:lang w:val="en-US" w:eastAsia="zh-CN"/>
              </w:rPr>
              <w:t>2.转账充值。医院公务车辆到供应商实行记账加油方式，每月结算一次，定点加油服务结算金额是按医院公务车辆上月实际发生的加油量进行结算支付。供应商负责提供医院上月实际发生的油料情况明细表（即：每台车辆的加油明细及汇总金额），经院方审核确认后，供应商根据医院上月油款情况开具正规发票。院方在收到供应商的正规发票后30日内，以转账充值形式付清结算周期所发生的油款。</w:t>
            </w:r>
          </w:p>
          <w:p w14:paraId="79CC9AEA">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val="0"/>
                <w:bCs w:val="0"/>
                <w:color w:val="000000"/>
                <w:szCs w:val="21"/>
                <w:highlight w:val="none"/>
                <w:lang w:val="en-US" w:eastAsia="zh-CN"/>
              </w:rPr>
            </w:pPr>
            <w:r>
              <w:rPr>
                <w:rFonts w:hint="eastAsia" w:ascii="仿宋" w:hAnsi="仿宋" w:eastAsia="仿宋" w:cs="仿宋"/>
                <w:b w:val="0"/>
                <w:bCs w:val="0"/>
                <w:color w:val="000000"/>
                <w:szCs w:val="21"/>
                <w:highlight w:val="none"/>
                <w:lang w:val="en-US" w:eastAsia="zh-CN"/>
              </w:rPr>
              <w:t>3.若采购人对供应商提供的明细表有异议，应在收到明细表五个工作日内通知供应商，双方共同审核交易明细。</w:t>
            </w:r>
          </w:p>
          <w:p w14:paraId="53F2ECE2">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b/>
                <w:bCs/>
                <w:szCs w:val="21"/>
                <w:highlight w:val="none"/>
              </w:rPr>
              <w:t>（提供</w:t>
            </w:r>
            <w:r>
              <w:rPr>
                <w:rFonts w:hint="eastAsia" w:ascii="仿宋" w:hAnsi="仿宋" w:eastAsia="仿宋" w:cs="仿宋"/>
                <w:b/>
                <w:bCs/>
                <w:szCs w:val="21"/>
                <w:highlight w:val="none"/>
                <w:lang w:val="en-US" w:eastAsia="zh-CN"/>
              </w:rPr>
              <w:t>承诺函</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1A81E48B">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60C84777">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r w14:paraId="6D15EF55">
        <w:tblPrEx>
          <w:tblCellMar>
            <w:top w:w="0" w:type="dxa"/>
            <w:left w:w="108" w:type="dxa"/>
            <w:bottom w:w="0" w:type="dxa"/>
            <w:right w:w="108" w:type="dxa"/>
          </w:tblCellMar>
        </w:tblPrEx>
        <w:trPr>
          <w:trHeight w:val="460" w:hRule="atLeast"/>
        </w:trPr>
        <w:tc>
          <w:tcPr>
            <w:tcW w:w="611" w:type="dxa"/>
            <w:tcBorders>
              <w:left w:val="single" w:color="auto" w:sz="4" w:space="0"/>
              <w:bottom w:val="single" w:color="auto" w:sz="4" w:space="0"/>
              <w:right w:val="single" w:color="auto" w:sz="4" w:space="0"/>
            </w:tcBorders>
            <w:shd w:val="clear" w:color="auto" w:fill="auto"/>
            <w:noWrap/>
            <w:vAlign w:val="center"/>
          </w:tcPr>
          <w:p w14:paraId="4624DCF5">
            <w:pPr>
              <w:keepNext w:val="0"/>
              <w:keepLines w:val="0"/>
              <w:widowControl/>
              <w:suppressLineNumbers w:val="0"/>
              <w:spacing w:before="0" w:beforeAutospacing="0" w:after="0" w:afterAutospacing="0"/>
              <w:ind w:left="0" w:right="0"/>
              <w:jc w:val="center"/>
              <w:rPr>
                <w:rFonts w:hint="eastAsia" w:ascii="仿宋" w:hAnsi="仿宋" w:eastAsia="仿宋" w:cs="仿宋"/>
                <w:b/>
                <w:bCs/>
                <w:kern w:val="0"/>
                <w:sz w:val="24"/>
                <w:highlight w:val="none"/>
              </w:rPr>
            </w:pPr>
          </w:p>
        </w:tc>
        <w:tc>
          <w:tcPr>
            <w:tcW w:w="7157" w:type="dxa"/>
            <w:tcBorders>
              <w:top w:val="single" w:color="auto" w:sz="4" w:space="0"/>
              <w:left w:val="nil"/>
              <w:bottom w:val="single" w:color="auto" w:sz="4" w:space="0"/>
              <w:right w:val="single" w:color="auto" w:sz="4" w:space="0"/>
            </w:tcBorders>
            <w:shd w:val="clear" w:color="auto" w:fill="auto"/>
            <w:vAlign w:val="center"/>
          </w:tcPr>
          <w:p w14:paraId="3D88EBC2">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val="0"/>
                <w:bCs w:val="0"/>
                <w:szCs w:val="21"/>
                <w:highlight w:val="none"/>
              </w:rPr>
            </w:pPr>
            <w:r>
              <w:rPr>
                <w:rFonts w:hint="eastAsia" w:ascii="仿宋" w:hAnsi="仿宋" w:eastAsia="仿宋" w:cs="仿宋"/>
                <w:b w:val="0"/>
                <w:bCs w:val="0"/>
                <w:szCs w:val="21"/>
                <w:highlight w:val="none"/>
              </w:rPr>
              <w:t>★对于响应包组1的供应商，要求至少能供应95#汽油；响应包组2或包组3的供应商，要求至少能供应0#柴油国Ⅵ、95#汽油。</w:t>
            </w:r>
          </w:p>
          <w:p w14:paraId="73BD8A71">
            <w:pPr>
              <w:keepNext w:val="0"/>
              <w:keepLines w:val="0"/>
              <w:suppressLineNumbers w:val="0"/>
              <w:spacing w:before="0" w:beforeAutospacing="0" w:after="0" w:afterAutospacing="0" w:line="240" w:lineRule="auto"/>
              <w:ind w:left="0" w:leftChars="0" w:right="0" w:rightChars="0"/>
              <w:jc w:val="left"/>
              <w:rPr>
                <w:rFonts w:hint="eastAsia" w:ascii="仿宋" w:hAnsi="仿宋" w:eastAsia="仿宋" w:cs="仿宋"/>
                <w:b/>
                <w:bCs/>
                <w:szCs w:val="21"/>
                <w:highlight w:val="none"/>
              </w:rPr>
            </w:pPr>
            <w:r>
              <w:rPr>
                <w:rFonts w:hint="eastAsia" w:ascii="仿宋" w:hAnsi="仿宋" w:eastAsia="仿宋" w:cs="仿宋"/>
                <w:b/>
                <w:bCs/>
                <w:sz w:val="21"/>
                <w:szCs w:val="18"/>
                <w:highlight w:val="none"/>
              </w:rPr>
              <w:t>（提供</w:t>
            </w:r>
            <w:r>
              <w:rPr>
                <w:rFonts w:hint="eastAsia" w:ascii="仿宋" w:hAnsi="仿宋" w:eastAsia="仿宋" w:cs="仿宋"/>
                <w:b/>
                <w:bCs/>
                <w:sz w:val="21"/>
                <w:szCs w:val="18"/>
                <w:highlight w:val="none"/>
                <w:lang w:val="en-US" w:eastAsia="zh-CN"/>
              </w:rPr>
              <w:t>对应响应包组的承诺函</w:t>
            </w:r>
            <w:r>
              <w:rPr>
                <w:rFonts w:hint="eastAsia" w:ascii="仿宋" w:hAnsi="仿宋" w:eastAsia="仿宋" w:cs="仿宋"/>
                <w:b/>
                <w:bCs/>
                <w:color w:val="000000"/>
                <w:sz w:val="21"/>
                <w:szCs w:val="18"/>
                <w:highlight w:val="none"/>
                <w:lang w:val="en-US" w:eastAsia="zh-CN"/>
              </w:rPr>
              <w:t>加盖公章，否则视为无效响应</w:t>
            </w:r>
            <w:r>
              <w:rPr>
                <w:rFonts w:hint="eastAsia" w:ascii="仿宋" w:hAnsi="仿宋" w:eastAsia="仿宋" w:cs="仿宋"/>
                <w:b w:val="0"/>
                <w:bCs w:val="0"/>
                <w:sz w:val="21"/>
                <w:szCs w:val="18"/>
                <w:highlight w:val="none"/>
              </w:rPr>
              <w:t>）</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6BB20F96">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c>
          <w:tcPr>
            <w:tcW w:w="1340" w:type="dxa"/>
            <w:tcBorders>
              <w:top w:val="single" w:color="auto" w:sz="4" w:space="0"/>
              <w:left w:val="nil"/>
              <w:bottom w:val="single" w:color="auto" w:sz="4" w:space="0"/>
              <w:right w:val="single" w:color="auto" w:sz="4" w:space="0"/>
            </w:tcBorders>
            <w:shd w:val="clear" w:color="auto" w:fill="auto"/>
            <w:noWrap/>
            <w:vAlign w:val="center"/>
          </w:tcPr>
          <w:p w14:paraId="21FC1921">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highlight w:val="none"/>
              </w:rPr>
            </w:pPr>
          </w:p>
        </w:tc>
      </w:tr>
    </w:tbl>
    <w:p w14:paraId="291E308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495E88D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val="en-US" w:eastAsia="zh-CN"/>
        </w:rPr>
        <w:t>1、</w:t>
      </w:r>
      <w:r>
        <w:rPr>
          <w:rFonts w:hint="eastAsia" w:ascii="仿宋" w:hAnsi="仿宋" w:eastAsia="仿宋" w:cs="仿宋"/>
          <w:sz w:val="21"/>
          <w:szCs w:val="21"/>
          <w:highlight w:val="none"/>
          <w:lang w:val="en-US" w:eastAsia="zh-CN"/>
        </w:rPr>
        <w:t>供应商必须全部响应上述要求，才可进入价格比较</w:t>
      </w:r>
      <w:r>
        <w:rPr>
          <w:rFonts w:hint="eastAsia" w:ascii="仿宋" w:hAnsi="仿宋" w:eastAsia="仿宋" w:cs="仿宋"/>
          <w:sz w:val="21"/>
          <w:szCs w:val="21"/>
          <w:highlight w:val="none"/>
        </w:rPr>
        <w:t>。</w:t>
      </w:r>
    </w:p>
    <w:p w14:paraId="2419CA34">
      <w:pPr>
        <w:numPr>
          <w:ilvl w:val="0"/>
          <w:numId w:val="0"/>
        </w:numPr>
        <w:shd w:val="clear" w:color="auto" w:fill="FFFFFF"/>
        <w:ind w:leftChars="-95" w:right="-395" w:rightChars="-188" w:firstLine="422" w:firstLineChars="20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2、承诺以上响应情况属实，如有虚假响应，同意本项目一票否决，并列入采购人失信供应商。</w:t>
      </w:r>
    </w:p>
    <w:p w14:paraId="7A19DED6">
      <w:pPr>
        <w:pStyle w:val="2"/>
        <w:ind w:firstLine="210" w:firstLineChars="1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3、请按照“★”条款响应审查表内的</w:t>
      </w:r>
      <w:r>
        <w:rPr>
          <w:rFonts w:hint="eastAsia" w:ascii="仿宋" w:hAnsi="仿宋" w:eastAsia="仿宋" w:cs="仿宋"/>
          <w:sz w:val="21"/>
          <w:szCs w:val="21"/>
          <w:highlight w:val="none"/>
          <w:lang w:val="en-US" w:eastAsia="zh-CN"/>
        </w:rPr>
        <w:t>要求提供相应的证明文件，并加盖公章，否则视为无效响应。</w:t>
      </w:r>
    </w:p>
    <w:p w14:paraId="2AD5C55A">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7C1C744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1565AA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EF8300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121DEE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ED5C7D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B065B7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7B447EC">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1CAF0A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A85AE3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0C9328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0AE1123">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19"/>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0447D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AF0E8E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9FCD6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4DDF2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F339C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B5781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953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4D0D894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7BEDDFF4">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1C978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D76E51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22BDB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19CE26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B898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558959CA">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9426DE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719760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010E33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D6F549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2C7041C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F030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62C8A8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5C24D65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3B9F18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1F979C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27A671F6">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71005BB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10DE8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8A9FDB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5C4BAE2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29C36D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1E7156B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F11D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177870F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4E487A1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FF0415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285676D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941ABC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344042B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341D2E7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D8B1FF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529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04DA80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727AC2A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3674890">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3518A3F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737650FA">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8115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2B191E9">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0D6969C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55523E4E">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3CF945F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7D615D0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3F24F7EB">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A22D06E">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10757A56">
      <w:pPr>
        <w:pStyle w:val="24"/>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14A29D15">
      <w:pPr>
        <w:pStyle w:val="26"/>
        <w:jc w:val="center"/>
        <w:rPr>
          <w:rFonts w:hint="eastAsia" w:ascii="宋体" w:hAnsi="宋体" w:eastAsia="宋体" w:cs="宋体"/>
          <w:b/>
          <w:bCs w:val="0"/>
          <w:sz w:val="32"/>
          <w:szCs w:val="32"/>
          <w:highlight w:val="none"/>
          <w:lang w:val="en-US" w:eastAsia="zh-CN"/>
        </w:rPr>
      </w:pPr>
    </w:p>
    <w:p w14:paraId="4A9C9B26">
      <w:pPr>
        <w:pStyle w:val="26"/>
        <w:jc w:val="center"/>
        <w:rPr>
          <w:rFonts w:hint="eastAsia" w:ascii="宋体" w:hAnsi="宋体" w:eastAsia="宋体" w:cs="宋体"/>
          <w:b/>
          <w:bCs w:val="0"/>
          <w:sz w:val="32"/>
          <w:szCs w:val="32"/>
          <w:highlight w:val="none"/>
          <w:lang w:val="en-US" w:eastAsia="zh-CN"/>
        </w:rPr>
      </w:pPr>
    </w:p>
    <w:p w14:paraId="29149B2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A1237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055177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1B4A5E7">
      <w:pPr>
        <w:pStyle w:val="26"/>
        <w:rPr>
          <w:rFonts w:hint="eastAsia" w:ascii="宋体" w:hAnsi="宋体" w:eastAsia="宋体" w:cs="宋体"/>
          <w:b/>
          <w:bCs w:val="0"/>
          <w:sz w:val="32"/>
          <w:szCs w:val="32"/>
          <w:highlight w:val="none"/>
          <w:lang w:val="en-US" w:eastAsia="zh-CN"/>
        </w:rPr>
      </w:pPr>
    </w:p>
    <w:p w14:paraId="07282C36">
      <w:pPr>
        <w:pStyle w:val="26"/>
        <w:jc w:val="center"/>
        <w:rPr>
          <w:rFonts w:hint="eastAsia" w:ascii="宋体" w:hAnsi="宋体" w:eastAsia="宋体" w:cs="宋体"/>
          <w:b/>
          <w:bCs w:val="0"/>
          <w:sz w:val="32"/>
          <w:szCs w:val="32"/>
          <w:highlight w:val="none"/>
          <w:lang w:val="en-US" w:eastAsia="zh-CN"/>
        </w:rPr>
      </w:pPr>
    </w:p>
    <w:p w14:paraId="16E0BF65">
      <w:pPr>
        <w:pStyle w:val="26"/>
        <w:jc w:val="center"/>
        <w:rPr>
          <w:rFonts w:hint="eastAsia" w:ascii="宋体" w:hAnsi="宋体" w:eastAsia="宋体" w:cs="宋体"/>
          <w:b/>
          <w:bCs w:val="0"/>
          <w:sz w:val="32"/>
          <w:szCs w:val="32"/>
          <w:highlight w:val="none"/>
          <w:lang w:val="en-US" w:eastAsia="zh-CN"/>
        </w:rPr>
      </w:pPr>
    </w:p>
    <w:p w14:paraId="2B460651">
      <w:pPr>
        <w:pStyle w:val="26"/>
        <w:jc w:val="center"/>
        <w:rPr>
          <w:rFonts w:hint="eastAsia" w:ascii="宋体" w:hAnsi="宋体" w:eastAsia="宋体" w:cs="宋体"/>
          <w:b/>
          <w:bCs w:val="0"/>
          <w:sz w:val="32"/>
          <w:szCs w:val="32"/>
          <w:highlight w:val="none"/>
          <w:lang w:val="en-US" w:eastAsia="zh-CN"/>
        </w:rPr>
      </w:pPr>
    </w:p>
    <w:p w14:paraId="06BE47BA">
      <w:pPr>
        <w:pStyle w:val="26"/>
        <w:jc w:val="center"/>
        <w:rPr>
          <w:rFonts w:hint="eastAsia" w:ascii="宋体" w:hAnsi="宋体" w:eastAsia="宋体" w:cs="宋体"/>
          <w:b/>
          <w:bCs w:val="0"/>
          <w:sz w:val="32"/>
          <w:szCs w:val="32"/>
          <w:highlight w:val="none"/>
          <w:lang w:val="en-US" w:eastAsia="zh-CN"/>
        </w:rPr>
      </w:pPr>
    </w:p>
    <w:p w14:paraId="75F47D9A">
      <w:pPr>
        <w:pStyle w:val="26"/>
        <w:jc w:val="center"/>
        <w:rPr>
          <w:rFonts w:hint="eastAsia" w:ascii="宋体" w:hAnsi="宋体" w:eastAsia="宋体" w:cs="宋体"/>
          <w:b/>
          <w:bCs w:val="0"/>
          <w:sz w:val="32"/>
          <w:szCs w:val="32"/>
          <w:highlight w:val="none"/>
          <w:lang w:val="en-US" w:eastAsia="zh-CN"/>
        </w:rPr>
      </w:pPr>
    </w:p>
    <w:p w14:paraId="795A1C0B">
      <w:pPr>
        <w:pStyle w:val="26"/>
        <w:ind w:left="0" w:leftChars="0" w:firstLine="0" w:firstLineChars="0"/>
        <w:jc w:val="both"/>
        <w:rPr>
          <w:rFonts w:hint="eastAsia" w:ascii="宋体" w:hAnsi="宋体" w:eastAsia="宋体" w:cs="宋体"/>
          <w:b/>
          <w:bCs w:val="0"/>
          <w:sz w:val="32"/>
          <w:szCs w:val="32"/>
          <w:highlight w:val="none"/>
          <w:lang w:val="en-US" w:eastAsia="zh-CN"/>
        </w:rPr>
      </w:pPr>
    </w:p>
    <w:p w14:paraId="39766B26">
      <w:pPr>
        <w:pStyle w:val="26"/>
        <w:ind w:left="0" w:leftChars="0" w:firstLine="0" w:firstLineChars="0"/>
        <w:jc w:val="both"/>
        <w:rPr>
          <w:rFonts w:hint="eastAsia" w:ascii="宋体" w:hAnsi="宋体" w:eastAsia="宋体" w:cs="宋体"/>
          <w:b/>
          <w:bCs w:val="0"/>
          <w:sz w:val="32"/>
          <w:szCs w:val="32"/>
          <w:highlight w:val="none"/>
          <w:lang w:val="en-US" w:eastAsia="zh-CN"/>
        </w:rPr>
      </w:pPr>
    </w:p>
    <w:p w14:paraId="5E9F7346">
      <w:pPr>
        <w:shd w:val="clear" w:color="auto" w:fill="FFFFFF"/>
        <w:jc w:val="center"/>
        <w:rPr>
          <w:rFonts w:hint="eastAsia" w:ascii="仿宋" w:hAnsi="仿宋" w:eastAsia="仿宋" w:cs="仿宋"/>
          <w:b/>
          <w:bCs/>
          <w:sz w:val="32"/>
          <w:szCs w:val="32"/>
          <w:highlight w:val="none"/>
          <w:lang w:val="en-US" w:eastAsia="zh-CN"/>
        </w:rPr>
      </w:pPr>
    </w:p>
    <w:p w14:paraId="0AB5512C">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19"/>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75E930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BD189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131DC7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C51B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D366EF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D29AE3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D55E05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7F14EA8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9E56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F3EDE3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2CD1BCA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1C6BB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38755DE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DA1B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3DA8E7E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1ECC4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4AF02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4A1298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58C650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6C93CF2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76976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7B551DD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945D5C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194BFD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086E7F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60E18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C7FBFD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8B21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38E44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BD3A0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C7F93F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F27C7A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F85651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925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6848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360AEA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FDC873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77ED19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434E64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46F320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008C26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CE43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F7981F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4CE159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0C04D0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4F166A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57D3BD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24E787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01F31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1727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696206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B9B2C6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D7552F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8161CF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CBABD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A9B609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DE178B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221B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F4EEA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385AF8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8C277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488DDB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702698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701822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B5C501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5E1BC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234C4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7089F8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075224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7F51B3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C1CFE4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F6EE38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CF732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3FD28306">
      <w:pPr>
        <w:shd w:val="clear" w:color="auto" w:fill="FFFFFF"/>
        <w:jc w:val="left"/>
        <w:rPr>
          <w:rFonts w:hint="eastAsia" w:ascii="仿宋" w:hAnsi="仿宋" w:eastAsia="仿宋" w:cs="仿宋"/>
          <w:szCs w:val="21"/>
          <w:highlight w:val="none"/>
        </w:rPr>
      </w:pPr>
    </w:p>
    <w:p w14:paraId="29120A76">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5DECC13">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02A35E89">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171A520E">
      <w:pPr>
        <w:pStyle w:val="26"/>
        <w:rPr>
          <w:rFonts w:hint="eastAsia" w:ascii="仿宋" w:hAnsi="仿宋" w:eastAsia="仿宋" w:cs="仿宋"/>
          <w:highlight w:val="none"/>
        </w:rPr>
      </w:pPr>
    </w:p>
    <w:p w14:paraId="56B9A8C3">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15B9E171">
      <w:pPr>
        <w:pStyle w:val="26"/>
        <w:jc w:val="center"/>
        <w:rPr>
          <w:rFonts w:hint="eastAsia" w:ascii="宋体" w:hAnsi="宋体" w:eastAsia="宋体" w:cs="宋体"/>
          <w:b/>
          <w:bCs w:val="0"/>
          <w:sz w:val="32"/>
          <w:szCs w:val="32"/>
          <w:highlight w:val="none"/>
          <w:lang w:val="en-US" w:eastAsia="zh-CN"/>
        </w:rPr>
      </w:pPr>
    </w:p>
    <w:p w14:paraId="149961E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CCA902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47523B6">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20CBD6D">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098C9EDC">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51D082A6">
      <w:pPr>
        <w:pStyle w:val="26"/>
        <w:numPr>
          <w:ilvl w:val="0"/>
          <w:numId w:val="0"/>
        </w:numPr>
        <w:ind w:leftChars="200"/>
        <w:jc w:val="center"/>
        <w:rPr>
          <w:rFonts w:hint="eastAsia" w:ascii="仿宋" w:hAnsi="仿宋" w:eastAsia="仿宋" w:cs="仿宋"/>
          <w:b/>
          <w:bCs w:val="0"/>
          <w:sz w:val="32"/>
          <w:szCs w:val="32"/>
          <w:highlight w:val="none"/>
          <w:lang w:val="en-US" w:eastAsia="zh-CN"/>
        </w:rPr>
      </w:pPr>
    </w:p>
    <w:p w14:paraId="0D079343">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val="en-US" w:eastAsia="zh-CN"/>
        </w:rPr>
        <w:t>证明文件</w:t>
      </w:r>
      <w:r>
        <w:rPr>
          <w:rFonts w:hint="eastAsia" w:ascii="仿宋" w:hAnsi="仿宋" w:eastAsia="仿宋" w:cs="仿宋"/>
          <w:b/>
          <w:bCs w:val="0"/>
          <w:sz w:val="24"/>
          <w:szCs w:val="24"/>
          <w:highlight w:val="none"/>
          <w:lang w:val="en-US" w:eastAsia="zh-CN"/>
        </w:rPr>
        <w:t>（如有）</w:t>
      </w:r>
    </w:p>
    <w:p w14:paraId="13563A7B">
      <w:pPr>
        <w:pStyle w:val="26"/>
        <w:ind w:left="0" w:leftChars="0" w:firstLine="0" w:firstLineChars="0"/>
        <w:jc w:val="both"/>
        <w:rPr>
          <w:rFonts w:hint="default"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（1）“★”条款响应承诺函</w:t>
      </w:r>
    </w:p>
    <w:p w14:paraId="49DE8D00">
      <w:pPr>
        <w:pStyle w:val="2"/>
        <w:spacing w:line="364" w:lineRule="auto"/>
        <w:ind w:right="706" w:rightChars="0" w:firstLine="720" w:firstLineChars="300"/>
        <w:rPr>
          <w:rFonts w:hint="eastAsia" w:ascii="仿宋" w:hAnsi="仿宋" w:eastAsia="仿宋" w:cs="仿宋"/>
          <w:sz w:val="24"/>
          <w:szCs w:val="36"/>
          <w:lang w:val="en-US" w:eastAsia="zh-CN"/>
        </w:rPr>
      </w:pPr>
      <w:r>
        <w:rPr>
          <w:rFonts w:hint="eastAsia" w:ascii="仿宋" w:hAnsi="仿宋" w:eastAsia="仿宋" w:cs="仿宋"/>
        </w:rPr>
        <w:t>采购项目名称：中山大学孙逸仙纪念医院公务车辆定点加油服务项目</w:t>
      </w:r>
    </w:p>
    <w:p w14:paraId="208AAB4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致：中山大学</w:t>
      </w:r>
      <w:r>
        <w:rPr>
          <w:rFonts w:hint="eastAsia" w:ascii="仿宋" w:hAnsi="仿宋" w:eastAsia="仿宋" w:cs="仿宋"/>
          <w:color w:val="auto"/>
          <w:sz w:val="24"/>
          <w:szCs w:val="24"/>
          <w:highlight w:val="none"/>
          <w:lang w:val="en-US" w:eastAsia="zh-CN"/>
        </w:rPr>
        <w:t>孙逸仙纪念</w:t>
      </w:r>
      <w:r>
        <w:rPr>
          <w:rFonts w:hint="eastAsia" w:ascii="仿宋" w:hAnsi="仿宋" w:eastAsia="仿宋" w:cs="仿宋"/>
          <w:color w:val="auto"/>
          <w:sz w:val="24"/>
          <w:szCs w:val="24"/>
          <w:highlight w:val="none"/>
        </w:rPr>
        <w:t>医院</w:t>
      </w:r>
    </w:p>
    <w:p w14:paraId="2500BD80">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依据中山大学孙逸仙纪念医院公务车辆定点加油服务项目院内谈判文件中“★”条款要求，在此，我方承诺如下：</w:t>
      </w:r>
    </w:p>
    <w:p w14:paraId="1E500805">
      <w:pPr>
        <w:pStyle w:val="26"/>
        <w:ind w:left="0" w:leftChars="0" w:firstLine="0" w:firstLineChars="0"/>
        <w:rPr>
          <w:rFonts w:hint="default" w:ascii="仿宋" w:hAnsi="仿宋" w:eastAsia="仿宋" w:cs="仿宋"/>
          <w:color w:val="auto"/>
          <w:szCs w:val="21"/>
          <w:u w:val="single"/>
          <w:lang w:val="en-US" w:eastAsia="zh-CN"/>
        </w:rPr>
      </w:pPr>
      <w:r>
        <w:rPr>
          <w:rFonts w:hint="eastAsia" w:ascii="仿宋" w:hAnsi="仿宋" w:eastAsia="仿宋" w:cs="仿宋"/>
          <w:color w:val="auto"/>
          <w:szCs w:val="21"/>
          <w:u w:val="none"/>
          <w:lang w:val="en-US" w:eastAsia="zh-CN"/>
        </w:rPr>
        <w:t xml:space="preserve">     </w:t>
      </w:r>
      <w:r>
        <w:rPr>
          <w:rFonts w:hint="eastAsia" w:ascii="仿宋" w:hAnsi="仿宋" w:eastAsia="仿宋" w:cs="仿宋"/>
          <w:color w:val="auto"/>
          <w:szCs w:val="21"/>
          <w:u w:val="single"/>
          <w:lang w:val="en-US" w:eastAsia="zh-CN"/>
        </w:rPr>
        <w:t xml:space="preserve">                                                                                            </w:t>
      </w:r>
    </w:p>
    <w:p w14:paraId="43241C66">
      <w:pPr>
        <w:pStyle w:val="26"/>
        <w:ind w:left="0" w:leftChars="0" w:firstLine="0" w:firstLineChars="0"/>
        <w:rPr>
          <w:rFonts w:hint="default" w:ascii="仿宋" w:hAnsi="仿宋" w:eastAsia="仿宋" w:cs="仿宋"/>
          <w:color w:val="auto"/>
          <w:szCs w:val="21"/>
          <w:u w:val="single"/>
          <w:lang w:val="en-US" w:eastAsia="zh-CN"/>
        </w:rPr>
      </w:pPr>
      <w:r>
        <w:rPr>
          <w:rFonts w:hint="eastAsia" w:ascii="仿宋" w:hAnsi="仿宋" w:eastAsia="仿宋" w:cs="仿宋"/>
          <w:color w:val="auto"/>
          <w:szCs w:val="21"/>
          <w:u w:val="single"/>
          <w:lang w:val="en-US" w:eastAsia="zh-CN"/>
        </w:rPr>
        <w:t xml:space="preserve">                                                                                                 </w:t>
      </w:r>
    </w:p>
    <w:p w14:paraId="57E93148">
      <w:pPr>
        <w:pStyle w:val="26"/>
        <w:ind w:left="0" w:leftChars="0" w:firstLine="0" w:firstLineChars="0"/>
        <w:rPr>
          <w:rFonts w:hint="eastAsia" w:ascii="仿宋" w:hAnsi="仿宋" w:eastAsia="仿宋" w:cs="仿宋"/>
          <w:color w:val="auto"/>
          <w:szCs w:val="21"/>
          <w:lang w:val="en-GB"/>
        </w:rPr>
      </w:pPr>
    </w:p>
    <w:p w14:paraId="6ED22FD7">
      <w:pPr>
        <w:pStyle w:val="26"/>
        <w:ind w:left="0" w:leftChars="0" w:firstLine="0" w:firstLineChars="0"/>
        <w:rPr>
          <w:rFonts w:hint="eastAsia" w:ascii="仿宋" w:hAnsi="仿宋" w:eastAsia="仿宋" w:cs="仿宋"/>
          <w:color w:val="auto"/>
          <w:szCs w:val="21"/>
          <w:lang w:val="en-GB"/>
        </w:rPr>
      </w:pPr>
    </w:p>
    <w:p w14:paraId="3B03DBBF">
      <w:pPr>
        <w:pStyle w:val="26"/>
        <w:ind w:left="0" w:leftChars="0" w:firstLine="0" w:firstLineChars="0"/>
        <w:rPr>
          <w:rFonts w:hint="eastAsia" w:ascii="仿宋" w:hAnsi="仿宋" w:eastAsia="仿宋" w:cs="仿宋"/>
          <w:color w:val="auto"/>
          <w:szCs w:val="21"/>
          <w:lang w:val="en-GB"/>
        </w:rPr>
      </w:pPr>
    </w:p>
    <w:p w14:paraId="239BDCB5">
      <w:pPr>
        <w:pStyle w:val="26"/>
        <w:ind w:left="0" w:leftChars="0" w:firstLine="0" w:firstLineChars="0"/>
        <w:rPr>
          <w:rFonts w:hint="eastAsia" w:ascii="仿宋" w:hAnsi="仿宋" w:eastAsia="仿宋" w:cs="仿宋"/>
          <w:color w:val="auto"/>
          <w:szCs w:val="21"/>
          <w:lang w:val="en-GB"/>
        </w:rPr>
      </w:pPr>
    </w:p>
    <w:p w14:paraId="79D0DAE6">
      <w:pPr>
        <w:pStyle w:val="26"/>
        <w:ind w:left="0" w:leftChars="0" w:firstLine="0" w:firstLineChars="0"/>
        <w:rPr>
          <w:rFonts w:hint="default" w:ascii="仿宋" w:hAnsi="仿宋" w:eastAsia="仿宋" w:cs="仿宋"/>
          <w:sz w:val="21"/>
          <w:szCs w:val="28"/>
          <w:lang w:val="en-US" w:eastAsia="zh-CN"/>
        </w:rPr>
      </w:pPr>
      <w:r>
        <w:rPr>
          <w:rFonts w:hint="eastAsia" w:ascii="仿宋" w:hAnsi="仿宋" w:eastAsia="仿宋" w:cs="仿宋"/>
          <w:color w:val="auto"/>
          <w:sz w:val="21"/>
          <w:szCs w:val="22"/>
          <w:lang w:val="en-GB"/>
        </w:rPr>
        <w:t>注：1.“★”条款响应</w:t>
      </w:r>
      <w:r>
        <w:rPr>
          <w:rFonts w:hint="eastAsia" w:ascii="仿宋" w:hAnsi="仿宋" w:eastAsia="仿宋" w:cs="仿宋"/>
          <w:color w:val="auto"/>
          <w:sz w:val="21"/>
          <w:szCs w:val="22"/>
          <w:lang w:val="en-US" w:eastAsia="zh-CN"/>
        </w:rPr>
        <w:t>承诺函须按照“★”条款内容一一响应，具体格式内容自拟，内容可合并在同一个承诺函内，也可分开出具不同承诺函。</w:t>
      </w:r>
    </w:p>
    <w:p w14:paraId="550F2471">
      <w:pPr>
        <w:numPr>
          <w:ilvl w:val="0"/>
          <w:numId w:val="0"/>
        </w:numPr>
        <w:shd w:val="clear" w:color="auto" w:fill="FFFFFF"/>
        <w:ind w:leftChars="-95" w:right="-395" w:rightChars="-188" w:firstLine="422" w:firstLineChars="20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2.承诺以上响应情况属实，如有虚假响应，同意本项目一票否决，并列入采购人失信供应商。</w:t>
      </w:r>
    </w:p>
    <w:p w14:paraId="6AE9C0E2">
      <w:pPr>
        <w:pStyle w:val="26"/>
        <w:ind w:left="0" w:leftChars="0" w:firstLine="0" w:firstLineChars="0"/>
        <w:rPr>
          <w:rFonts w:hint="eastAsia" w:ascii="仿宋" w:hAnsi="仿宋" w:eastAsia="仿宋" w:cs="仿宋"/>
        </w:rPr>
      </w:pPr>
    </w:p>
    <w:p w14:paraId="76E9E256">
      <w:pPr>
        <w:pStyle w:val="26"/>
        <w:ind w:left="0" w:leftChars="0" w:firstLine="0" w:firstLineChars="0"/>
        <w:rPr>
          <w:rFonts w:hint="eastAsia" w:ascii="仿宋" w:hAnsi="仿宋" w:eastAsia="仿宋" w:cs="仿宋"/>
        </w:rPr>
      </w:pPr>
    </w:p>
    <w:p w14:paraId="35E16AC9">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人名称（盖公章）：</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54621A59">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u w:val="single"/>
        </w:rPr>
      </w:pPr>
      <w:r>
        <w:rPr>
          <w:rFonts w:hint="eastAsia" w:ascii="仿宋" w:hAnsi="仿宋" w:eastAsia="仿宋" w:cs="仿宋"/>
          <w:color w:val="auto"/>
          <w:sz w:val="24"/>
          <w:lang w:eastAsia="zh-CN"/>
        </w:rPr>
        <w:t>响应</w:t>
      </w:r>
      <w:r>
        <w:rPr>
          <w:rFonts w:hint="eastAsia" w:ascii="仿宋" w:hAnsi="仿宋" w:eastAsia="仿宋" w:cs="仿宋"/>
          <w:color w:val="auto"/>
          <w:sz w:val="24"/>
        </w:rPr>
        <w:t>人法定代表人或</w:t>
      </w:r>
      <w:r>
        <w:rPr>
          <w:rFonts w:hint="eastAsia" w:ascii="仿宋" w:hAnsi="仿宋" w:eastAsia="仿宋" w:cs="仿宋"/>
          <w:color w:val="auto"/>
          <w:sz w:val="24"/>
          <w:lang w:val="en-US" w:eastAsia="zh-CN"/>
        </w:rPr>
        <w:t>法定</w:t>
      </w:r>
      <w:r>
        <w:rPr>
          <w:rFonts w:hint="eastAsia" w:ascii="仿宋" w:hAnsi="仿宋" w:eastAsia="仿宋" w:cs="仿宋"/>
          <w:color w:val="auto"/>
          <w:sz w:val="24"/>
        </w:rPr>
        <w:t>授权代表（签字）：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2652F151">
      <w:pPr>
        <w:pageBreakBefore w:val="0"/>
        <w:kinsoku/>
        <w:wordWrap/>
        <w:overflowPunct/>
        <w:topLinePunct w:val="0"/>
        <w:bidi w:val="0"/>
        <w:spacing w:line="360" w:lineRule="auto"/>
        <w:ind w:right="0" w:rightChars="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14:paraId="6FD1AB69">
      <w:pPr>
        <w:pStyle w:val="26"/>
        <w:ind w:left="0" w:leftChars="0" w:firstLine="0" w:firstLineChars="0"/>
        <w:jc w:val="center"/>
        <w:rPr>
          <w:rFonts w:hint="eastAsia" w:ascii="仿宋" w:hAnsi="仿宋" w:eastAsia="仿宋" w:cs="仿宋"/>
          <w:b/>
          <w:bCs w:val="0"/>
          <w:sz w:val="32"/>
          <w:szCs w:val="32"/>
          <w:highlight w:val="none"/>
          <w:lang w:val="en-US" w:eastAsia="zh-CN"/>
        </w:rPr>
      </w:pPr>
    </w:p>
    <w:p w14:paraId="1CC081BB">
      <w:pPr>
        <w:pStyle w:val="26"/>
        <w:ind w:left="0" w:leftChars="0" w:firstLine="0" w:firstLineChars="0"/>
        <w:jc w:val="both"/>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（2）供应商运输车辆配置</w:t>
      </w:r>
    </w:p>
    <w:p w14:paraId="5870EE0F">
      <w:pPr>
        <w:pStyle w:val="26"/>
        <w:rPr>
          <w:rFonts w:hint="eastAsia" w:ascii="仿宋" w:hAnsi="仿宋" w:eastAsia="仿宋" w:cs="仿宋"/>
          <w:color w:val="auto"/>
          <w:szCs w:val="21"/>
          <w:highlight w:val="none"/>
          <w:lang w:val="en-GB"/>
        </w:rPr>
      </w:pPr>
      <w:r>
        <w:rPr>
          <w:rFonts w:hint="eastAsia" w:ascii="仿宋" w:hAnsi="仿宋" w:eastAsia="仿宋" w:cs="仿宋"/>
          <w:b/>
          <w:bCs/>
          <w:sz w:val="22"/>
          <w:szCs w:val="24"/>
          <w:highlight w:val="none"/>
          <w:lang w:val="en-US" w:eastAsia="zh-CN"/>
        </w:rPr>
        <w:t>包组1：</w:t>
      </w:r>
      <w:r>
        <w:rPr>
          <w:rFonts w:hint="eastAsia" w:ascii="仿宋" w:hAnsi="仿宋" w:eastAsia="仿宋" w:cs="仿宋"/>
          <w:b w:val="0"/>
          <w:bCs w:val="0"/>
          <w:szCs w:val="21"/>
          <w:highlight w:val="none"/>
        </w:rPr>
        <w:t>供应商加油站应在距离医院</w:t>
      </w:r>
      <w:r>
        <w:rPr>
          <w:rFonts w:hint="eastAsia" w:ascii="仿宋" w:hAnsi="仿宋" w:eastAsia="仿宋" w:cs="仿宋"/>
          <w:b w:val="0"/>
          <w:bCs w:val="0"/>
          <w:szCs w:val="21"/>
          <w:highlight w:val="none"/>
          <w:lang w:val="en-US" w:eastAsia="zh-CN"/>
        </w:rPr>
        <w:t>北院区5</w:t>
      </w:r>
      <w:r>
        <w:rPr>
          <w:rFonts w:hint="eastAsia" w:ascii="仿宋" w:hAnsi="仿宋" w:eastAsia="仿宋" w:cs="仿宋"/>
          <w:b w:val="0"/>
          <w:bCs w:val="0"/>
          <w:szCs w:val="21"/>
          <w:highlight w:val="none"/>
        </w:rPr>
        <w:t>公里直径范围内，具备给中型客车加油的场地。响应时必须标明加油站详细地址、地图、经营面积、油枪数目、距离中山大学孙逸仙纪念医院</w:t>
      </w:r>
      <w:r>
        <w:rPr>
          <w:rFonts w:hint="eastAsia" w:ascii="仿宋" w:hAnsi="仿宋" w:eastAsia="仿宋" w:cs="仿宋"/>
          <w:b/>
          <w:bCs/>
          <w:szCs w:val="21"/>
          <w:highlight w:val="yellow"/>
        </w:rPr>
        <w:t>北院区</w:t>
      </w:r>
      <w:r>
        <w:rPr>
          <w:rFonts w:hint="eastAsia" w:ascii="仿宋" w:hAnsi="仿宋" w:eastAsia="仿宋" w:cs="仿宋"/>
          <w:b w:val="0"/>
          <w:bCs w:val="0"/>
          <w:szCs w:val="21"/>
          <w:highlight w:val="none"/>
        </w:rPr>
        <w:t>的实际驾车里程。</w:t>
      </w:r>
      <w:r>
        <w:rPr>
          <w:rFonts w:hint="eastAsia" w:ascii="仿宋" w:hAnsi="仿宋" w:eastAsia="仿宋" w:cs="仿宋"/>
          <w:b/>
          <w:bCs/>
          <w:szCs w:val="21"/>
          <w:highlight w:val="none"/>
        </w:rPr>
        <w:t>（提供百度地图实际驾车里程截图</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p w14:paraId="7E016AA6">
      <w:pPr>
        <w:pStyle w:val="26"/>
        <w:ind w:left="0" w:leftChars="0" w:firstLine="0" w:firstLineChars="0"/>
        <w:jc w:val="center"/>
        <w:rPr>
          <w:rFonts w:hint="eastAsia" w:ascii="仿宋" w:hAnsi="仿宋" w:eastAsia="仿宋" w:cs="仿宋"/>
          <w:b/>
          <w:bCs w:val="0"/>
          <w:sz w:val="32"/>
          <w:szCs w:val="32"/>
          <w:highlight w:val="none"/>
          <w:lang w:val="en-US" w:eastAsia="zh-CN"/>
        </w:rPr>
      </w:pPr>
    </w:p>
    <w:p w14:paraId="631DFFE7">
      <w:pPr>
        <w:pStyle w:val="26"/>
        <w:rPr>
          <w:rFonts w:hint="eastAsia" w:ascii="仿宋" w:hAnsi="仿宋" w:eastAsia="仿宋" w:cs="仿宋"/>
          <w:color w:val="auto"/>
          <w:szCs w:val="21"/>
          <w:highlight w:val="none"/>
          <w:lang w:val="en-GB"/>
        </w:rPr>
      </w:pPr>
      <w:r>
        <w:rPr>
          <w:rFonts w:hint="eastAsia" w:ascii="仿宋" w:hAnsi="仿宋" w:eastAsia="仿宋" w:cs="仿宋"/>
          <w:b/>
          <w:bCs w:val="0"/>
          <w:sz w:val="22"/>
          <w:szCs w:val="22"/>
          <w:highlight w:val="none"/>
          <w:lang w:val="en-US" w:eastAsia="zh-CN"/>
        </w:rPr>
        <w:t>包组2：</w:t>
      </w:r>
      <w:r>
        <w:rPr>
          <w:rFonts w:hint="eastAsia" w:ascii="仿宋" w:hAnsi="仿宋" w:eastAsia="仿宋" w:cs="仿宋"/>
          <w:b w:val="0"/>
          <w:bCs w:val="0"/>
          <w:szCs w:val="21"/>
          <w:highlight w:val="none"/>
        </w:rPr>
        <w:t>供应商加油站应在距离医院</w:t>
      </w:r>
      <w:r>
        <w:rPr>
          <w:rFonts w:hint="eastAsia" w:ascii="仿宋" w:hAnsi="仿宋" w:eastAsia="仿宋" w:cs="仿宋"/>
          <w:b w:val="0"/>
          <w:bCs w:val="0"/>
          <w:szCs w:val="21"/>
          <w:highlight w:val="none"/>
          <w:lang w:val="en-US" w:eastAsia="zh-CN"/>
        </w:rPr>
        <w:t>南院区5</w:t>
      </w:r>
      <w:r>
        <w:rPr>
          <w:rFonts w:hint="eastAsia" w:ascii="仿宋" w:hAnsi="仿宋" w:eastAsia="仿宋" w:cs="仿宋"/>
          <w:b w:val="0"/>
          <w:bCs w:val="0"/>
          <w:szCs w:val="21"/>
          <w:highlight w:val="none"/>
        </w:rPr>
        <w:t>公里直径范围内，具备给中型客车加油的场地。响应时必须标明加油站详细地址、地图、经营面积、油枪数目、距离中山大学孙逸仙纪念医院</w:t>
      </w:r>
      <w:r>
        <w:rPr>
          <w:rFonts w:hint="eastAsia" w:ascii="仿宋" w:hAnsi="仿宋" w:eastAsia="仿宋" w:cs="仿宋"/>
          <w:b/>
          <w:bCs/>
          <w:szCs w:val="21"/>
          <w:highlight w:val="yellow"/>
        </w:rPr>
        <w:t>南院区</w:t>
      </w:r>
      <w:r>
        <w:rPr>
          <w:rFonts w:hint="eastAsia" w:ascii="仿宋" w:hAnsi="仿宋" w:eastAsia="仿宋" w:cs="仿宋"/>
          <w:b w:val="0"/>
          <w:bCs w:val="0"/>
          <w:szCs w:val="21"/>
          <w:highlight w:val="none"/>
        </w:rPr>
        <w:t>的实际驾车里程。</w:t>
      </w:r>
      <w:r>
        <w:rPr>
          <w:rFonts w:hint="eastAsia" w:ascii="仿宋" w:hAnsi="仿宋" w:eastAsia="仿宋" w:cs="仿宋"/>
          <w:b/>
          <w:bCs/>
          <w:szCs w:val="21"/>
          <w:highlight w:val="none"/>
        </w:rPr>
        <w:t>（提供百度地图实际驾车里程截图</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p w14:paraId="2BAD4F12">
      <w:pPr>
        <w:pStyle w:val="26"/>
        <w:ind w:left="0" w:leftChars="0" w:firstLine="0" w:firstLineChars="0"/>
        <w:jc w:val="center"/>
        <w:rPr>
          <w:rFonts w:hint="eastAsia" w:ascii="仿宋" w:hAnsi="仿宋" w:eastAsia="仿宋" w:cs="仿宋"/>
          <w:color w:val="auto"/>
          <w:sz w:val="21"/>
          <w:szCs w:val="22"/>
          <w:lang w:val="en-GB"/>
        </w:rPr>
      </w:pPr>
    </w:p>
    <w:p w14:paraId="751D74CE">
      <w:pPr>
        <w:pStyle w:val="26"/>
        <w:rPr>
          <w:rFonts w:hint="eastAsia" w:ascii="仿宋" w:hAnsi="仿宋" w:eastAsia="仿宋" w:cs="仿宋"/>
          <w:color w:val="auto"/>
          <w:szCs w:val="21"/>
          <w:highlight w:val="none"/>
          <w:lang w:val="en-GB"/>
        </w:rPr>
      </w:pPr>
      <w:r>
        <w:rPr>
          <w:rFonts w:hint="eastAsia" w:ascii="仿宋" w:hAnsi="仿宋" w:eastAsia="仿宋" w:cs="仿宋"/>
          <w:b/>
          <w:bCs w:val="0"/>
          <w:sz w:val="22"/>
          <w:szCs w:val="22"/>
          <w:highlight w:val="none"/>
          <w:lang w:val="en-US" w:eastAsia="zh-CN"/>
        </w:rPr>
        <w:t>包组3：</w:t>
      </w:r>
      <w:r>
        <w:rPr>
          <w:rFonts w:hint="eastAsia" w:ascii="仿宋" w:hAnsi="仿宋" w:eastAsia="仿宋" w:cs="仿宋"/>
          <w:b w:val="0"/>
          <w:bCs w:val="0"/>
          <w:szCs w:val="21"/>
          <w:highlight w:val="none"/>
        </w:rPr>
        <w:t>供应商加油站应在距离医院</w:t>
      </w:r>
      <w:r>
        <w:rPr>
          <w:rFonts w:hint="eastAsia" w:ascii="仿宋" w:hAnsi="仿宋" w:eastAsia="仿宋" w:cs="仿宋"/>
          <w:b/>
          <w:bCs/>
          <w:szCs w:val="21"/>
          <w:highlight w:val="none"/>
          <w:lang w:val="en-US" w:eastAsia="zh-CN"/>
        </w:rPr>
        <w:t>花都</w:t>
      </w:r>
      <w:r>
        <w:rPr>
          <w:rFonts w:hint="eastAsia" w:ascii="仿宋" w:hAnsi="仿宋" w:eastAsia="仿宋" w:cs="仿宋"/>
          <w:b/>
          <w:bCs/>
          <w:szCs w:val="21"/>
          <w:highlight w:val="none"/>
        </w:rPr>
        <w:t>院区</w:t>
      </w:r>
      <w:r>
        <w:rPr>
          <w:rFonts w:hint="eastAsia" w:ascii="仿宋" w:hAnsi="仿宋" w:eastAsia="仿宋" w:cs="仿宋"/>
          <w:b w:val="0"/>
          <w:bCs w:val="0"/>
          <w:szCs w:val="21"/>
          <w:highlight w:val="none"/>
          <w:lang w:val="en-US" w:eastAsia="zh-CN"/>
        </w:rPr>
        <w:t>5</w:t>
      </w:r>
      <w:r>
        <w:rPr>
          <w:rFonts w:hint="eastAsia" w:ascii="仿宋" w:hAnsi="仿宋" w:eastAsia="仿宋" w:cs="仿宋"/>
          <w:b w:val="0"/>
          <w:bCs w:val="0"/>
          <w:szCs w:val="21"/>
          <w:highlight w:val="none"/>
        </w:rPr>
        <w:t>公里直径范围内，具备给中型客车加油的场地。响应时必须标明加油站详细地址、地图、经营面积、油枪数目、距离中山大学孙逸仙纪念医院</w:t>
      </w:r>
      <w:r>
        <w:rPr>
          <w:rFonts w:hint="eastAsia" w:ascii="仿宋" w:hAnsi="仿宋" w:eastAsia="仿宋" w:cs="仿宋"/>
          <w:b/>
          <w:bCs/>
          <w:szCs w:val="21"/>
          <w:highlight w:val="yellow"/>
          <w:lang w:val="en-US" w:eastAsia="zh-CN"/>
        </w:rPr>
        <w:t>花都</w:t>
      </w:r>
      <w:r>
        <w:rPr>
          <w:rFonts w:hint="eastAsia" w:ascii="仿宋" w:hAnsi="仿宋" w:eastAsia="仿宋" w:cs="仿宋"/>
          <w:b/>
          <w:bCs/>
          <w:szCs w:val="21"/>
          <w:highlight w:val="yellow"/>
        </w:rPr>
        <w:t>院区</w:t>
      </w:r>
      <w:r>
        <w:rPr>
          <w:rFonts w:hint="eastAsia" w:ascii="仿宋" w:hAnsi="仿宋" w:eastAsia="仿宋" w:cs="仿宋"/>
          <w:b w:val="0"/>
          <w:bCs w:val="0"/>
          <w:szCs w:val="21"/>
          <w:highlight w:val="none"/>
        </w:rPr>
        <w:t>的实际驾车里程。</w:t>
      </w:r>
      <w:r>
        <w:rPr>
          <w:rFonts w:hint="eastAsia" w:ascii="仿宋" w:hAnsi="仿宋" w:eastAsia="仿宋" w:cs="仿宋"/>
          <w:b/>
          <w:bCs/>
          <w:szCs w:val="21"/>
          <w:highlight w:val="none"/>
        </w:rPr>
        <w:t>（提供百度地图实际驾车里程截图</w:t>
      </w:r>
      <w:r>
        <w:rPr>
          <w:rFonts w:hint="eastAsia" w:ascii="仿宋" w:hAnsi="仿宋" w:eastAsia="仿宋" w:cs="仿宋"/>
          <w:b/>
          <w:bCs/>
          <w:color w:val="000000"/>
          <w:szCs w:val="21"/>
          <w:highlight w:val="none"/>
          <w:lang w:val="en-US" w:eastAsia="zh-CN"/>
        </w:rPr>
        <w:t>，加盖公章，否则视为无效响应</w:t>
      </w:r>
      <w:r>
        <w:rPr>
          <w:rFonts w:hint="eastAsia" w:ascii="仿宋" w:hAnsi="仿宋" w:eastAsia="仿宋" w:cs="仿宋"/>
          <w:b w:val="0"/>
          <w:bCs w:val="0"/>
          <w:szCs w:val="21"/>
          <w:highlight w:val="none"/>
        </w:rPr>
        <w:t>）</w:t>
      </w:r>
    </w:p>
    <w:p w14:paraId="6EF98CE7">
      <w:pPr>
        <w:pStyle w:val="26"/>
        <w:ind w:left="0" w:leftChars="0" w:firstLine="0" w:firstLineChars="0"/>
        <w:jc w:val="center"/>
        <w:rPr>
          <w:rFonts w:hint="eastAsia" w:ascii="仿宋" w:hAnsi="仿宋" w:eastAsia="仿宋" w:cs="仿宋"/>
          <w:color w:val="auto"/>
          <w:sz w:val="21"/>
          <w:szCs w:val="22"/>
          <w:lang w:val="en-GB"/>
        </w:rPr>
      </w:pPr>
    </w:p>
    <w:p w14:paraId="2C3B3342">
      <w:pPr>
        <w:pStyle w:val="26"/>
        <w:ind w:left="0" w:leftChars="0" w:firstLine="0" w:firstLineChars="0"/>
        <w:jc w:val="left"/>
        <w:rPr>
          <w:rFonts w:hint="eastAsia" w:ascii="仿宋" w:hAnsi="仿宋" w:eastAsia="仿宋" w:cs="仿宋"/>
          <w:b/>
          <w:bCs w:val="0"/>
          <w:sz w:val="32"/>
          <w:szCs w:val="32"/>
          <w:highlight w:val="none"/>
          <w:lang w:val="en-US" w:eastAsia="zh-CN"/>
        </w:rPr>
      </w:pPr>
      <w:r>
        <w:rPr>
          <w:rFonts w:hint="eastAsia" w:ascii="仿宋" w:hAnsi="仿宋" w:eastAsia="仿宋" w:cs="仿宋"/>
          <w:color w:val="auto"/>
          <w:sz w:val="21"/>
          <w:szCs w:val="22"/>
          <w:lang w:val="en-GB"/>
        </w:rPr>
        <w:t>注：</w:t>
      </w:r>
      <w:r>
        <w:rPr>
          <w:rFonts w:hint="eastAsia" w:ascii="仿宋" w:hAnsi="仿宋" w:eastAsia="仿宋" w:cs="仿宋"/>
          <w:color w:val="auto"/>
          <w:sz w:val="21"/>
          <w:szCs w:val="22"/>
          <w:lang w:val="en-US" w:eastAsia="zh-CN"/>
        </w:rPr>
        <w:t>提供</w:t>
      </w:r>
      <w:r>
        <w:rPr>
          <w:rFonts w:hint="eastAsia" w:ascii="仿宋" w:hAnsi="仿宋" w:eastAsia="仿宋" w:cs="仿宋"/>
          <w:b w:val="0"/>
          <w:bCs w:val="0"/>
          <w:szCs w:val="21"/>
          <w:highlight w:val="none"/>
        </w:rPr>
        <w:t>供应商</w:t>
      </w:r>
      <w:r>
        <w:rPr>
          <w:rFonts w:hint="eastAsia" w:ascii="仿宋" w:hAnsi="仿宋" w:eastAsia="仿宋" w:cs="仿宋"/>
          <w:b w:val="0"/>
          <w:bCs w:val="0"/>
          <w:szCs w:val="21"/>
          <w:highlight w:val="none"/>
          <w:lang w:val="en-US" w:eastAsia="zh-CN"/>
        </w:rPr>
        <w:t>到</w:t>
      </w:r>
      <w:r>
        <w:rPr>
          <w:rFonts w:hint="eastAsia" w:ascii="仿宋" w:hAnsi="仿宋" w:eastAsia="仿宋" w:cs="仿宋"/>
          <w:color w:val="auto"/>
          <w:sz w:val="21"/>
          <w:szCs w:val="22"/>
          <w:lang w:val="en-US" w:eastAsia="zh-CN"/>
        </w:rPr>
        <w:t>响应包组号所对应院区的百度地图实际驾车里程截图</w:t>
      </w:r>
      <w:r>
        <w:rPr>
          <w:rFonts w:hint="eastAsia" w:ascii="仿宋" w:hAnsi="仿宋" w:eastAsia="仿宋" w:cs="仿宋"/>
          <w:color w:val="auto"/>
          <w:sz w:val="21"/>
          <w:szCs w:val="22"/>
          <w:lang w:val="en-GB" w:eastAsia="zh-CN"/>
        </w:rPr>
        <w:t>。</w:t>
      </w:r>
    </w:p>
    <w:p w14:paraId="0526E813">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366A9F06">
      <w:pPr>
        <w:pageBreakBefore w:val="0"/>
        <w:kinsoku/>
        <w:wordWrap/>
        <w:overflowPunct/>
        <w:topLinePunct w:val="0"/>
        <w:bidi w:val="0"/>
        <w:spacing w:line="360" w:lineRule="auto"/>
        <w:ind w:left="0" w:leftChars="0" w:right="0" w:rightChars="0" w:firstLine="3360" w:firstLineChars="1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2CC89BC8">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11FAA0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E88A0B0">
      <w:pPr>
        <w:pStyle w:val="26"/>
        <w:ind w:left="0" w:leftChars="0" w:firstLine="0" w:firstLineChars="0"/>
        <w:jc w:val="left"/>
        <w:rPr>
          <w:rFonts w:hint="eastAsia" w:ascii="仿宋" w:hAnsi="仿宋" w:eastAsia="仿宋" w:cs="仿宋"/>
          <w:b/>
          <w:bCs w:val="0"/>
          <w:sz w:val="28"/>
          <w:szCs w:val="28"/>
          <w:highlight w:val="none"/>
          <w:lang w:val="en-US" w:eastAsia="zh-CN"/>
        </w:rPr>
      </w:pPr>
    </w:p>
    <w:p w14:paraId="7F1B1F3A">
      <w:pPr>
        <w:pStyle w:val="26"/>
        <w:ind w:left="0" w:leftChars="0" w:firstLine="0" w:firstLineChars="0"/>
        <w:jc w:val="left"/>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（3）其它重要事项说明及承诺（如有）</w:t>
      </w:r>
    </w:p>
    <w:p w14:paraId="51C884A7">
      <w:pPr>
        <w:pageBreakBefore w:val="0"/>
        <w:kinsoku/>
        <w:wordWrap/>
        <w:overflowPunct/>
        <w:topLinePunct w:val="0"/>
        <w:bidi w:val="0"/>
        <w:spacing w:line="360" w:lineRule="auto"/>
        <w:ind w:right="0" w:rightChars="0"/>
        <w:jc w:val="center"/>
        <w:rPr>
          <w:rFonts w:hint="eastAsia" w:ascii="仿宋" w:hAnsi="仿宋" w:eastAsia="仿宋" w:cs="仿宋"/>
          <w:color w:val="auto"/>
          <w:sz w:val="24"/>
          <w:lang w:val="en-US" w:eastAsia="zh-CN"/>
        </w:rPr>
      </w:pPr>
    </w:p>
    <w:p w14:paraId="32445D08">
      <w:pPr>
        <w:pStyle w:val="3"/>
        <w:rPr>
          <w:rFonts w:hint="eastAsia" w:ascii="仿宋" w:hAnsi="仿宋" w:eastAsia="仿宋" w:cs="仿宋"/>
          <w:color w:val="auto"/>
          <w:sz w:val="24"/>
          <w:lang w:val="en-US" w:eastAsia="zh-CN"/>
        </w:rPr>
      </w:pPr>
    </w:p>
    <w:p w14:paraId="16939EE0">
      <w:pPr>
        <w:rPr>
          <w:rFonts w:hint="eastAsia" w:ascii="仿宋" w:hAnsi="仿宋" w:eastAsia="仿宋" w:cs="仿宋"/>
          <w:color w:val="auto"/>
          <w:sz w:val="24"/>
          <w:lang w:val="en-US" w:eastAsia="zh-CN"/>
        </w:rPr>
      </w:pPr>
    </w:p>
    <w:p w14:paraId="571BFB8F">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E525A77">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3407DCE">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DB06199"/>
    <w:sectPr>
      <w:headerReference r:id="rId5" w:type="default"/>
      <w:footerReference r:id="rId6" w:type="default"/>
      <w:pgSz w:w="11906" w:h="16838"/>
      <w:pgMar w:top="1440" w:right="946" w:bottom="1440"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430982-B252-45FC-8F8A-46387F0B9E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2" w:fontKey="{4E46D232-4239-4F56-9C7B-151F9EDE9F19}"/>
  </w:font>
  <w:font w:name="仿宋">
    <w:panose1 w:val="02010609060101010101"/>
    <w:charset w:val="86"/>
    <w:family w:val="auto"/>
    <w:pitch w:val="default"/>
    <w:sig w:usb0="800002BF" w:usb1="38CF7CFA" w:usb2="00000016" w:usb3="00000000" w:csb0="00040001" w:csb1="00000000"/>
    <w:embedRegular r:id="rId3" w:fontKey="{299C17AA-66BD-4808-AE30-324433250A8A}"/>
  </w:font>
  <w:font w:name="华文中宋">
    <w:panose1 w:val="02010600040101010101"/>
    <w:charset w:val="86"/>
    <w:family w:val="auto"/>
    <w:pitch w:val="default"/>
    <w:sig w:usb0="00000287" w:usb1="080F0000" w:usb2="00000000" w:usb3="00000000" w:csb0="0004009F" w:csb1="DFD70000"/>
    <w:embedRegular r:id="rId4" w:fontKey="{468E4201-9306-40FA-B79F-A7907693A695}"/>
  </w:font>
  <w:font w:name="华文仿宋">
    <w:panose1 w:val="02010600040101010101"/>
    <w:charset w:val="86"/>
    <w:family w:val="auto"/>
    <w:pitch w:val="default"/>
    <w:sig w:usb0="00000287" w:usb1="080F0000" w:usb2="00000000" w:usb3="00000000" w:csb0="0004009F" w:csb1="DFD70000"/>
    <w:embedRegular r:id="rId5" w:fontKey="{AB980F5F-4333-4EE7-A75E-9C1D5FD08DD2}"/>
  </w:font>
  <w:font w:name="Tahoma">
    <w:panose1 w:val="020B0604030504040204"/>
    <w:charset w:val="00"/>
    <w:family w:val="auto"/>
    <w:pitch w:val="default"/>
    <w:sig w:usb0="E1002EFF" w:usb1="C000605B" w:usb2="00000029" w:usb3="00000000" w:csb0="200101FF" w:csb1="20280000"/>
    <w:embedRegular r:id="rId6" w:fontKey="{9599261D-B5BE-44B5-99AD-BFC5B80BB4E2}"/>
  </w:font>
  <w:font w:name="仿宋_GB2312">
    <w:panose1 w:val="02010609030101010101"/>
    <w:charset w:val="86"/>
    <w:family w:val="modern"/>
    <w:pitch w:val="default"/>
    <w:sig w:usb0="00000001" w:usb1="080E0000" w:usb2="00000000" w:usb3="00000000" w:csb0="00040000" w:csb1="00000000"/>
    <w:embedRegular r:id="rId7" w:fontKey="{B50FCAC2-EFF6-4859-A027-736097A59897}"/>
  </w:font>
  <w:font w:name="Calibri Light">
    <w:panose1 w:val="020F0302020204030204"/>
    <w:charset w:val="00"/>
    <w:family w:val="swiss"/>
    <w:pitch w:val="default"/>
    <w:sig w:usb0="E0002AFF" w:usb1="C000247B" w:usb2="00000009" w:usb3="00000000" w:csb0="200001FF" w:csb1="00000000"/>
    <w:embedRegular r:id="rId8" w:fontKey="{379F39A8-F219-48FA-810C-86A04D8A49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42F25">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4A26">
    <w:pPr>
      <w:pStyle w:val="13"/>
      <w:rPr>
        <w:rFonts w:hint="eastAsia"/>
        <w:sz w:val="18"/>
        <w:szCs w:val="24"/>
      </w:rPr>
    </w:pPr>
  </w:p>
  <w:p w14:paraId="2274D667">
    <w:pPr>
      <w:pStyle w:val="13"/>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5C0976">
                          <w:pPr>
                            <w:pStyle w:val="13"/>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47</w:t>
                          </w:r>
                          <w:r>
                            <w:rPr>
                              <w:rFonts w:hint="eastAsia"/>
                              <w:sz w:val="18"/>
                              <w:szCs w:val="24"/>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205C0976">
                    <w:pPr>
                      <w:pStyle w:val="13"/>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47</w:t>
                    </w:r>
                    <w:r>
                      <w:rPr>
                        <w:rFonts w:hint="eastAsia"/>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CC32">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03C6">
    <w:pPr>
      <w:pStyle w:val="14"/>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26A7D"/>
    <w:multiLevelType w:val="singleLevel"/>
    <w:tmpl w:val="9A726A7D"/>
    <w:lvl w:ilvl="0" w:tentative="0">
      <w:start w:val="2"/>
      <w:numFmt w:val="decimal"/>
      <w:lvlText w:val="%1."/>
      <w:lvlJc w:val="left"/>
      <w:pPr>
        <w:tabs>
          <w:tab w:val="left" w:pos="312"/>
        </w:tabs>
      </w:pPr>
    </w:lvl>
  </w:abstractNum>
  <w:abstractNum w:abstractNumId="1">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2">
    <w:nsid w:val="00000004"/>
    <w:multiLevelType w:val="singleLevel"/>
    <w:tmpl w:val="00000004"/>
    <w:lvl w:ilvl="0" w:tentative="0">
      <w:start w:val="5"/>
      <w:numFmt w:val="chineseCounting"/>
      <w:suff w:val="nothing"/>
      <w:lvlText w:val="（%1）"/>
      <w:lvlJc w:val="left"/>
      <w:rPr>
        <w:rFonts w:hint="eastAsia"/>
      </w:rPr>
    </w:lvl>
  </w:abstractNum>
  <w:abstractNum w:abstractNumId="3">
    <w:nsid w:val="00000006"/>
    <w:multiLevelType w:val="multilevel"/>
    <w:tmpl w:val="00000006"/>
    <w:lvl w:ilvl="0" w:tentative="0">
      <w:start w:val="1"/>
      <w:numFmt w:val="decimal"/>
      <w:suff w:val="nothing"/>
      <w:lvlText w:val="%1、"/>
      <w:lvlJc w:val="left"/>
      <w:pPr>
        <w:ind w:left="70"/>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0000007"/>
    <w:multiLevelType w:val="singleLevel"/>
    <w:tmpl w:val="00000007"/>
    <w:lvl w:ilvl="0" w:tentative="0">
      <w:start w:val="1"/>
      <w:numFmt w:val="decimal"/>
      <w:suff w:val="nothing"/>
      <w:lvlText w:val="%1、"/>
      <w:lvlJc w:val="left"/>
    </w:lvl>
  </w:abstractNum>
  <w:abstractNum w:abstractNumId="5">
    <w:nsid w:val="00000009"/>
    <w:multiLevelType w:val="singleLevel"/>
    <w:tmpl w:val="00000009"/>
    <w:lvl w:ilvl="0" w:tentative="0">
      <w:start w:val="1"/>
      <w:numFmt w:val="chineseCounting"/>
      <w:suff w:val="nothing"/>
      <w:lvlText w:val="%1、"/>
      <w:lvlJc w:val="left"/>
      <w:rPr>
        <w:rFonts w:hint="eastAsia"/>
      </w:rPr>
    </w:lvl>
  </w:abstractNum>
  <w:abstractNum w:abstractNumId="6">
    <w:nsid w:val="2BFE6D92"/>
    <w:multiLevelType w:val="singleLevel"/>
    <w:tmpl w:val="2BFE6D92"/>
    <w:lvl w:ilvl="0" w:tentative="0">
      <w:start w:val="2"/>
      <w:numFmt w:val="chineseCounting"/>
      <w:suff w:val="nothing"/>
      <w:lvlText w:val="（%1）"/>
      <w:lvlJc w:val="left"/>
      <w:rPr>
        <w:rFonts w:hint="eastAsia"/>
      </w:rPr>
    </w:lvl>
  </w:abstractNum>
  <w:abstractNum w:abstractNumId="7">
    <w:nsid w:val="481AEBD5"/>
    <w:multiLevelType w:val="singleLevel"/>
    <w:tmpl w:val="481AEBD5"/>
    <w:lvl w:ilvl="0" w:tentative="0">
      <w:start w:val="1"/>
      <w:numFmt w:val="decimal"/>
      <w:suff w:val="nothing"/>
      <w:lvlText w:val="%1、"/>
      <w:lvlJc w:val="left"/>
    </w:lvl>
  </w:abstractNum>
  <w:abstractNum w:abstractNumId="8">
    <w:nsid w:val="7801E0EE"/>
    <w:multiLevelType w:val="singleLevel"/>
    <w:tmpl w:val="7801E0EE"/>
    <w:lvl w:ilvl="0" w:tentative="0">
      <w:start w:val="1"/>
      <w:numFmt w:val="decimal"/>
      <w:lvlText w:val="%1."/>
      <w:lvlJc w:val="left"/>
      <w:pPr>
        <w:tabs>
          <w:tab w:val="left" w:pos="312"/>
        </w:tabs>
      </w:pPr>
    </w:lvl>
  </w:abstractNum>
  <w:num w:numId="1">
    <w:abstractNumId w:val="7"/>
  </w:num>
  <w:num w:numId="2">
    <w:abstractNumId w:val="5"/>
  </w:num>
  <w:num w:numId="3">
    <w:abstractNumId w:val="8"/>
  </w:num>
  <w:num w:numId="4">
    <w:abstractNumId w:val="0"/>
  </w:num>
  <w:num w:numId="5">
    <w:abstractNumId w:val="1"/>
  </w:num>
  <w:num w:numId="6">
    <w:abstractNumId w:val="3"/>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D5FE2"/>
    <w:rsid w:val="00866A91"/>
    <w:rsid w:val="06A04B76"/>
    <w:rsid w:val="0BEB6D98"/>
    <w:rsid w:val="0CFF55C0"/>
    <w:rsid w:val="0E9C4BC2"/>
    <w:rsid w:val="0F7D5FE2"/>
    <w:rsid w:val="10A20470"/>
    <w:rsid w:val="115D6CCC"/>
    <w:rsid w:val="179126C2"/>
    <w:rsid w:val="18EB6EE6"/>
    <w:rsid w:val="1DF8756C"/>
    <w:rsid w:val="1F6E1960"/>
    <w:rsid w:val="20AC5498"/>
    <w:rsid w:val="285100CD"/>
    <w:rsid w:val="29F83D52"/>
    <w:rsid w:val="2D792029"/>
    <w:rsid w:val="31492EA1"/>
    <w:rsid w:val="32AA04CA"/>
    <w:rsid w:val="35BC610F"/>
    <w:rsid w:val="379C5435"/>
    <w:rsid w:val="390E0BFA"/>
    <w:rsid w:val="3FFB252B"/>
    <w:rsid w:val="404F553D"/>
    <w:rsid w:val="42CD0F08"/>
    <w:rsid w:val="44F41828"/>
    <w:rsid w:val="4B774AB6"/>
    <w:rsid w:val="4E9D1D67"/>
    <w:rsid w:val="53265F8B"/>
    <w:rsid w:val="53806DAF"/>
    <w:rsid w:val="53A03DC0"/>
    <w:rsid w:val="548755D7"/>
    <w:rsid w:val="5B500161"/>
    <w:rsid w:val="5D6B26D6"/>
    <w:rsid w:val="60D179E5"/>
    <w:rsid w:val="61905A69"/>
    <w:rsid w:val="66B33BA5"/>
    <w:rsid w:val="673B1E91"/>
    <w:rsid w:val="692E3A9A"/>
    <w:rsid w:val="6C142413"/>
    <w:rsid w:val="71B31D58"/>
    <w:rsid w:val="72E7505E"/>
    <w:rsid w:val="73701BB8"/>
    <w:rsid w:val="77F14686"/>
    <w:rsid w:val="798E2134"/>
    <w:rsid w:val="7D364285"/>
    <w:rsid w:val="7EA36676"/>
    <w:rsid w:val="7EB36B2A"/>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99"/>
    <w:pPr>
      <w:ind w:firstLine="420"/>
    </w:pPr>
    <w:rPr>
      <w:rFonts w:ascii="Calibri" w:hAnsi="Calibri"/>
      <w:sz w:val="20"/>
      <w:szCs w:val="20"/>
    </w:rPr>
  </w:style>
  <w:style w:type="paragraph" w:styleId="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rPr>
  </w:style>
  <w:style w:type="paragraph" w:styleId="8">
    <w:name w:val="annotation text"/>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bidi="ar"/>
    </w:rPr>
  </w:style>
  <w:style w:type="paragraph" w:styleId="9">
    <w:name w:val="Body Text 3"/>
    <w:basedOn w:val="1"/>
    <w:qFormat/>
    <w:uiPriority w:val="99"/>
    <w:pPr>
      <w:spacing w:after="120"/>
    </w:pPr>
    <w:rPr>
      <w:sz w:val="16"/>
      <w:szCs w:val="16"/>
    </w:rPr>
  </w:style>
  <w:style w:type="paragraph" w:styleId="10">
    <w:name w:val="Body Text Indent"/>
    <w:basedOn w:val="1"/>
    <w:next w:val="11"/>
    <w:qFormat/>
    <w:uiPriority w:val="0"/>
    <w:pPr>
      <w:ind w:firstLine="570"/>
    </w:pPr>
    <w:rPr>
      <w:rFonts w:ascii="宋体" w:hAnsi="宋体"/>
      <w:sz w:val="28"/>
      <w:szCs w:val="20"/>
    </w:rPr>
  </w:style>
  <w:style w:type="paragraph" w:customStyle="1" w:styleId="11">
    <w:name w:val="font5"/>
    <w:basedOn w:val="1"/>
    <w:qFormat/>
    <w:uiPriority w:val="0"/>
    <w:pPr>
      <w:widowControl/>
      <w:spacing w:before="100" w:beforeAutospacing="1" w:after="100" w:afterAutospacing="1"/>
      <w:jc w:val="left"/>
    </w:pPr>
    <w:rPr>
      <w:rFonts w:ascii="宋体" w:hAnsi="宋体"/>
      <w:kern w:val="0"/>
      <w:sz w:val="18"/>
      <w:szCs w:val="18"/>
    </w:rPr>
  </w:style>
  <w:style w:type="paragraph" w:styleId="12">
    <w:name w:val="Plain Text"/>
    <w:basedOn w:val="1"/>
    <w:qFormat/>
    <w:uiPriority w:val="0"/>
    <w:rPr>
      <w:rFonts w:ascii="宋体" w:hAnsi="Courier New"/>
      <w:szCs w:val="20"/>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6">
    <w:name w:val="toc 2"/>
    <w:basedOn w:val="1"/>
    <w:next w:val="1"/>
    <w:qFormat/>
    <w:uiPriority w:val="39"/>
    <w:pPr>
      <w:tabs>
        <w:tab w:val="right" w:leader="dot" w:pos="8296"/>
      </w:tabs>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rPr>
  </w:style>
  <w:style w:type="paragraph" w:styleId="18">
    <w:name w:val="Body Text First Indent"/>
    <w:basedOn w:val="2"/>
    <w:qFormat/>
    <w:uiPriority w:val="99"/>
    <w:pPr>
      <w:spacing w:after="120"/>
      <w:ind w:firstLine="420" w:firstLineChars="100"/>
    </w:pPr>
    <w:rPr>
      <w:sz w:val="21"/>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Hyperlink"/>
    <w:qFormat/>
    <w:uiPriority w:val="99"/>
    <w:rPr>
      <w:color w:val="0000FF"/>
      <w:u w:val="single"/>
    </w:rPr>
  </w:style>
  <w:style w:type="paragraph" w:customStyle="1" w:styleId="24">
    <w:name w:val="表格文字"/>
    <w:basedOn w:val="25"/>
    <w:qFormat/>
    <w:uiPriority w:val="0"/>
    <w:pPr>
      <w:spacing w:before="25" w:after="25"/>
      <w:jc w:val="left"/>
    </w:pPr>
    <w:rPr>
      <w:bCs/>
      <w:spacing w:val="10"/>
      <w:kern w:val="0"/>
      <w:sz w:val="24"/>
      <w:szCs w:val="20"/>
    </w:rPr>
  </w:style>
  <w:style w:type="paragraph" w:customStyle="1" w:styleId="25">
    <w:name w:val="表格文字（两侧对齐）"/>
    <w:basedOn w:val="1"/>
    <w:qFormat/>
    <w:uiPriority w:val="0"/>
    <w:pPr>
      <w:snapToGrid w:val="0"/>
    </w:pPr>
    <w:rPr>
      <w:kern w:val="0"/>
      <w:sz w:val="20"/>
    </w:rPr>
  </w:style>
  <w:style w:type="paragraph" w:customStyle="1" w:styleId="26">
    <w:name w:val="_Style 3"/>
    <w:basedOn w:val="1"/>
    <w:qFormat/>
    <w:uiPriority w:val="0"/>
    <w:pPr>
      <w:ind w:firstLine="420" w:firstLineChars="200"/>
    </w:pPr>
    <w:rPr>
      <w:sz w:val="20"/>
    </w:rPr>
  </w:style>
  <w:style w:type="paragraph" w:customStyle="1" w:styleId="27">
    <w:name w:val="正文缩进1"/>
    <w:basedOn w:val="28"/>
    <w:next w:val="29"/>
    <w:qFormat/>
    <w:uiPriority w:val="0"/>
    <w:pPr>
      <w:widowControl/>
      <w:ind w:firstLine="420"/>
      <w:jc w:val="left"/>
    </w:pPr>
    <w:rPr>
      <w:rFonts w:ascii="Calibri" w:hAnsi="Calibri"/>
      <w:kern w:val="0"/>
    </w:rPr>
  </w:style>
  <w:style w:type="paragraph" w:customStyle="1" w:styleId="28">
    <w:name w:val="正文_2"/>
    <w:next w:val="27"/>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0">
    <w:name w:val="Table caption|1"/>
    <w:basedOn w:val="1"/>
    <w:qFormat/>
    <w:uiPriority w:val="0"/>
    <w:pPr>
      <w:spacing w:line="293" w:lineRule="exact"/>
    </w:pPr>
    <w:rPr>
      <w:rFonts w:ascii="宋体" w:hAnsi="宋体" w:cs="宋体"/>
      <w:sz w:val="19"/>
      <w:szCs w:val="19"/>
      <w:lang w:val="zh-TW" w:eastAsia="zh-TW" w:bidi="zh-TW"/>
    </w:rPr>
  </w:style>
  <w:style w:type="paragraph" w:customStyle="1" w:styleId="3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2">
    <w:name w:val="Table Paragraph"/>
    <w:basedOn w:val="1"/>
    <w:qFormat/>
    <w:uiPriority w:val="1"/>
    <w:rPr>
      <w:rFonts w:ascii="宋体" w:hAnsi="宋体" w:eastAsia="宋体" w:cs="宋体"/>
      <w:lang w:val="zh-CN" w:eastAsia="zh-CN" w:bidi="zh-CN"/>
    </w:rPr>
  </w:style>
  <w:style w:type="paragraph" w:styleId="33">
    <w:name w:val="List Paragraph"/>
    <w:basedOn w:val="1"/>
    <w:qFormat/>
    <w:uiPriority w:val="34"/>
    <w:pPr>
      <w:widowControl/>
      <w:ind w:firstLine="420" w:firstLineChars="200"/>
      <w:jc w:val="left"/>
    </w:pPr>
    <w:rPr>
      <w:kern w:val="0"/>
      <w:sz w:val="20"/>
      <w:szCs w:val="20"/>
    </w:rPr>
  </w:style>
  <w:style w:type="paragraph" w:customStyle="1" w:styleId="34">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character" w:customStyle="1" w:styleId="35">
    <w:name w:val="font141"/>
    <w:basedOn w:val="21"/>
    <w:qFormat/>
    <w:uiPriority w:val="0"/>
    <w:rPr>
      <w:rFonts w:hint="default" w:ascii="Times New Roman" w:hAnsi="Times New Roman" w:cs="Times New Roman"/>
      <w:b/>
      <w:bCs/>
      <w:color w:val="000000"/>
      <w:sz w:val="18"/>
      <w:szCs w:val="18"/>
      <w:u w:val="none"/>
    </w:rPr>
  </w:style>
  <w:style w:type="character" w:customStyle="1" w:styleId="36">
    <w:name w:val="font151"/>
    <w:basedOn w:val="21"/>
    <w:qFormat/>
    <w:uiPriority w:val="0"/>
    <w:rPr>
      <w:rFonts w:hint="default" w:ascii="Times New Roman" w:hAnsi="Times New Roman" w:cs="Times New Roman"/>
      <w:color w:val="000000"/>
      <w:sz w:val="20"/>
      <w:szCs w:val="20"/>
      <w:u w:val="none"/>
    </w:rPr>
  </w:style>
  <w:style w:type="character" w:customStyle="1" w:styleId="37">
    <w:name w:val="font51"/>
    <w:basedOn w:val="21"/>
    <w:qFormat/>
    <w:uiPriority w:val="0"/>
    <w:rPr>
      <w:rFonts w:hint="eastAsia" w:ascii="宋体" w:hAnsi="宋体" w:eastAsia="宋体" w:cs="宋体"/>
      <w:color w:val="000000"/>
      <w:sz w:val="20"/>
      <w:szCs w:val="20"/>
      <w:u w:val="none"/>
    </w:rPr>
  </w:style>
  <w:style w:type="character" w:customStyle="1" w:styleId="38">
    <w:name w:val="font16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16812</Words>
  <Characters>17232</Characters>
  <Lines>0</Lines>
  <Paragraphs>0</Paragraphs>
  <TotalTime>25</TotalTime>
  <ScaleCrop>false</ScaleCrop>
  <LinksUpToDate>false</LinksUpToDate>
  <CharactersWithSpaces>17857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2025-06-17T00:31:00Z</dcterms:created>
  <dc:creator>梁凤娟</dc:creator>
  <cp:lastModifiedBy>梁凤娟</cp:lastModifiedBy>
  <dcterms:modified xsi:type="dcterms:W3CDTF">2025-07-17T00:38:52Z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FFA3458F4B9D41158B18C025DBF7D16F_11</vt:lpwstr>
  </property>
  <property fmtid="{D5CDD505-2E9C-101B-9397-08002B2CF9AE}" pid="4" name="KSOTemplateDocerSaveRecord">
    <vt:lpwstr>eyJoZGlkIjoiZGNiZjhiYWJkMzQ2ODliZDg0M2NkY2U3ZDYyYTQ3YzEiLCJ1c2VySWQiOiIzMTQ2MzM3NzQifQ==</vt:lpwstr>
  </property>
</Properties>
</file>