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4605">
      <w:pPr>
        <w:spacing w:line="440" w:lineRule="exact"/>
        <w:jc w:val="center"/>
        <w:rPr>
          <w:rFonts w:hint="eastAsia" w:ascii="黑体" w:hAnsi="黑体" w:eastAsia="黑体" w:cs="黑体"/>
          <w:color w:val="auto"/>
          <w:sz w:val="32"/>
          <w:szCs w:val="32"/>
        </w:rPr>
      </w:pPr>
    </w:p>
    <w:p w14:paraId="02C0120D">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用</w:t>
      </w:r>
    </w:p>
    <w:p w14:paraId="0F98188F">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户</w:t>
      </w:r>
    </w:p>
    <w:p w14:paraId="0F07B05E">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需</w:t>
      </w:r>
    </w:p>
    <w:p w14:paraId="46ED6D0D">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求</w:t>
      </w:r>
    </w:p>
    <w:p w14:paraId="0245649F">
      <w:pPr>
        <w:spacing w:line="240" w:lineRule="auto"/>
        <w:jc w:val="center"/>
        <w:rPr>
          <w:rFonts w:hint="eastAsia" w:ascii="微软雅黑" w:hAnsi="微软雅黑" w:eastAsia="微软雅黑" w:cs="微软雅黑"/>
          <w:color w:val="auto"/>
          <w:sz w:val="112"/>
          <w:szCs w:val="112"/>
          <w:lang w:val="en-US" w:eastAsia="zh-CN"/>
        </w:rPr>
      </w:pPr>
      <w:r>
        <w:rPr>
          <w:rFonts w:hint="eastAsia" w:ascii="微软雅黑" w:hAnsi="微软雅黑" w:eastAsia="微软雅黑" w:cs="微软雅黑"/>
          <w:color w:val="auto"/>
          <w:sz w:val="112"/>
          <w:szCs w:val="112"/>
          <w:lang w:val="en-US" w:eastAsia="zh-CN"/>
        </w:rPr>
        <w:t>书</w:t>
      </w:r>
    </w:p>
    <w:p w14:paraId="619AB46D">
      <w:pPr>
        <w:spacing w:line="240" w:lineRule="auto"/>
        <w:jc w:val="center"/>
        <w:rPr>
          <w:rFonts w:hint="eastAsia" w:ascii="黑体" w:hAnsi="黑体" w:eastAsia="黑体" w:cs="黑体"/>
          <w:color w:val="auto"/>
          <w:sz w:val="112"/>
          <w:szCs w:val="112"/>
        </w:rPr>
      </w:pPr>
    </w:p>
    <w:p w14:paraId="15BA7CF6">
      <w:pPr>
        <w:spacing w:line="440" w:lineRule="exact"/>
        <w:jc w:val="center"/>
        <w:rPr>
          <w:rFonts w:hint="eastAsia" w:ascii="黑体" w:hAnsi="黑体" w:eastAsia="黑体" w:cs="黑体"/>
          <w:color w:val="auto"/>
          <w:sz w:val="32"/>
          <w:szCs w:val="32"/>
        </w:rPr>
      </w:pPr>
    </w:p>
    <w:p w14:paraId="3424FB8B">
      <w:pPr>
        <w:spacing w:line="440" w:lineRule="exact"/>
        <w:jc w:val="both"/>
        <w:rPr>
          <w:rFonts w:hint="eastAsia" w:ascii="黑体" w:hAnsi="黑体" w:eastAsia="黑体" w:cs="黑体"/>
          <w:color w:val="auto"/>
          <w:sz w:val="32"/>
          <w:szCs w:val="32"/>
        </w:rPr>
      </w:pPr>
    </w:p>
    <w:p w14:paraId="11C49ABB">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1、项目概况：</w:t>
      </w:r>
    </w:p>
    <w:p w14:paraId="5BC3F571">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本项目为中山大学孙逸仙纪念医院花都院区设备带改造及麻醉废气改造项目</w:t>
      </w:r>
      <w:r>
        <w:rPr>
          <w:rFonts w:hint="eastAsia" w:ascii="仿宋" w:hAnsi="仿宋" w:eastAsia="仿宋" w:cs="仿宋"/>
          <w:color w:val="auto"/>
          <w:sz w:val="24"/>
          <w:szCs w:val="24"/>
        </w:rPr>
        <w:t>。</w:t>
      </w:r>
    </w:p>
    <w:p w14:paraId="77700E10">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2、采购方式</w:t>
      </w:r>
    </w:p>
    <w:p w14:paraId="79EDE96F">
      <w:pPr>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采用</w:t>
      </w:r>
      <w:r>
        <w:rPr>
          <w:rFonts w:hint="eastAsia" w:ascii="仿宋" w:hAnsi="仿宋" w:eastAsia="仿宋" w:cs="仿宋"/>
          <w:color w:val="auto"/>
          <w:sz w:val="24"/>
          <w:szCs w:val="24"/>
          <w:lang w:val="en-US" w:eastAsia="zh-CN"/>
        </w:rPr>
        <w:t>院内</w:t>
      </w:r>
      <w:r>
        <w:rPr>
          <w:rFonts w:hint="eastAsia" w:ascii="仿宋" w:hAnsi="仿宋" w:eastAsia="仿宋" w:cs="仿宋"/>
          <w:color w:val="auto"/>
          <w:sz w:val="24"/>
          <w:szCs w:val="24"/>
        </w:rPr>
        <w:t>谈判方式进行采购</w:t>
      </w:r>
      <w:r>
        <w:rPr>
          <w:rFonts w:hint="eastAsia" w:ascii="仿宋" w:hAnsi="仿宋" w:eastAsia="仿宋" w:cs="仿宋"/>
          <w:color w:val="auto"/>
          <w:sz w:val="24"/>
          <w:szCs w:val="24"/>
          <w:lang w:eastAsia="zh-CN"/>
        </w:rPr>
        <w:t>。</w:t>
      </w:r>
    </w:p>
    <w:p w14:paraId="1D040B36">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3、采购清单及报价格式：</w:t>
      </w:r>
    </w:p>
    <w:p w14:paraId="62BA0B68">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（1）报价格式见附件报价表。</w:t>
      </w:r>
    </w:p>
    <w:p w14:paraId="6E69F090">
      <w:pPr>
        <w:spacing w:line="440" w:lineRule="exact"/>
        <w:rPr>
          <w:rFonts w:hint="eastAsia" w:ascii="仿宋" w:hAnsi="仿宋" w:eastAsia="仿宋" w:cs="仿宋"/>
          <w:color w:val="auto"/>
          <w:sz w:val="24"/>
          <w:szCs w:val="24"/>
        </w:rPr>
      </w:pPr>
      <w:r>
        <w:drawing>
          <wp:anchor distT="0" distB="0" distL="114300" distR="114300" simplePos="0" relativeHeight="251659264" behindDoc="0" locked="0" layoutInCell="1" allowOverlap="1">
            <wp:simplePos x="0" y="0"/>
            <wp:positionH relativeFrom="column">
              <wp:posOffset>-26035</wp:posOffset>
            </wp:positionH>
            <wp:positionV relativeFrom="paragraph">
              <wp:posOffset>27305</wp:posOffset>
            </wp:positionV>
            <wp:extent cx="5268595" cy="4409440"/>
            <wp:effectExtent l="0" t="0" r="8255" b="1016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8595" cy="4409440"/>
                    </a:xfrm>
                    <a:prstGeom prst="rect">
                      <a:avLst/>
                    </a:prstGeom>
                    <a:noFill/>
                    <a:ln>
                      <a:noFill/>
                    </a:ln>
                  </pic:spPr>
                </pic:pic>
              </a:graphicData>
            </a:graphic>
          </wp:anchor>
        </w:drawing>
      </w:r>
      <w:r>
        <w:rPr>
          <w:rFonts w:hint="eastAsia" w:ascii="仿宋" w:hAnsi="仿宋" w:eastAsia="仿宋" w:cs="仿宋"/>
          <w:color w:val="auto"/>
          <w:sz w:val="24"/>
          <w:szCs w:val="24"/>
        </w:rPr>
        <w:t>（2）报价采用最高限价方式，项目整体费用不得高于</w:t>
      </w:r>
      <w:r>
        <w:rPr>
          <w:rFonts w:hint="eastAsia" w:ascii="仿宋" w:hAnsi="仿宋" w:eastAsia="仿宋" w:cs="仿宋"/>
          <w:color w:val="auto"/>
          <w:sz w:val="24"/>
          <w:szCs w:val="24"/>
          <w:lang w:val="en-US" w:eastAsia="zh-CN"/>
        </w:rPr>
        <w:t>人民币</w:t>
      </w:r>
      <w:r>
        <w:rPr>
          <w:rFonts w:hint="eastAsia" w:ascii="仿宋" w:hAnsi="仿宋" w:eastAsia="仿宋" w:cs="仿宋"/>
          <w:color w:val="auto"/>
          <w:sz w:val="24"/>
          <w:szCs w:val="24"/>
          <w:lang w:eastAsia="zh-CN"/>
        </w:rPr>
        <w:t>174797</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元，分部分项报价不得高于报价表</w:t>
      </w:r>
      <w:r>
        <w:rPr>
          <w:rFonts w:hint="eastAsia" w:ascii="仿宋" w:hAnsi="仿宋" w:eastAsia="仿宋" w:cs="仿宋"/>
          <w:color w:val="auto"/>
          <w:sz w:val="24"/>
          <w:szCs w:val="24"/>
          <w:lang w:val="en-US" w:eastAsia="zh-CN"/>
        </w:rPr>
        <w:t>相应的最高</w:t>
      </w:r>
      <w:r>
        <w:rPr>
          <w:rFonts w:hint="eastAsia" w:ascii="仿宋" w:hAnsi="仿宋" w:eastAsia="仿宋" w:cs="仿宋"/>
          <w:color w:val="auto"/>
          <w:sz w:val="24"/>
          <w:szCs w:val="24"/>
        </w:rPr>
        <w:t>限价，超出的均为无效响应。最终根据列项单价以实际工程量结算。</w:t>
      </w:r>
    </w:p>
    <w:p w14:paraId="29AF42E2">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设置采购控制价的80%为成本警戒价，低于该警戒价的响应报价，响应人必须提供详细的施工组织设计、单价、措施性费用、单价分析表、主要材料价格表、响应人成本分析供评审委员会评审，由评审委员会判定其是否低于企业自身成本。在评审过程中，评审委员会发现响应人的报价明显低于其他响应报价或者低于成本警戒价，使得其响应报价可能低于其个别成本的，应当要求该响应人作出书面说明并提供相关证明材料。响应人不能合理说明或者不能提供相关证明材料的，由评审委员会认定该响应人以低于成本报价竞价，应当否决其响应。</w:t>
      </w:r>
    </w:p>
    <w:p w14:paraId="5D663CB6">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4、服务要求：</w:t>
      </w:r>
    </w:p>
    <w:p w14:paraId="22734849">
      <w:pPr>
        <w:spacing w:line="44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（1）在</w:t>
      </w:r>
      <w:r>
        <w:rPr>
          <w:rFonts w:hint="eastAsia" w:ascii="仿宋" w:hAnsi="仿宋" w:eastAsia="仿宋" w:cs="仿宋"/>
          <w:color w:val="auto"/>
          <w:sz w:val="24"/>
          <w:szCs w:val="24"/>
          <w:lang w:val="en-US" w:eastAsia="zh-CN"/>
        </w:rPr>
        <w:t>消化科内镜中心，介入科手术室，急诊手术室，超声科介入手术室进行麻醉废气改造，在血液净化中心，儿科造血干细胞移植一区，PICU，放疗科，急诊科，超声科，胆胰外科进行设备带及医用气体管道改造。</w:t>
      </w:r>
    </w:p>
    <w:p w14:paraId="2D580C2C">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（2）需改造原有管道，共用原有</w:t>
      </w:r>
      <w:r>
        <w:rPr>
          <w:rFonts w:hint="eastAsia" w:ascii="仿宋" w:hAnsi="仿宋" w:eastAsia="仿宋" w:cs="仿宋"/>
          <w:color w:val="auto"/>
          <w:sz w:val="24"/>
          <w:szCs w:val="24"/>
          <w:lang w:val="en-US" w:eastAsia="zh-CN"/>
        </w:rPr>
        <w:t>医用气体</w:t>
      </w:r>
      <w:r>
        <w:rPr>
          <w:rFonts w:hint="eastAsia" w:ascii="仿宋" w:hAnsi="仿宋" w:eastAsia="仿宋" w:cs="仿宋"/>
          <w:color w:val="auto"/>
          <w:sz w:val="24"/>
          <w:szCs w:val="24"/>
        </w:rPr>
        <w:t>管道。</w:t>
      </w:r>
    </w:p>
    <w:p w14:paraId="7545AF11">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（3）响应人与从业人员</w:t>
      </w:r>
      <w:r>
        <w:rPr>
          <w:rFonts w:hint="eastAsia" w:ascii="仿宋" w:hAnsi="仿宋" w:eastAsia="仿宋" w:cs="仿宋"/>
          <w:color w:val="auto"/>
          <w:sz w:val="24"/>
          <w:szCs w:val="24"/>
          <w:lang w:eastAsia="zh-CN"/>
        </w:rPr>
        <w:t>须具备</w:t>
      </w:r>
      <w:r>
        <w:rPr>
          <w:rFonts w:hint="eastAsia" w:ascii="仿宋" w:hAnsi="仿宋" w:eastAsia="仿宋" w:cs="仿宋"/>
          <w:color w:val="auto"/>
          <w:sz w:val="24"/>
          <w:szCs w:val="24"/>
        </w:rPr>
        <w:t>焊接作业证，低压电工作业证等相关证件，并有相关</w:t>
      </w:r>
      <w:bookmarkStart w:id="0" w:name="_GoBack"/>
      <w:r>
        <w:rPr>
          <w:rFonts w:hint="eastAsia" w:ascii="仿宋" w:hAnsi="仿宋" w:eastAsia="仿宋" w:cs="仿宋"/>
          <w:color w:val="auto"/>
          <w:sz w:val="24"/>
          <w:szCs w:val="24"/>
          <w:lang w:val="en-US" w:eastAsia="zh-CN"/>
        </w:rPr>
        <w:t>医气管道</w:t>
      </w:r>
      <w:bookmarkEnd w:id="0"/>
      <w:r>
        <w:rPr>
          <w:rFonts w:hint="eastAsia" w:ascii="仿宋" w:hAnsi="仿宋" w:eastAsia="仿宋" w:cs="仿宋"/>
          <w:color w:val="auto"/>
          <w:sz w:val="24"/>
          <w:szCs w:val="24"/>
        </w:rPr>
        <w:t>作业经验。</w:t>
      </w:r>
    </w:p>
    <w:p w14:paraId="0F8EB688">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（4）响应人需在</w:t>
      </w:r>
      <w:r>
        <w:rPr>
          <w:rFonts w:hint="eastAsia" w:ascii="仿宋" w:hAnsi="仿宋" w:eastAsia="仿宋" w:cs="仿宋"/>
          <w:color w:val="auto"/>
          <w:sz w:val="24"/>
          <w:szCs w:val="24"/>
          <w:lang w:val="en-US" w:eastAsia="zh-CN"/>
        </w:rPr>
        <w:t>截止日期前</w:t>
      </w:r>
      <w:r>
        <w:rPr>
          <w:rFonts w:hint="eastAsia" w:ascii="仿宋" w:hAnsi="仿宋" w:eastAsia="仿宋" w:cs="仿宋"/>
          <w:color w:val="auto"/>
          <w:sz w:val="24"/>
          <w:szCs w:val="24"/>
        </w:rPr>
        <w:t>到现场实地勘探</w:t>
      </w:r>
      <w:r>
        <w:rPr>
          <w:rFonts w:hint="eastAsia" w:ascii="仿宋" w:hAnsi="仿宋" w:eastAsia="仿宋" w:cs="仿宋"/>
          <w:color w:val="auto"/>
          <w:sz w:val="24"/>
          <w:szCs w:val="24"/>
          <w:lang w:eastAsia="zh-CN"/>
        </w:rPr>
        <w:t>。</w:t>
      </w:r>
    </w:p>
    <w:p w14:paraId="58FEB412">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（5）响应人需按照采购报价清单准备好所需的设备与配件，并配备作业安全保障器具及施工、吊装等器具。</w:t>
      </w:r>
    </w:p>
    <w:p w14:paraId="1B4A52B9">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（6）响应人的采购报价中已包含设备</w:t>
      </w:r>
      <w:r>
        <w:rPr>
          <w:rFonts w:hint="eastAsia" w:ascii="仿宋" w:hAnsi="仿宋" w:eastAsia="仿宋" w:cs="仿宋"/>
          <w:color w:val="auto"/>
          <w:sz w:val="24"/>
          <w:szCs w:val="24"/>
          <w:lang w:val="en-US" w:eastAsia="zh-CN"/>
        </w:rPr>
        <w:t>安装</w:t>
      </w:r>
      <w:r>
        <w:rPr>
          <w:rFonts w:hint="eastAsia" w:ascii="仿宋" w:hAnsi="仿宋" w:eastAsia="仿宋" w:cs="仿宋"/>
          <w:color w:val="auto"/>
          <w:sz w:val="24"/>
          <w:szCs w:val="24"/>
        </w:rPr>
        <w:t>费、管道制作改造及安装费，不得另行收取。</w:t>
      </w:r>
    </w:p>
    <w:p w14:paraId="52030435">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（7）响应人需为施</w:t>
      </w:r>
      <w:r>
        <w:rPr>
          <w:rFonts w:hint="eastAsia" w:ascii="仿宋" w:hAnsi="仿宋" w:eastAsia="仿宋" w:cs="仿宋"/>
          <w:color w:val="auto"/>
          <w:sz w:val="24"/>
          <w:szCs w:val="24"/>
        </w:rPr>
        <w:t>工从业人员购买相应的安全保险，产生的费用由响应人自行解决，不得另行收费。</w:t>
      </w:r>
    </w:p>
    <w:p w14:paraId="6298133C">
      <w:pPr>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不少于</w:t>
      </w:r>
      <w:r>
        <w:rPr>
          <w:rFonts w:hint="eastAsia" w:ascii="仿宋" w:hAnsi="仿宋" w:eastAsia="仿宋" w:cs="仿宋"/>
          <w:color w:val="auto"/>
          <w:sz w:val="24"/>
          <w:szCs w:val="24"/>
        </w:rPr>
        <w:t>24个月的质保期，在质保期内机组如</w:t>
      </w:r>
      <w:r>
        <w:rPr>
          <w:rFonts w:hint="eastAsia" w:ascii="仿宋" w:hAnsi="仿宋" w:eastAsia="仿宋" w:cs="仿宋"/>
          <w:color w:val="auto"/>
          <w:sz w:val="24"/>
          <w:szCs w:val="24"/>
          <w:lang w:eastAsia="zh-CN"/>
        </w:rPr>
        <w:t>出现</w:t>
      </w:r>
      <w:r>
        <w:rPr>
          <w:rFonts w:hint="eastAsia" w:ascii="仿宋" w:hAnsi="仿宋" w:eastAsia="仿宋" w:cs="仿宋"/>
          <w:color w:val="auto"/>
          <w:sz w:val="24"/>
          <w:szCs w:val="24"/>
        </w:rPr>
        <w:t>因安装问题产生的设备故障，响应人应免费修复，不得另行收费。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23B0C"/>
    <w:rsid w:val="3FC2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2025-07-23T06:57:00Z</dcterms:created>
  <dc:creator>邝庭康</dc:creator>
  <cp:lastModifiedBy>邝庭康</cp:lastModifiedBy>
  <dcterms:modified xsi:type="dcterms:W3CDTF">2025-07-23T07:21:27Z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C3688AF5037E47489912DD9FB0DC8785_11</vt:lpwstr>
  </property>
  <property fmtid="{D5CDD505-2E9C-101B-9397-08002B2CF9AE}" pid="4" name="KSOTemplateDocerSaveRecord">
    <vt:lpwstr>eyJoZGlkIjoiMzFjNGFkMmEzOWI2NDBkNjY1NTVjNDkwN2NjYTY5NDciLCJ1c2VySWQiOiIxNTYyMTc4NTkzIn0=</vt:lpwstr>
  </property>
</Properties>
</file>